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F86C4" w14:textId="7F55C11C" w:rsidR="00563F90" w:rsidRDefault="00563F90" w:rsidP="00563F90">
      <w:pPr>
        <w:pStyle w:val="References"/>
        <w:numPr>
          <w:ilvl w:val="0"/>
          <w:numId w:val="0"/>
        </w:numPr>
        <w:spacing w:line="720" w:lineRule="auto"/>
        <w:ind w:left="360" w:hanging="360"/>
        <w:jc w:val="center"/>
        <w:rPr>
          <w:rFonts w:eastAsia="等线"/>
          <w:b/>
          <w:bCs/>
          <w:color w:val="000000"/>
          <w:sz w:val="32"/>
          <w:szCs w:val="32"/>
          <w:lang w:eastAsia="zh-CN"/>
        </w:rPr>
      </w:pPr>
      <w:r w:rsidRPr="00563F90">
        <w:rPr>
          <w:rFonts w:eastAsia="等线"/>
          <w:b/>
          <w:bCs/>
          <w:color w:val="000000"/>
          <w:sz w:val="32"/>
          <w:szCs w:val="32"/>
          <w:lang w:eastAsia="zh-CN"/>
        </w:rPr>
        <w:t>Supporting Information</w:t>
      </w:r>
    </w:p>
    <w:p w14:paraId="3082E44E" w14:textId="222393BE" w:rsidR="00972103" w:rsidRDefault="00972103" w:rsidP="00834366">
      <w:pPr>
        <w:widowControl w:val="0"/>
        <w:spacing w:after="0" w:line="240" w:lineRule="auto"/>
        <w:jc w:val="both"/>
        <w:rPr>
          <w:rFonts w:eastAsia="宋体" w:cs="Times New Roman"/>
          <w:color w:val="auto"/>
          <w:sz w:val="34"/>
          <w:szCs w:val="20"/>
          <w:lang w:val="en-GB" w:eastAsia="en-US"/>
        </w:rPr>
      </w:pPr>
      <w:bookmarkStart w:id="0" w:name="OLE_LINK3"/>
      <w:r w:rsidRPr="00972103">
        <w:rPr>
          <w:rFonts w:eastAsia="宋体" w:cs="Times New Roman"/>
          <w:color w:val="auto"/>
          <w:sz w:val="34"/>
          <w:szCs w:val="20"/>
          <w:lang w:val="en-GB" w:eastAsia="en-US"/>
        </w:rPr>
        <w:t>Built-in electric field</w:t>
      </w:r>
      <w:r w:rsidR="00CB152A">
        <w:rPr>
          <w:rFonts w:eastAsia="宋体" w:cs="Times New Roman" w:hint="eastAsia"/>
          <w:color w:val="auto"/>
          <w:sz w:val="34"/>
          <w:szCs w:val="20"/>
          <w:lang w:val="en-GB"/>
        </w:rPr>
        <w:t>-</w:t>
      </w:r>
      <w:r w:rsidRPr="00972103">
        <w:rPr>
          <w:rFonts w:eastAsia="宋体" w:cs="Times New Roman"/>
          <w:color w:val="auto"/>
          <w:sz w:val="34"/>
          <w:szCs w:val="20"/>
          <w:lang w:val="en-GB" w:eastAsia="en-US"/>
        </w:rPr>
        <w:t>boost</w:t>
      </w:r>
      <w:r w:rsidR="00CB152A">
        <w:rPr>
          <w:rFonts w:eastAsia="宋体" w:cs="Times New Roman" w:hint="eastAsia"/>
          <w:color w:val="auto"/>
          <w:sz w:val="34"/>
          <w:szCs w:val="20"/>
          <w:lang w:val="en-GB"/>
        </w:rPr>
        <w:t>ed</w:t>
      </w:r>
      <w:r w:rsidRPr="00972103">
        <w:rPr>
          <w:rFonts w:eastAsia="宋体" w:cs="Times New Roman"/>
          <w:color w:val="auto"/>
          <w:sz w:val="34"/>
          <w:szCs w:val="20"/>
          <w:lang w:val="en-GB" w:eastAsia="en-US"/>
        </w:rPr>
        <w:t xml:space="preserve"> </w:t>
      </w:r>
      <w:r w:rsidR="00CB152A">
        <w:rPr>
          <w:rFonts w:eastAsia="宋体" w:cs="Times New Roman" w:hint="eastAsia"/>
          <w:color w:val="auto"/>
          <w:sz w:val="34"/>
          <w:szCs w:val="20"/>
          <w:lang w:val="en-GB"/>
        </w:rPr>
        <w:t>a</w:t>
      </w:r>
      <w:r w:rsidRPr="00972103">
        <w:rPr>
          <w:rFonts w:eastAsia="宋体" w:cs="Times New Roman"/>
          <w:color w:val="auto"/>
          <w:sz w:val="34"/>
          <w:szCs w:val="20"/>
          <w:lang w:val="en-GB" w:eastAsia="en-US"/>
        </w:rPr>
        <w:t xml:space="preserve">ttomolar Pb²⁺ sensing on carboxylated black phosphorene </w:t>
      </w:r>
    </w:p>
    <w:p w14:paraId="3F7E9B48" w14:textId="290B45D6" w:rsidR="00834366" w:rsidRPr="00D51891" w:rsidRDefault="00834366" w:rsidP="00834366">
      <w:pPr>
        <w:widowControl w:val="0"/>
        <w:spacing w:after="0" w:line="240" w:lineRule="auto"/>
        <w:jc w:val="both"/>
        <w:rPr>
          <w:rFonts w:eastAsia="宋体" w:cs="Times New Roman"/>
          <w:color w:val="auto"/>
          <w:szCs w:val="24"/>
          <w:lang w:val="en-GB"/>
        </w:rPr>
      </w:pPr>
      <w:r w:rsidRPr="00D51891">
        <w:rPr>
          <w:rFonts w:eastAsia="宋体" w:cs="Times New Roman" w:hint="eastAsia"/>
          <w:color w:val="auto"/>
          <w:szCs w:val="24"/>
          <w:lang w:val="en-GB"/>
        </w:rPr>
        <w:t>Fan Yang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1</w:t>
      </w:r>
      <w:r w:rsidRPr="00D51891">
        <w:rPr>
          <w:rFonts w:eastAsia="宋体" w:cs="Times New Roman"/>
          <w:color w:val="auto"/>
          <w:szCs w:val="24"/>
          <w:vertAlign w:val="superscript"/>
          <w:lang w:val="en-GB" w:eastAsia="en-US"/>
        </w:rPr>
        <w:t>,</w:t>
      </w:r>
      <w:r w:rsidRPr="00D51891">
        <w:rPr>
          <w:rFonts w:eastAsia="宋体" w:cs="Times New Roman" w:hint="eastAsia"/>
          <w:color w:val="auto"/>
          <w:szCs w:val="24"/>
          <w:vertAlign w:val="superscript"/>
          <w:lang w:val="en-GB"/>
        </w:rPr>
        <w:t xml:space="preserve"> 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2, 8</w:t>
      </w:r>
      <w:r w:rsidRPr="00D51891">
        <w:rPr>
          <w:rFonts w:eastAsia="宋体" w:cs="Times New Roman"/>
          <w:color w:val="auto"/>
          <w:szCs w:val="24"/>
          <w:lang w:val="en-GB" w:eastAsia="en-US"/>
        </w:rPr>
        <w:t>,</w:t>
      </w:r>
      <w:r w:rsidRPr="00D51891">
        <w:rPr>
          <w:rFonts w:eastAsia="宋体" w:cs="Times New Roman" w:hint="eastAsia"/>
          <w:color w:val="auto"/>
          <w:szCs w:val="24"/>
          <w:lang w:val="en-GB"/>
        </w:rPr>
        <w:t xml:space="preserve"> </w:t>
      </w:r>
      <w:r>
        <w:rPr>
          <w:rFonts w:eastAsia="宋体" w:cs="Times New Roman" w:hint="eastAsia"/>
          <w:color w:val="auto"/>
          <w:szCs w:val="24"/>
          <w:lang w:val="en-GB"/>
        </w:rPr>
        <w:t>Xixi Yuan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3, 8</w:t>
      </w:r>
      <w:r>
        <w:rPr>
          <w:rFonts w:eastAsia="宋体" w:cs="Times New Roman" w:hint="eastAsia"/>
          <w:color w:val="auto"/>
          <w:szCs w:val="24"/>
          <w:lang w:val="en-GB"/>
        </w:rPr>
        <w:t xml:space="preserve">, </w:t>
      </w:r>
      <w:r w:rsidRPr="00D51891">
        <w:rPr>
          <w:rFonts w:eastAsia="宋体" w:cs="Times New Roman" w:hint="eastAsia"/>
          <w:color w:val="auto"/>
          <w:szCs w:val="24"/>
          <w:lang w:val="en-GB"/>
        </w:rPr>
        <w:t>Jiaqi Zhu</w:t>
      </w:r>
      <w:bookmarkStart w:id="1" w:name="OLE_LINK1"/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1</w:t>
      </w:r>
      <w:r w:rsidRPr="00D51891">
        <w:rPr>
          <w:rFonts w:eastAsia="宋体" w:cs="Times New Roman"/>
          <w:color w:val="auto"/>
          <w:szCs w:val="24"/>
          <w:vertAlign w:val="superscript"/>
          <w:lang w:val="en-GB" w:eastAsia="en-US"/>
        </w:rPr>
        <w:t xml:space="preserve">, 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2</w:t>
      </w:r>
      <w:bookmarkEnd w:id="1"/>
      <w:r w:rsidRPr="00D51891">
        <w:rPr>
          <w:rFonts w:eastAsia="宋体" w:cs="Times New Roman" w:hint="eastAsia"/>
          <w:color w:val="auto"/>
          <w:szCs w:val="24"/>
          <w:lang w:val="en-GB"/>
        </w:rPr>
        <w:t xml:space="preserve">, </w:t>
      </w:r>
      <w:bookmarkStart w:id="2" w:name="OLE_LINK8"/>
      <w:r w:rsidRPr="00D51891">
        <w:rPr>
          <w:rFonts w:eastAsia="宋体" w:cs="Times New Roman" w:hint="eastAsia"/>
          <w:color w:val="auto"/>
          <w:szCs w:val="24"/>
          <w:lang w:val="en-GB"/>
        </w:rPr>
        <w:t>Yuanyuan Pan</w:t>
      </w:r>
      <w:bookmarkEnd w:id="2"/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4</w:t>
      </w:r>
      <w:r w:rsidRPr="00D51891">
        <w:rPr>
          <w:rFonts w:eastAsia="宋体" w:cs="Times New Roman" w:hint="eastAsia"/>
          <w:color w:val="auto"/>
          <w:szCs w:val="24"/>
          <w:lang w:val="en-GB"/>
        </w:rPr>
        <w:t xml:space="preserve">, </w:t>
      </w:r>
      <w:bookmarkStart w:id="3" w:name="OLE_LINK9"/>
      <w:r w:rsidRPr="00D51891">
        <w:rPr>
          <w:rFonts w:eastAsia="宋体" w:cs="Times New Roman" w:hint="eastAsia"/>
          <w:color w:val="auto"/>
          <w:szCs w:val="24"/>
          <w:lang w:val="en-GB"/>
        </w:rPr>
        <w:t>Zhongjun Li</w:t>
      </w:r>
      <w:bookmarkEnd w:id="3"/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5</w:t>
      </w:r>
      <w:r w:rsidRPr="00D51891">
        <w:rPr>
          <w:rFonts w:eastAsia="宋体" w:cs="Times New Roman" w:hint="eastAsia"/>
          <w:color w:val="auto"/>
          <w:szCs w:val="24"/>
          <w:lang w:val="en-GB"/>
        </w:rPr>
        <w:t>,</w:t>
      </w:r>
      <w:r>
        <w:rPr>
          <w:rFonts w:eastAsia="宋体" w:cs="Times New Roman" w:hint="eastAsia"/>
          <w:color w:val="auto"/>
          <w:szCs w:val="24"/>
          <w:lang w:val="en-GB"/>
        </w:rPr>
        <w:t xml:space="preserve"> Jianqing Li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4</w:t>
      </w:r>
      <w:r>
        <w:rPr>
          <w:rFonts w:eastAsia="宋体" w:cs="Times New Roman" w:hint="eastAsia"/>
          <w:color w:val="auto"/>
          <w:szCs w:val="24"/>
          <w:lang w:val="en-GB"/>
        </w:rPr>
        <w:t>, Yanqi Ge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6</w:t>
      </w:r>
      <w:r>
        <w:rPr>
          <w:rFonts w:eastAsia="宋体" w:cs="Times New Roman" w:hint="eastAsia"/>
          <w:color w:val="auto"/>
          <w:szCs w:val="24"/>
          <w:lang w:val="en-GB"/>
        </w:rPr>
        <w:t xml:space="preserve">, </w:t>
      </w:r>
      <w:r w:rsidRPr="00D51891">
        <w:rPr>
          <w:rFonts w:eastAsia="宋体" w:cs="Times New Roman" w:hint="eastAsia"/>
          <w:color w:val="auto"/>
          <w:szCs w:val="24"/>
          <w:lang w:val="en-GB"/>
        </w:rPr>
        <w:t>Leiming Wu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1</w:t>
      </w:r>
      <w:r w:rsidRPr="00D51891">
        <w:rPr>
          <w:rFonts w:eastAsia="宋体" w:cs="Times New Roman"/>
          <w:color w:val="auto"/>
          <w:szCs w:val="24"/>
          <w:vertAlign w:val="superscript"/>
          <w:lang w:val="en-GB" w:eastAsia="en-US"/>
        </w:rPr>
        <w:t xml:space="preserve">, 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2</w:t>
      </w:r>
      <w:bookmarkStart w:id="4" w:name="OLE_LINK5"/>
      <w:r w:rsidRPr="00D51891">
        <w:rPr>
          <w:rFonts w:eastAsia="宋体" w:cs="Times New Roman" w:hint="eastAsia"/>
          <w:color w:val="auto"/>
          <w:szCs w:val="24"/>
          <w:vertAlign w:val="superscript"/>
          <w:lang w:val="en-GB"/>
        </w:rPr>
        <w:t>,</w:t>
      </w:r>
      <w:r w:rsidRPr="00D51891">
        <w:rPr>
          <w:rFonts w:eastAsia="宋体" w:cs="Times New Roman"/>
          <w:color w:val="auto"/>
          <w:szCs w:val="24"/>
          <w:vertAlign w:val="superscript"/>
          <w:lang w:val="en-GB"/>
        </w:rPr>
        <w:t xml:space="preserve"> </w:t>
      </w:r>
      <w:r w:rsidRPr="00D51891">
        <w:rPr>
          <w:rFonts w:eastAsia="宋体" w:cs="Times New Roman"/>
          <w:color w:val="auto"/>
          <w:szCs w:val="24"/>
          <w:lang w:val="en-GB"/>
        </w:rPr>
        <w:t>*</w:t>
      </w:r>
      <w:bookmarkEnd w:id="4"/>
      <w:r w:rsidRPr="00D51891">
        <w:rPr>
          <w:rFonts w:eastAsia="宋体" w:cs="Times New Roman" w:hint="eastAsia"/>
          <w:color w:val="auto"/>
          <w:szCs w:val="24"/>
          <w:lang w:val="en-GB"/>
        </w:rPr>
        <w:t>,</w:t>
      </w:r>
      <w:r>
        <w:rPr>
          <w:rFonts w:eastAsia="宋体" w:cs="Times New Roman" w:hint="eastAsia"/>
          <w:color w:val="auto"/>
          <w:szCs w:val="24"/>
          <w:lang w:val="en-GB"/>
        </w:rPr>
        <w:t xml:space="preserve"> Yuanjiang Xiang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7</w:t>
      </w:r>
      <w:r w:rsidRPr="00D51891">
        <w:rPr>
          <w:rFonts w:eastAsia="宋体" w:cs="Times New Roman" w:hint="eastAsia"/>
          <w:color w:val="auto"/>
          <w:szCs w:val="24"/>
          <w:vertAlign w:val="superscript"/>
          <w:lang w:val="en-GB"/>
        </w:rPr>
        <w:t>,</w:t>
      </w:r>
      <w:r w:rsidRPr="00D51891">
        <w:rPr>
          <w:rFonts w:eastAsia="宋体" w:cs="Times New Roman"/>
          <w:color w:val="auto"/>
          <w:szCs w:val="24"/>
          <w:vertAlign w:val="superscript"/>
          <w:lang w:val="en-GB"/>
        </w:rPr>
        <w:t xml:space="preserve"> </w:t>
      </w:r>
      <w:r w:rsidRPr="00D51891">
        <w:rPr>
          <w:rFonts w:eastAsia="宋体" w:cs="Times New Roman"/>
          <w:color w:val="auto"/>
          <w:szCs w:val="24"/>
          <w:lang w:val="en-GB"/>
        </w:rPr>
        <w:t>*</w:t>
      </w:r>
      <w:r>
        <w:rPr>
          <w:rFonts w:eastAsia="宋体" w:cs="Times New Roman" w:hint="eastAsia"/>
          <w:color w:val="auto"/>
          <w:szCs w:val="24"/>
          <w:lang w:val="en-GB"/>
        </w:rPr>
        <w:t>, Han Zhang</w:t>
      </w:r>
      <w:r w:rsidRPr="00CE788E">
        <w:rPr>
          <w:rFonts w:eastAsia="宋体" w:cs="Times New Roman" w:hint="eastAsia"/>
          <w:color w:val="auto"/>
          <w:szCs w:val="24"/>
          <w:vertAlign w:val="superscript"/>
          <w:lang w:val="en-GB"/>
        </w:rPr>
        <w:t>6</w:t>
      </w:r>
      <w:r w:rsidRPr="00D51891">
        <w:rPr>
          <w:rFonts w:eastAsia="宋体" w:cs="Times New Roman" w:hint="eastAsia"/>
          <w:color w:val="auto"/>
          <w:szCs w:val="24"/>
          <w:vertAlign w:val="superscript"/>
          <w:lang w:val="en-GB"/>
        </w:rPr>
        <w:t>,</w:t>
      </w:r>
      <w:r w:rsidRPr="00D51891">
        <w:rPr>
          <w:rFonts w:eastAsia="宋体" w:cs="Times New Roman"/>
          <w:color w:val="auto"/>
          <w:szCs w:val="24"/>
          <w:vertAlign w:val="superscript"/>
          <w:lang w:val="en-GB"/>
        </w:rPr>
        <w:t xml:space="preserve"> </w:t>
      </w:r>
      <w:r w:rsidRPr="00D51891">
        <w:rPr>
          <w:rFonts w:eastAsia="宋体" w:cs="Times New Roman"/>
          <w:color w:val="auto"/>
          <w:szCs w:val="24"/>
          <w:lang w:val="en-GB"/>
        </w:rPr>
        <w:t>*</w:t>
      </w:r>
      <w:r>
        <w:rPr>
          <w:rFonts w:eastAsia="宋体" w:cs="Times New Roman" w:hint="eastAsia"/>
          <w:color w:val="auto"/>
          <w:szCs w:val="24"/>
          <w:lang w:val="en-GB"/>
        </w:rPr>
        <w:t xml:space="preserve">, </w:t>
      </w:r>
      <w:r w:rsidRPr="00D51891">
        <w:rPr>
          <w:rFonts w:eastAsia="宋体" w:cs="Times New Roman" w:hint="eastAsia"/>
          <w:color w:val="auto"/>
          <w:szCs w:val="24"/>
          <w:lang w:val="en-GB"/>
        </w:rPr>
        <w:t>Jun Yang</w:t>
      </w:r>
      <w:r w:rsidRPr="00D51891">
        <w:rPr>
          <w:rFonts w:eastAsia="宋体" w:cs="Times New Roman" w:hint="eastAsia"/>
          <w:color w:val="auto"/>
          <w:szCs w:val="24"/>
          <w:vertAlign w:val="superscript"/>
          <w:lang w:val="en-GB"/>
        </w:rPr>
        <w:t xml:space="preserve"> 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1</w:t>
      </w:r>
      <w:r w:rsidRPr="00D51891">
        <w:rPr>
          <w:rFonts w:eastAsia="宋体" w:cs="Times New Roman"/>
          <w:color w:val="auto"/>
          <w:szCs w:val="24"/>
          <w:vertAlign w:val="superscript"/>
          <w:lang w:val="en-GB" w:eastAsia="en-US"/>
        </w:rPr>
        <w:t xml:space="preserve">, 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2</w:t>
      </w:r>
      <w:r w:rsidRPr="00D51891">
        <w:rPr>
          <w:rFonts w:eastAsia="宋体" w:cs="Times New Roman" w:hint="eastAsia"/>
          <w:color w:val="auto"/>
          <w:szCs w:val="24"/>
          <w:vertAlign w:val="superscript"/>
          <w:lang w:val="en-GB"/>
        </w:rPr>
        <w:t>,</w:t>
      </w:r>
      <w:r w:rsidRPr="00D51891">
        <w:rPr>
          <w:rFonts w:eastAsia="宋体" w:cs="Times New Roman"/>
          <w:color w:val="auto"/>
          <w:szCs w:val="24"/>
          <w:vertAlign w:val="superscript"/>
          <w:lang w:val="en-GB"/>
        </w:rPr>
        <w:t xml:space="preserve"> </w:t>
      </w:r>
      <w:r w:rsidRPr="00D51891">
        <w:rPr>
          <w:rFonts w:eastAsia="宋体" w:cs="Times New Roman"/>
          <w:color w:val="auto"/>
          <w:szCs w:val="24"/>
          <w:lang w:val="en-GB"/>
        </w:rPr>
        <w:t>*</w:t>
      </w:r>
      <w:r w:rsidRPr="00D51891">
        <w:rPr>
          <w:rFonts w:eastAsia="宋体" w:cs="Times New Roman" w:hint="eastAsia"/>
          <w:color w:val="auto"/>
          <w:szCs w:val="24"/>
          <w:lang w:val="en-GB"/>
        </w:rPr>
        <w:t>, Yuwen Qin</w:t>
      </w:r>
      <w:r w:rsidRPr="00D51891">
        <w:rPr>
          <w:rFonts w:eastAsia="宋体" w:cs="Times New Roman" w:hint="eastAsia"/>
          <w:color w:val="auto"/>
          <w:szCs w:val="24"/>
          <w:vertAlign w:val="superscript"/>
          <w:lang w:val="en-GB"/>
        </w:rPr>
        <w:t xml:space="preserve"> 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1</w:t>
      </w:r>
      <w:r w:rsidRPr="00D51891">
        <w:rPr>
          <w:rFonts w:eastAsia="宋体" w:cs="Times New Roman"/>
          <w:color w:val="auto"/>
          <w:szCs w:val="24"/>
          <w:vertAlign w:val="superscript"/>
          <w:lang w:val="en-GB" w:eastAsia="en-US"/>
        </w:rPr>
        <w:t xml:space="preserve">, </w:t>
      </w:r>
      <w:r>
        <w:rPr>
          <w:rFonts w:eastAsia="宋体" w:cs="Times New Roman" w:hint="eastAsia"/>
          <w:color w:val="auto"/>
          <w:szCs w:val="24"/>
          <w:vertAlign w:val="superscript"/>
          <w:lang w:val="en-GB"/>
        </w:rPr>
        <w:t>2</w:t>
      </w:r>
    </w:p>
    <w:p w14:paraId="7717FEAE" w14:textId="77777777" w:rsidR="00834366" w:rsidRPr="00515FF1" w:rsidRDefault="00834366" w:rsidP="00834366">
      <w:pPr>
        <w:widowControl w:val="0"/>
        <w:spacing w:after="0" w:line="240" w:lineRule="auto"/>
        <w:rPr>
          <w:rFonts w:eastAsia="宋体" w:cs="Times New Roman"/>
          <w:color w:val="auto"/>
          <w:szCs w:val="24"/>
          <w:lang w:val="en-GB" w:eastAsia="en-US"/>
        </w:rPr>
      </w:pPr>
    </w:p>
    <w:p w14:paraId="6E925E22" w14:textId="77777777" w:rsidR="00834366" w:rsidRPr="00D51891" w:rsidRDefault="00834366" w:rsidP="00834366">
      <w:pPr>
        <w:spacing w:after="0" w:line="240" w:lineRule="auto"/>
        <w:rPr>
          <w:rFonts w:eastAsia="宋体" w:cs="Times New Roman"/>
          <w:i/>
          <w:color w:val="auto"/>
          <w:sz w:val="16"/>
          <w:szCs w:val="16"/>
        </w:rPr>
      </w:pPr>
      <w:r>
        <w:rPr>
          <w:rFonts w:eastAsia="宋体" w:cs="Times New Roman" w:hint="eastAsia"/>
          <w:i/>
          <w:color w:val="auto"/>
          <w:sz w:val="16"/>
          <w:szCs w:val="16"/>
          <w:vertAlign w:val="superscript"/>
        </w:rPr>
        <w:t>1</w:t>
      </w:r>
      <w:bookmarkStart w:id="5" w:name="OLE_LINK6"/>
      <w:r w:rsidRPr="00D51891">
        <w:rPr>
          <w:rFonts w:eastAsia="宋体" w:cs="Times New Roman"/>
          <w:i/>
          <w:color w:val="auto"/>
          <w:sz w:val="16"/>
          <w:szCs w:val="16"/>
        </w:rPr>
        <w:t>Institute of Advanced Photonics Technology, School of Information Engineering, Guangdong University of Technology, Guangzhou, China</w:t>
      </w:r>
    </w:p>
    <w:p w14:paraId="00322130" w14:textId="77777777" w:rsidR="00834366" w:rsidRPr="00D51891" w:rsidRDefault="00834366" w:rsidP="00834366">
      <w:pPr>
        <w:spacing w:after="0" w:line="240" w:lineRule="auto"/>
        <w:rPr>
          <w:rFonts w:eastAsia="宋体" w:cs="Times New Roman"/>
          <w:i/>
          <w:color w:val="auto"/>
          <w:sz w:val="16"/>
          <w:szCs w:val="16"/>
        </w:rPr>
      </w:pPr>
      <w:r>
        <w:rPr>
          <w:rFonts w:eastAsia="宋体" w:cs="Times New Roman" w:hint="eastAsia"/>
          <w:i/>
          <w:color w:val="auto"/>
          <w:sz w:val="16"/>
          <w:szCs w:val="16"/>
          <w:vertAlign w:val="superscript"/>
        </w:rPr>
        <w:t>2</w:t>
      </w:r>
      <w:r w:rsidRPr="00D51891">
        <w:rPr>
          <w:rFonts w:eastAsia="宋体" w:cs="Times New Roman" w:hint="eastAsia"/>
          <w:i/>
          <w:color w:val="auto"/>
          <w:sz w:val="16"/>
          <w:szCs w:val="16"/>
        </w:rPr>
        <w:t>Key Laboratory of Photonic Technology for Integrated Sensing and Communication</w:t>
      </w:r>
      <w:r w:rsidRPr="00D51891">
        <w:rPr>
          <w:rFonts w:eastAsia="宋体" w:cs="Times New Roman" w:hint="eastAsia"/>
          <w:i/>
          <w:color w:val="auto"/>
          <w:sz w:val="16"/>
          <w:szCs w:val="16"/>
        </w:rPr>
        <w:t>（</w:t>
      </w:r>
      <w:r w:rsidRPr="00D51891">
        <w:rPr>
          <w:rFonts w:eastAsia="宋体" w:cs="Times New Roman" w:hint="eastAsia"/>
          <w:i/>
          <w:color w:val="auto"/>
          <w:sz w:val="16"/>
          <w:szCs w:val="16"/>
        </w:rPr>
        <w:t>Guangdong University of Technology</w:t>
      </w:r>
      <w:r w:rsidRPr="00D51891">
        <w:rPr>
          <w:rFonts w:eastAsia="宋体" w:cs="Times New Roman" w:hint="eastAsia"/>
          <w:i/>
          <w:color w:val="auto"/>
          <w:sz w:val="16"/>
          <w:szCs w:val="16"/>
        </w:rPr>
        <w:t>）</w:t>
      </w:r>
      <w:r w:rsidRPr="00D51891">
        <w:rPr>
          <w:rFonts w:eastAsia="宋体" w:cs="Times New Roman" w:hint="eastAsia"/>
          <w:i/>
          <w:color w:val="auto"/>
          <w:sz w:val="16"/>
          <w:szCs w:val="16"/>
        </w:rPr>
        <w:t>, Ministry of Education of China</w:t>
      </w:r>
      <w:r>
        <w:rPr>
          <w:rFonts w:eastAsia="宋体" w:cs="Times New Roman" w:hint="eastAsia"/>
          <w:i/>
          <w:color w:val="auto"/>
          <w:sz w:val="16"/>
          <w:szCs w:val="16"/>
        </w:rPr>
        <w:t xml:space="preserve">, </w:t>
      </w:r>
      <w:r w:rsidRPr="00A7188F">
        <w:rPr>
          <w:rFonts w:eastAsia="宋体" w:cs="Times New Roman"/>
          <w:i/>
          <w:color w:val="auto"/>
          <w:sz w:val="16"/>
          <w:szCs w:val="16"/>
        </w:rPr>
        <w:t xml:space="preserve">Guangzhou, </w:t>
      </w:r>
      <w:r>
        <w:rPr>
          <w:rFonts w:eastAsia="宋体" w:cs="Times New Roman" w:hint="eastAsia"/>
          <w:i/>
          <w:color w:val="auto"/>
          <w:sz w:val="16"/>
          <w:szCs w:val="16"/>
        </w:rPr>
        <w:t>China</w:t>
      </w:r>
    </w:p>
    <w:bookmarkEnd w:id="5"/>
    <w:p w14:paraId="1E2FD208" w14:textId="77777777" w:rsidR="00834366" w:rsidRPr="00D51891" w:rsidRDefault="00834366" w:rsidP="00834366">
      <w:pPr>
        <w:spacing w:after="0" w:line="240" w:lineRule="auto"/>
        <w:rPr>
          <w:rFonts w:eastAsia="等线" w:cs="Times New Roman"/>
          <w:i/>
          <w:iCs/>
          <w:color w:val="auto"/>
          <w:kern w:val="2"/>
          <w:sz w:val="16"/>
          <w:szCs w:val="16"/>
        </w:rPr>
      </w:pPr>
      <w:r>
        <w:rPr>
          <w:rFonts w:eastAsia="宋体" w:cs="Times New Roman" w:hint="eastAsia"/>
          <w:i/>
          <w:color w:val="auto"/>
          <w:sz w:val="16"/>
          <w:szCs w:val="16"/>
          <w:vertAlign w:val="superscript"/>
        </w:rPr>
        <w:t>3</w:t>
      </w:r>
      <w:bookmarkStart w:id="6" w:name="OLE_LINK7"/>
      <w:r w:rsidRPr="003D3076">
        <w:rPr>
          <w:rFonts w:eastAsia="宋体" w:cs="Times New Roman"/>
          <w:i/>
          <w:color w:val="auto"/>
          <w:sz w:val="16"/>
          <w:szCs w:val="16"/>
        </w:rPr>
        <w:t>School of Computer Science and Technology,</w:t>
      </w:r>
      <w:r>
        <w:rPr>
          <w:rFonts w:eastAsia="宋体" w:cs="Times New Roman" w:hint="eastAsia"/>
          <w:i/>
          <w:color w:val="auto"/>
          <w:sz w:val="16"/>
          <w:szCs w:val="16"/>
        </w:rPr>
        <w:t xml:space="preserve"> </w:t>
      </w:r>
      <w:r w:rsidRPr="003D3076">
        <w:rPr>
          <w:rFonts w:eastAsia="宋体" w:cs="Times New Roman"/>
          <w:i/>
          <w:color w:val="auto"/>
          <w:sz w:val="16"/>
          <w:szCs w:val="16"/>
        </w:rPr>
        <w:t>Guangdong University of Technology,</w:t>
      </w:r>
      <w:r>
        <w:rPr>
          <w:rFonts w:eastAsia="宋体" w:cs="Times New Roman" w:hint="eastAsia"/>
          <w:i/>
          <w:color w:val="auto"/>
          <w:sz w:val="16"/>
          <w:szCs w:val="16"/>
        </w:rPr>
        <w:t xml:space="preserve"> </w:t>
      </w:r>
      <w:r w:rsidRPr="003D3076">
        <w:rPr>
          <w:rFonts w:eastAsia="宋体" w:cs="Times New Roman"/>
          <w:i/>
          <w:color w:val="auto"/>
          <w:sz w:val="16"/>
          <w:szCs w:val="16"/>
        </w:rPr>
        <w:t>Guangzhou, China</w:t>
      </w:r>
      <w:bookmarkEnd w:id="6"/>
      <w:r w:rsidRPr="00D51891">
        <w:rPr>
          <w:rFonts w:eastAsia="宋体" w:cs="Times New Roman"/>
          <w:i/>
          <w:color w:val="auto"/>
          <w:sz w:val="16"/>
          <w:szCs w:val="16"/>
        </w:rPr>
        <w:t xml:space="preserve"> </w:t>
      </w:r>
    </w:p>
    <w:p w14:paraId="2B993B1A" w14:textId="77777777" w:rsidR="00834366" w:rsidRPr="00D51891" w:rsidRDefault="00834366" w:rsidP="00834366">
      <w:pPr>
        <w:spacing w:after="0" w:line="240" w:lineRule="auto"/>
        <w:rPr>
          <w:rFonts w:eastAsia="等线" w:cs="Times New Roman"/>
          <w:i/>
          <w:iCs/>
          <w:color w:val="auto"/>
          <w:kern w:val="2"/>
          <w:sz w:val="16"/>
          <w:szCs w:val="16"/>
        </w:rPr>
      </w:pPr>
      <w:r>
        <w:rPr>
          <w:rFonts w:eastAsia="等线" w:cs="Times New Roman" w:hint="eastAsia"/>
          <w:i/>
          <w:iCs/>
          <w:color w:val="auto"/>
          <w:kern w:val="2"/>
          <w:sz w:val="16"/>
          <w:szCs w:val="16"/>
          <w:vertAlign w:val="superscript"/>
        </w:rPr>
        <w:t>4</w:t>
      </w:r>
      <w:r w:rsidRPr="00D51891">
        <w:rPr>
          <w:rFonts w:eastAsia="等线" w:cs="Times New Roman"/>
          <w:i/>
          <w:iCs/>
          <w:color w:val="auto"/>
          <w:kern w:val="2"/>
          <w:sz w:val="16"/>
          <w:szCs w:val="16"/>
        </w:rPr>
        <w:t>School of Computer Science and Engineering, Macau University of Science and Technology, Macau</w:t>
      </w:r>
      <w:r w:rsidRPr="00D51891">
        <w:rPr>
          <w:rFonts w:eastAsia="等线" w:cs="Times New Roman" w:hint="eastAsia"/>
          <w:i/>
          <w:iCs/>
          <w:color w:val="auto"/>
          <w:kern w:val="2"/>
          <w:sz w:val="16"/>
          <w:szCs w:val="16"/>
        </w:rPr>
        <w:t>,</w:t>
      </w:r>
      <w:r w:rsidRPr="00D51891">
        <w:rPr>
          <w:rFonts w:eastAsia="等线" w:cs="Times New Roman"/>
          <w:i/>
          <w:iCs/>
          <w:color w:val="auto"/>
          <w:kern w:val="2"/>
          <w:sz w:val="16"/>
          <w:szCs w:val="16"/>
        </w:rPr>
        <w:t xml:space="preserve"> China</w:t>
      </w:r>
    </w:p>
    <w:p w14:paraId="307D0D2B" w14:textId="77777777" w:rsidR="00834366" w:rsidRDefault="00834366" w:rsidP="00834366">
      <w:pPr>
        <w:spacing w:after="0" w:line="240" w:lineRule="auto"/>
        <w:rPr>
          <w:rFonts w:eastAsia="等线" w:cs="Times New Roman"/>
          <w:i/>
          <w:iCs/>
          <w:color w:val="auto"/>
          <w:kern w:val="2"/>
          <w:sz w:val="16"/>
          <w:szCs w:val="16"/>
        </w:rPr>
      </w:pPr>
      <w:r>
        <w:rPr>
          <w:rFonts w:eastAsia="等线" w:cs="Times New Roman" w:hint="eastAsia"/>
          <w:i/>
          <w:iCs/>
          <w:color w:val="auto"/>
          <w:kern w:val="2"/>
          <w:sz w:val="16"/>
          <w:szCs w:val="16"/>
          <w:vertAlign w:val="superscript"/>
        </w:rPr>
        <w:t>5</w:t>
      </w:r>
      <w:r w:rsidRPr="00D51891">
        <w:rPr>
          <w:rFonts w:eastAsia="等线" w:cs="Times New Roman"/>
          <w:i/>
          <w:iCs/>
          <w:color w:val="auto"/>
          <w:kern w:val="2"/>
          <w:sz w:val="16"/>
          <w:szCs w:val="16"/>
        </w:rPr>
        <w:t>Institute of Systems Engineering, Macau University of Science and Technology, Macau, China</w:t>
      </w:r>
    </w:p>
    <w:p w14:paraId="486EF15A" w14:textId="77777777" w:rsidR="00834366" w:rsidRPr="00CE788E" w:rsidRDefault="00834366" w:rsidP="00834366">
      <w:pPr>
        <w:spacing w:after="0" w:line="240" w:lineRule="auto"/>
        <w:rPr>
          <w:rFonts w:eastAsia="等线" w:cs="Times New Roman"/>
          <w:i/>
          <w:iCs/>
          <w:color w:val="auto"/>
          <w:kern w:val="2"/>
          <w:sz w:val="16"/>
          <w:szCs w:val="16"/>
        </w:rPr>
      </w:pPr>
      <w:r>
        <w:rPr>
          <w:rFonts w:eastAsia="等线" w:cs="Times New Roman" w:hint="eastAsia"/>
          <w:i/>
          <w:iCs/>
          <w:color w:val="auto"/>
          <w:kern w:val="2"/>
          <w:sz w:val="16"/>
          <w:szCs w:val="16"/>
          <w:vertAlign w:val="superscript"/>
        </w:rPr>
        <w:t>6</w:t>
      </w:r>
      <w:r w:rsidRPr="00CE788E">
        <w:rPr>
          <w:rFonts w:eastAsia="等线" w:cs="Times New Roman"/>
          <w:i/>
          <w:iCs/>
          <w:color w:val="auto"/>
          <w:kern w:val="2"/>
          <w:sz w:val="16"/>
          <w:szCs w:val="16"/>
        </w:rPr>
        <w:t>State Key Laboratory of Radio Frequency Heterogeneous Integration, College of Physics and Optoelectronic Engineering, Shenzhen University,</w:t>
      </w:r>
    </w:p>
    <w:p w14:paraId="632DF584" w14:textId="77777777" w:rsidR="00834366" w:rsidRDefault="00834366" w:rsidP="00834366">
      <w:pPr>
        <w:spacing w:after="0" w:line="240" w:lineRule="auto"/>
        <w:rPr>
          <w:rFonts w:eastAsia="等线" w:cs="Times New Roman"/>
          <w:i/>
          <w:iCs/>
          <w:color w:val="auto"/>
          <w:kern w:val="2"/>
          <w:sz w:val="16"/>
          <w:szCs w:val="16"/>
        </w:rPr>
      </w:pPr>
      <w:r w:rsidRPr="00CE788E">
        <w:rPr>
          <w:rFonts w:eastAsia="等线" w:cs="Times New Roman"/>
          <w:i/>
          <w:iCs/>
          <w:color w:val="auto"/>
          <w:kern w:val="2"/>
          <w:sz w:val="16"/>
          <w:szCs w:val="16"/>
        </w:rPr>
        <w:t>Shenzhen, China</w:t>
      </w:r>
    </w:p>
    <w:p w14:paraId="7530B166" w14:textId="77777777" w:rsidR="00834366" w:rsidRPr="00B06561" w:rsidRDefault="00834366" w:rsidP="00834366">
      <w:pPr>
        <w:spacing w:after="0" w:line="240" w:lineRule="auto"/>
        <w:rPr>
          <w:rFonts w:eastAsia="宋体" w:cs="Times New Roman"/>
          <w:i/>
          <w:sz w:val="16"/>
          <w:szCs w:val="16"/>
        </w:rPr>
      </w:pPr>
      <w:r>
        <w:rPr>
          <w:rFonts w:eastAsia="宋体" w:cs="Times New Roman" w:hint="eastAsia"/>
          <w:i/>
          <w:sz w:val="16"/>
          <w:szCs w:val="16"/>
          <w:vertAlign w:val="superscript"/>
        </w:rPr>
        <w:t>7</w:t>
      </w:r>
      <w:r w:rsidRPr="00B06561">
        <w:rPr>
          <w:rFonts w:eastAsia="宋体" w:cs="Times New Roman"/>
          <w:i/>
          <w:sz w:val="16"/>
          <w:szCs w:val="16"/>
        </w:rPr>
        <w:t>College of Electrical and Electronic Engineering,</w:t>
      </w:r>
      <w:r>
        <w:rPr>
          <w:rFonts w:eastAsia="宋体" w:cs="Times New Roman" w:hint="eastAsia"/>
          <w:i/>
          <w:sz w:val="16"/>
          <w:szCs w:val="16"/>
        </w:rPr>
        <w:t xml:space="preserve"> </w:t>
      </w:r>
      <w:r w:rsidRPr="00B06561">
        <w:rPr>
          <w:rFonts w:eastAsia="宋体" w:cs="Times New Roman"/>
          <w:i/>
          <w:sz w:val="16"/>
          <w:szCs w:val="16"/>
        </w:rPr>
        <w:t>Wenzhou University, Wenzhou, China</w:t>
      </w:r>
    </w:p>
    <w:p w14:paraId="68129E33" w14:textId="77777777" w:rsidR="00834366" w:rsidRPr="00B06561" w:rsidRDefault="00834366" w:rsidP="00834366">
      <w:pPr>
        <w:spacing w:after="0" w:line="240" w:lineRule="auto"/>
        <w:rPr>
          <w:rFonts w:eastAsia="等线" w:cs="Times New Roman"/>
          <w:i/>
          <w:iCs/>
          <w:color w:val="auto"/>
          <w:kern w:val="2"/>
          <w:sz w:val="16"/>
          <w:szCs w:val="16"/>
        </w:rPr>
      </w:pPr>
      <w:r>
        <w:rPr>
          <w:rFonts w:eastAsia="等线" w:cs="Times New Roman" w:hint="eastAsia"/>
          <w:i/>
          <w:iCs/>
          <w:color w:val="auto"/>
          <w:kern w:val="2"/>
          <w:sz w:val="16"/>
          <w:szCs w:val="16"/>
          <w:vertAlign w:val="superscript"/>
        </w:rPr>
        <w:t>8</w:t>
      </w:r>
      <w:r w:rsidRPr="00B06561">
        <w:rPr>
          <w:rFonts w:eastAsia="等线" w:cs="Times New Roman"/>
          <w:i/>
          <w:iCs/>
          <w:color w:val="auto"/>
          <w:kern w:val="2"/>
          <w:sz w:val="16"/>
          <w:szCs w:val="16"/>
        </w:rPr>
        <w:t>These authors contributed equally:</w:t>
      </w:r>
      <w:r>
        <w:rPr>
          <w:rFonts w:eastAsia="等线" w:cs="Times New Roman" w:hint="eastAsia"/>
          <w:i/>
          <w:iCs/>
          <w:color w:val="auto"/>
          <w:kern w:val="2"/>
          <w:sz w:val="16"/>
          <w:szCs w:val="16"/>
        </w:rPr>
        <w:t xml:space="preserve"> Fan Yang, XixiYuan</w:t>
      </w:r>
    </w:p>
    <w:p w14:paraId="2D4BE604" w14:textId="77777777" w:rsidR="00834366" w:rsidRPr="00B06561" w:rsidRDefault="00834366" w:rsidP="00834366">
      <w:pPr>
        <w:spacing w:after="0" w:line="240" w:lineRule="auto"/>
        <w:rPr>
          <w:rFonts w:eastAsia="等线" w:cs="Times New Roman"/>
          <w:i/>
          <w:iCs/>
          <w:color w:val="auto"/>
          <w:kern w:val="2"/>
          <w:sz w:val="16"/>
          <w:szCs w:val="16"/>
        </w:rPr>
      </w:pPr>
    </w:p>
    <w:p w14:paraId="53C3F8F9" w14:textId="77777777" w:rsidR="00834366" w:rsidRPr="00B06561" w:rsidRDefault="00834366" w:rsidP="00834366">
      <w:pPr>
        <w:spacing w:after="0" w:line="240" w:lineRule="auto"/>
        <w:rPr>
          <w:rFonts w:eastAsia="等线" w:cs="Times New Roman"/>
          <w:i/>
          <w:iCs/>
          <w:color w:val="auto"/>
          <w:kern w:val="2"/>
          <w:sz w:val="16"/>
          <w:szCs w:val="16"/>
        </w:rPr>
      </w:pPr>
      <w:r w:rsidRPr="00D51891">
        <w:rPr>
          <w:rFonts w:eastAsia="等线" w:cs="Times New Roman"/>
          <w:i/>
          <w:iCs/>
          <w:color w:val="auto"/>
          <w:kern w:val="2"/>
          <w:sz w:val="16"/>
          <w:szCs w:val="16"/>
        </w:rPr>
        <w:t xml:space="preserve">*Corresponding Author: </w:t>
      </w:r>
      <w:hyperlink r:id="rId7" w:history="1">
        <w:r w:rsidRPr="00B06561">
          <w:rPr>
            <w:rStyle w:val="af3"/>
            <w:rFonts w:eastAsia="等线" w:cs="Times New Roman"/>
            <w:i/>
            <w:iCs/>
            <w:kern w:val="2"/>
            <w:sz w:val="16"/>
            <w:szCs w:val="16"/>
          </w:rPr>
          <w:t>leiming_wu@gdut.edu.cn</w:t>
        </w:r>
      </w:hyperlink>
      <w:r w:rsidRPr="00B06561">
        <w:rPr>
          <w:rFonts w:hint="eastAsia"/>
          <w:i/>
          <w:iCs/>
          <w:sz w:val="16"/>
          <w:szCs w:val="16"/>
        </w:rPr>
        <w:t xml:space="preserve">; </w:t>
      </w:r>
      <w:hyperlink r:id="rId8" w:history="1">
        <w:r w:rsidRPr="00B06561">
          <w:rPr>
            <w:rStyle w:val="af3"/>
            <w:rFonts w:eastAsia="宋体" w:cs="Times New Roman"/>
            <w:i/>
            <w:iCs/>
            <w:sz w:val="16"/>
            <w:szCs w:val="16"/>
            <w:lang w:val="en-GB"/>
          </w:rPr>
          <w:t>xiangyuanjiang@126.com</w:t>
        </w:r>
      </w:hyperlink>
      <w:r w:rsidRPr="00B06561">
        <w:rPr>
          <w:rFonts w:eastAsia="宋体" w:cs="Times New Roman" w:hint="eastAsia"/>
          <w:i/>
          <w:iCs/>
          <w:sz w:val="16"/>
          <w:szCs w:val="16"/>
          <w:lang w:val="en-GB"/>
        </w:rPr>
        <w:t xml:space="preserve">; </w:t>
      </w:r>
      <w:hyperlink r:id="rId9" w:history="1">
        <w:r w:rsidRPr="00B06561">
          <w:rPr>
            <w:rStyle w:val="af3"/>
            <w:rFonts w:eastAsia="宋体" w:cs="Times New Roman"/>
            <w:i/>
            <w:iCs/>
            <w:sz w:val="16"/>
            <w:szCs w:val="16"/>
            <w:lang w:val="en-GB"/>
          </w:rPr>
          <w:t>hzhang@szu.edu.cn</w:t>
        </w:r>
      </w:hyperlink>
      <w:r w:rsidRPr="00B06561">
        <w:rPr>
          <w:rFonts w:eastAsia="宋体" w:cs="Times New Roman" w:hint="eastAsia"/>
          <w:i/>
          <w:iCs/>
          <w:sz w:val="16"/>
          <w:szCs w:val="16"/>
          <w:lang w:val="en-GB"/>
        </w:rPr>
        <w:t xml:space="preserve">; </w:t>
      </w:r>
      <w:hyperlink r:id="rId10" w:history="1">
        <w:r w:rsidRPr="00B06561">
          <w:rPr>
            <w:rStyle w:val="af3"/>
            <w:rFonts w:eastAsia="宋体" w:cs="Times New Roman"/>
            <w:i/>
            <w:iCs/>
            <w:sz w:val="16"/>
            <w:szCs w:val="16"/>
            <w:lang w:val="en-GB"/>
          </w:rPr>
          <w:t>yangj@gdut.edu.cn</w:t>
        </w:r>
      </w:hyperlink>
    </w:p>
    <w:bookmarkEnd w:id="0"/>
    <w:p w14:paraId="3411F07C" w14:textId="77777777" w:rsidR="00563F90" w:rsidRPr="00834366" w:rsidRDefault="00563F90" w:rsidP="00892ED2">
      <w:pPr>
        <w:pStyle w:val="References"/>
        <w:numPr>
          <w:ilvl w:val="0"/>
          <w:numId w:val="0"/>
        </w:numPr>
        <w:rPr>
          <w:sz w:val="28"/>
          <w:szCs w:val="28"/>
          <w:lang w:eastAsia="zh-CN"/>
        </w:rPr>
      </w:pPr>
    </w:p>
    <w:p w14:paraId="5865FEA1" w14:textId="77777777" w:rsidR="00DA3213" w:rsidRPr="000432AC" w:rsidRDefault="00DA3213" w:rsidP="00892ED2">
      <w:pPr>
        <w:pStyle w:val="References"/>
        <w:numPr>
          <w:ilvl w:val="0"/>
          <w:numId w:val="0"/>
        </w:numPr>
        <w:rPr>
          <w:sz w:val="28"/>
          <w:szCs w:val="28"/>
          <w:lang w:eastAsia="zh-CN"/>
        </w:rPr>
      </w:pPr>
    </w:p>
    <w:p w14:paraId="12D05999" w14:textId="77777777" w:rsidR="00895535" w:rsidRDefault="00895535" w:rsidP="00895535">
      <w:pPr>
        <w:spacing w:after="200" w:line="276" w:lineRule="auto"/>
        <w:rPr>
          <w:rFonts w:cs="Times New Roman"/>
          <w:b/>
          <w:color w:val="auto"/>
          <w:sz w:val="16"/>
          <w:szCs w:val="16"/>
        </w:rPr>
      </w:pPr>
      <w:r w:rsidRPr="004E1E9B">
        <w:rPr>
          <w:rFonts w:cs="Times New Roman"/>
          <w:b/>
          <w:noProof/>
          <w:color w:val="auto"/>
          <w:sz w:val="16"/>
          <w:szCs w:val="16"/>
        </w:rPr>
        <w:drawing>
          <wp:inline distT="0" distB="0" distL="0" distR="0" wp14:anchorId="320BFD67" wp14:editId="11052286">
            <wp:extent cx="5943600" cy="2000885"/>
            <wp:effectExtent l="0" t="0" r="0" b="0"/>
            <wp:docPr id="2057936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368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0CE9" w14:textId="641186DE" w:rsidR="00895535" w:rsidRPr="006625BE" w:rsidRDefault="00895535" w:rsidP="00895535">
      <w:pPr>
        <w:spacing w:after="200" w:line="276" w:lineRule="auto"/>
        <w:jc w:val="both"/>
        <w:rPr>
          <w:rFonts w:cs="Times New Roman"/>
          <w:color w:val="auto"/>
          <w:sz w:val="16"/>
          <w:szCs w:val="16"/>
        </w:rPr>
      </w:pP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Fig. </w:t>
      </w:r>
      <w:r>
        <w:rPr>
          <w:rFonts w:cs="Times New Roman" w:hint="eastAsia"/>
          <w:b/>
          <w:color w:val="auto"/>
          <w:sz w:val="16"/>
          <w:szCs w:val="16"/>
        </w:rPr>
        <w:t>S</w:t>
      </w: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1 </w:t>
      </w:r>
      <w:r>
        <w:rPr>
          <w:rFonts w:cs="Times New Roman" w:hint="eastAsia"/>
          <w:b/>
          <w:color w:val="auto"/>
          <w:sz w:val="16"/>
          <w:szCs w:val="16"/>
        </w:rPr>
        <w:t>E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xperimental refractive-index calibration of bare-Au SPR and SPR+BP-COOH.</w:t>
      </w:r>
      <w:r w:rsidRPr="000432AC">
        <w:rPr>
          <w:rFonts w:eastAsia="Times New Roman" w:cs="Times New Roman"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 xml:space="preserve">(a) 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>Angle-scanned reflectance curves of bare-Au SPR measured in sensing media with refractive indices nₛ = 1.3320, 1.3385, 1.3435, 1.3472 and 1.3530.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 xml:space="preserve"> (b) 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>Angle-scanned reflectance curves of the 13 nm SPR+BP-COOH structure measured in sensing media with refractive indices nₛ = 1.3320, 1.3385, 1.3435, 1.3472 and 1.3530. (c) Resonance angle as a function of refractive index for bare-Au SPR and the 13 nm SPR+BP-COOH structure, together with linear fitting curves.</w:t>
      </w:r>
    </w:p>
    <w:p w14:paraId="429E27AD" w14:textId="77777777" w:rsidR="00895535" w:rsidRDefault="00895535" w:rsidP="00895535">
      <w:pPr>
        <w:spacing w:after="200" w:line="276" w:lineRule="auto"/>
        <w:rPr>
          <w:rFonts w:cs="Times New Roman"/>
          <w:b/>
          <w:color w:val="auto"/>
          <w:sz w:val="16"/>
          <w:szCs w:val="16"/>
        </w:rPr>
      </w:pPr>
      <w:r w:rsidRPr="00AC7064">
        <w:rPr>
          <w:rFonts w:cs="Times New Roman"/>
          <w:b/>
          <w:noProof/>
          <w:color w:val="auto"/>
          <w:sz w:val="16"/>
          <w:szCs w:val="16"/>
        </w:rPr>
        <w:lastRenderedPageBreak/>
        <w:drawing>
          <wp:inline distT="0" distB="0" distL="0" distR="0" wp14:anchorId="0D0A3ACF" wp14:editId="5C7EDFA7">
            <wp:extent cx="5943600" cy="2817495"/>
            <wp:effectExtent l="0" t="0" r="0" b="1905"/>
            <wp:docPr id="1373849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497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FA4E" w14:textId="0472CC65" w:rsidR="00895535" w:rsidRPr="00AC7064" w:rsidRDefault="00895535" w:rsidP="00895535">
      <w:pPr>
        <w:spacing w:after="200" w:line="276" w:lineRule="auto"/>
        <w:jc w:val="both"/>
        <w:rPr>
          <w:rFonts w:cs="Times New Roman"/>
          <w:color w:val="auto"/>
          <w:sz w:val="16"/>
          <w:szCs w:val="16"/>
        </w:rPr>
      </w:pP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Fig. </w:t>
      </w:r>
      <w:r>
        <w:rPr>
          <w:rFonts w:cs="Times New Roman" w:hint="eastAsia"/>
          <w:b/>
          <w:color w:val="auto"/>
          <w:sz w:val="16"/>
          <w:szCs w:val="16"/>
        </w:rPr>
        <w:t>S2</w:t>
      </w: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 xml:space="preserve">Repeatability test of Pb²⁺ sensing performed on the same 13 nm SPR+BP-COOH structure. (a) 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 xml:space="preserve">Angle-scanned reflectance curves of the same 13 nm SPR+BP-COOH structure measured for Pb²⁺ concentrations of 0, 10⁻²⁰, 10⁻¹⁹, 10⁻¹⁸, 10⁻¹⁷, 10⁻¹⁶ and 10⁻¹⁵ M.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(b)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 xml:space="preserve"> Resonance-angle shift Δθ as a function of Pb²⁺ concentration for the same 13 nm SPR+BP-COOH structure, together with the nonlinear fitting curve.</w:t>
      </w:r>
    </w:p>
    <w:p w14:paraId="64E34FBC" w14:textId="77777777" w:rsidR="00895535" w:rsidRDefault="00895535" w:rsidP="00895535">
      <w:pPr>
        <w:spacing w:after="200" w:line="276" w:lineRule="auto"/>
        <w:rPr>
          <w:rFonts w:cs="Times New Roman"/>
          <w:b/>
          <w:color w:val="auto"/>
          <w:sz w:val="16"/>
          <w:szCs w:val="16"/>
        </w:rPr>
      </w:pPr>
      <w:r w:rsidRPr="00AC7064">
        <w:rPr>
          <w:rFonts w:cs="Times New Roman"/>
          <w:b/>
          <w:noProof/>
          <w:color w:val="auto"/>
          <w:sz w:val="16"/>
          <w:szCs w:val="16"/>
        </w:rPr>
        <w:lastRenderedPageBreak/>
        <w:drawing>
          <wp:inline distT="0" distB="0" distL="0" distR="0" wp14:anchorId="0A56FC50" wp14:editId="461A3917">
            <wp:extent cx="5943600" cy="5048250"/>
            <wp:effectExtent l="0" t="0" r="0" b="0"/>
            <wp:docPr id="656621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2111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D17C" w14:textId="0105F398" w:rsidR="00895535" w:rsidRPr="00AC7064" w:rsidRDefault="00895535" w:rsidP="00895535">
      <w:pPr>
        <w:spacing w:after="200" w:line="276" w:lineRule="auto"/>
        <w:jc w:val="both"/>
        <w:rPr>
          <w:rFonts w:cs="Times New Roman"/>
          <w:color w:val="auto"/>
          <w:sz w:val="16"/>
          <w:szCs w:val="16"/>
        </w:rPr>
      </w:pP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Fig. </w:t>
      </w:r>
      <w:r>
        <w:rPr>
          <w:rFonts w:cs="Times New Roman" w:hint="eastAsia"/>
          <w:b/>
          <w:color w:val="auto"/>
          <w:sz w:val="16"/>
          <w:szCs w:val="16"/>
        </w:rPr>
        <w:t>S3</w:t>
      </w: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 xml:space="preserve">Pb²⁺ sensing results obtained from an SPR+BP-COOH structure with a thickness of approximately 11 nm. (a) 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>Angle-scanned reflectance curves of the 11 nm SPR+BP-COOH structure measured for Pb²⁺ concentrations of 0, 10⁻²⁰, 10⁻¹⁹, 10⁻¹⁸, 10⁻¹⁷, 10⁻¹⁶ and 10⁻¹⁵ M.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 xml:space="preserve"> (b) 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>Resonance-angle shift Δθ as a function of Pb²⁺ concentration for the 11 nm SPR+BP-COOH structure, together with the nonlinear fitting curve.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 xml:space="preserve"> (c) 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>AFM image of the 11 nm BP-COOH functional layer. (d) Height profile extracted from the AFM image in c, showing a thickness of approximately 11 nm.</w:t>
      </w:r>
    </w:p>
    <w:p w14:paraId="0C4F7B5C" w14:textId="42B13B8D" w:rsidR="00895535" w:rsidRDefault="00D072DE" w:rsidP="00895535">
      <w:pPr>
        <w:spacing w:after="200" w:line="276" w:lineRule="auto"/>
        <w:rPr>
          <w:rFonts w:cs="Times New Roman"/>
          <w:b/>
          <w:color w:val="auto"/>
          <w:sz w:val="16"/>
          <w:szCs w:val="16"/>
        </w:rPr>
      </w:pPr>
      <w:r w:rsidRPr="00D072DE">
        <w:rPr>
          <w:rFonts w:cs="Times New Roman"/>
          <w:b/>
          <w:color w:val="auto"/>
          <w:sz w:val="16"/>
          <w:szCs w:val="16"/>
        </w:rPr>
        <w:lastRenderedPageBreak/>
        <w:drawing>
          <wp:inline distT="0" distB="0" distL="0" distR="0" wp14:anchorId="24466DE3" wp14:editId="3BAF3A0C">
            <wp:extent cx="5943600" cy="2966720"/>
            <wp:effectExtent l="0" t="0" r="0" b="5080"/>
            <wp:docPr id="1640340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407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2EE5" w14:textId="7F03A128" w:rsidR="00895535" w:rsidRPr="00AC7064" w:rsidRDefault="00895535" w:rsidP="00895535">
      <w:pPr>
        <w:spacing w:after="200" w:line="276" w:lineRule="auto"/>
        <w:jc w:val="both"/>
        <w:rPr>
          <w:rFonts w:cs="Times New Roman"/>
          <w:color w:val="auto"/>
          <w:sz w:val="16"/>
          <w:szCs w:val="16"/>
        </w:rPr>
      </w:pP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Fig. </w:t>
      </w:r>
      <w:r>
        <w:rPr>
          <w:rFonts w:cs="Times New Roman" w:hint="eastAsia"/>
          <w:b/>
          <w:color w:val="auto"/>
          <w:sz w:val="16"/>
          <w:szCs w:val="16"/>
        </w:rPr>
        <w:t>S4</w:t>
      </w: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Angle-scanned reflectance curves and resonance-angle fitting results for Pb²⁺ detection by bare-Au SPR. (a)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 xml:space="preserve"> Angle-scanned reflectance curves of bare-Au SPR measured for Pb²⁺ concentrations of 0, 10⁻⁶, 10⁻⁵, 10⁻⁴, 10⁻³ and 10⁻² M.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(b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>) Resonance-angle shift Δθ as a function of Pb²⁺ concentration for bare-Au SPR, together with the nonlinear fitting curve.</w:t>
      </w:r>
    </w:p>
    <w:p w14:paraId="7FDFE30D" w14:textId="319F03A7" w:rsidR="00895535" w:rsidRDefault="00273AB1" w:rsidP="00895535">
      <w:pPr>
        <w:spacing w:after="200" w:line="276" w:lineRule="auto"/>
        <w:rPr>
          <w:rFonts w:cs="Times New Roman"/>
          <w:b/>
          <w:color w:val="auto"/>
          <w:sz w:val="16"/>
          <w:szCs w:val="16"/>
        </w:rPr>
      </w:pPr>
      <w:r w:rsidRPr="00273AB1">
        <w:rPr>
          <w:rFonts w:cs="Times New Roman"/>
          <w:b/>
          <w:color w:val="auto"/>
          <w:sz w:val="16"/>
          <w:szCs w:val="16"/>
        </w:rPr>
        <w:drawing>
          <wp:inline distT="0" distB="0" distL="0" distR="0" wp14:anchorId="3C5BF69C" wp14:editId="1FD46D7B">
            <wp:extent cx="5943600" cy="2961640"/>
            <wp:effectExtent l="0" t="0" r="0" b="0"/>
            <wp:docPr id="1878503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031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5E16" w14:textId="7A10E1E6" w:rsidR="00895535" w:rsidRPr="00AC7064" w:rsidRDefault="00895535" w:rsidP="00895535">
      <w:pPr>
        <w:spacing w:after="200" w:line="276" w:lineRule="auto"/>
        <w:rPr>
          <w:rFonts w:cs="Times New Roman"/>
          <w:bCs/>
          <w:color w:val="auto"/>
          <w:sz w:val="16"/>
          <w:szCs w:val="16"/>
        </w:rPr>
      </w:pP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Fig. </w:t>
      </w:r>
      <w:r>
        <w:rPr>
          <w:rFonts w:cs="Times New Roman" w:hint="eastAsia"/>
          <w:b/>
          <w:color w:val="auto"/>
          <w:sz w:val="16"/>
          <w:szCs w:val="16"/>
        </w:rPr>
        <w:t>S5</w:t>
      </w:r>
      <w:r w:rsidRPr="00AC7064">
        <w:rPr>
          <w:rFonts w:ascii="宋体" w:eastAsia="宋体" w:hAnsi="宋体" w:cs="宋体"/>
          <w:b/>
          <w:bCs/>
          <w:color w:val="auto"/>
          <w:szCs w:val="24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Angle-scanned reflectance curves and resonance-angle fitting results for Cd²⁺ detection by SPR+BP-COOH.</w:t>
      </w:r>
      <w:r w:rsidRPr="006625BE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(a)</w:t>
      </w:r>
      <w:r w:rsidRPr="006625BE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Cs/>
          <w:color w:val="auto"/>
          <w:sz w:val="16"/>
          <w:szCs w:val="16"/>
          <w:lang w:eastAsia="en-US"/>
        </w:rPr>
        <w:t xml:space="preserve">Angle-scanned reflectance curves of SPR+BP-COOH measured for Cd²⁺ concentrations of 0, 10⁻¹³, 10⁻¹², 10⁻¹¹, 10⁻¹⁰ and 10⁻⁹ M.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(b)</w:t>
      </w:r>
      <w:r w:rsidRPr="006625BE">
        <w:rPr>
          <w:rFonts w:eastAsia="Times New Roman" w:cs="Times New Roman"/>
          <w:bCs/>
          <w:color w:val="auto"/>
          <w:sz w:val="16"/>
          <w:szCs w:val="16"/>
          <w:lang w:eastAsia="en-US"/>
        </w:rPr>
        <w:t xml:space="preserve"> Resonance-angle shift Δθ as a function of Cd²⁺ concentration, together with the nonlinear fitting curve.</w:t>
      </w:r>
    </w:p>
    <w:p w14:paraId="34244F47" w14:textId="77777777" w:rsidR="00895535" w:rsidRDefault="00895535" w:rsidP="00895535">
      <w:pPr>
        <w:spacing w:after="200" w:line="276" w:lineRule="auto"/>
        <w:rPr>
          <w:rFonts w:cs="Times New Roman"/>
          <w:b/>
          <w:color w:val="auto"/>
          <w:sz w:val="16"/>
          <w:szCs w:val="16"/>
        </w:rPr>
      </w:pPr>
      <w:r w:rsidRPr="00AC7064">
        <w:rPr>
          <w:rFonts w:cs="Times New Roman"/>
          <w:b/>
          <w:noProof/>
          <w:color w:val="auto"/>
          <w:sz w:val="16"/>
          <w:szCs w:val="16"/>
        </w:rPr>
        <w:lastRenderedPageBreak/>
        <w:drawing>
          <wp:inline distT="0" distB="0" distL="0" distR="0" wp14:anchorId="23CDBD1C" wp14:editId="26DC9AA3">
            <wp:extent cx="5943600" cy="2987040"/>
            <wp:effectExtent l="0" t="0" r="0" b="3810"/>
            <wp:docPr id="669555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5522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3619" w14:textId="5477EC53" w:rsidR="00895535" w:rsidRPr="00AC7064" w:rsidRDefault="00895535" w:rsidP="00895535">
      <w:pPr>
        <w:spacing w:after="200" w:line="276" w:lineRule="auto"/>
        <w:jc w:val="both"/>
        <w:rPr>
          <w:rFonts w:cs="Times New Roman"/>
          <w:color w:val="auto"/>
          <w:sz w:val="16"/>
          <w:szCs w:val="16"/>
        </w:rPr>
      </w:pP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Fig. </w:t>
      </w:r>
      <w:r>
        <w:rPr>
          <w:rFonts w:cs="Times New Roman" w:hint="eastAsia"/>
          <w:b/>
          <w:color w:val="auto"/>
          <w:sz w:val="16"/>
          <w:szCs w:val="16"/>
        </w:rPr>
        <w:t>S6</w:t>
      </w: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 xml:space="preserve">Angle-scanned reflectance curves and resonance-angle fitting results for Cu²⁺ detection by SPR+BP-COOH. (a) 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 xml:space="preserve">Angle-scanned reflectance curves of SPR+BP-COOH measured for Cu²⁺ concentrations of 0, 10⁻¹³, 10⁻¹², 10⁻¹¹, 10⁻¹⁰ and 10⁻⁹ M.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 xml:space="preserve">(b) 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>Resonance-angle shift Δθ as a function of Cu²⁺ concentration, together with the nonlinear fitting curve.</w:t>
      </w:r>
    </w:p>
    <w:p w14:paraId="1FE25F16" w14:textId="77777777" w:rsidR="00895535" w:rsidRDefault="00895535" w:rsidP="00895535">
      <w:pPr>
        <w:spacing w:after="200" w:line="276" w:lineRule="auto"/>
        <w:rPr>
          <w:rFonts w:cs="Times New Roman"/>
          <w:b/>
          <w:color w:val="auto"/>
          <w:sz w:val="16"/>
          <w:szCs w:val="16"/>
        </w:rPr>
      </w:pPr>
      <w:r w:rsidRPr="00E9532A">
        <w:rPr>
          <w:rFonts w:cs="Times New Roman"/>
          <w:b/>
          <w:noProof/>
          <w:color w:val="auto"/>
          <w:sz w:val="16"/>
          <w:szCs w:val="16"/>
        </w:rPr>
        <w:drawing>
          <wp:inline distT="0" distB="0" distL="0" distR="0" wp14:anchorId="78253348" wp14:editId="462D49B7">
            <wp:extent cx="5943600" cy="3006090"/>
            <wp:effectExtent l="0" t="0" r="0" b="3810"/>
            <wp:docPr id="49589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97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882A" w14:textId="61D000E3" w:rsidR="00895535" w:rsidRPr="00AC7064" w:rsidRDefault="00895535" w:rsidP="00895535">
      <w:pPr>
        <w:spacing w:after="200" w:line="276" w:lineRule="auto"/>
        <w:jc w:val="both"/>
        <w:rPr>
          <w:rFonts w:cs="Times New Roman"/>
          <w:bCs/>
          <w:color w:val="auto"/>
          <w:sz w:val="16"/>
          <w:szCs w:val="16"/>
        </w:rPr>
      </w:pP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Fig. </w:t>
      </w:r>
      <w:r>
        <w:rPr>
          <w:rFonts w:cs="Times New Roman" w:hint="eastAsia"/>
          <w:b/>
          <w:color w:val="auto"/>
          <w:sz w:val="16"/>
          <w:szCs w:val="16"/>
        </w:rPr>
        <w:t>S7</w:t>
      </w:r>
      <w:r w:rsidRPr="00AC7064">
        <w:rPr>
          <w:rFonts w:ascii="宋体" w:eastAsia="宋体" w:hAnsi="宋体" w:cs="宋体"/>
          <w:b/>
          <w:bCs/>
          <w:color w:val="auto"/>
          <w:szCs w:val="24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Angle-scanned reflectance curves and resonance-angle fitting results for Zn²⁺ detection by SPR+BP-COOH.</w:t>
      </w:r>
      <w:r w:rsidRPr="006625BE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(a)</w:t>
      </w:r>
      <w:r w:rsidRPr="006625BE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Cs/>
          <w:color w:val="auto"/>
          <w:sz w:val="16"/>
          <w:szCs w:val="16"/>
          <w:lang w:eastAsia="en-US"/>
        </w:rPr>
        <w:t>Angle-scanned reflectance curves of SPR+BP-COOH measured for Zn²⁺ concentrations of 0, 10⁻¹², 10⁻¹¹, 10⁻¹⁰, 10⁻⁹ and 10⁻⁸ M.</w:t>
      </w:r>
      <w:r w:rsidRPr="006625BE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(b)</w:t>
      </w:r>
      <w:r w:rsidRPr="006625BE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Cs/>
          <w:color w:val="auto"/>
          <w:sz w:val="16"/>
          <w:szCs w:val="16"/>
          <w:lang w:eastAsia="en-US"/>
        </w:rPr>
        <w:t>Resonance-angle shift Δθ as a function of Zn²⁺ concentration, together with the nonlinear fitting curve.</w:t>
      </w:r>
    </w:p>
    <w:p w14:paraId="5A827D6F" w14:textId="77777777" w:rsidR="00895535" w:rsidRDefault="00895535" w:rsidP="00895535">
      <w:pPr>
        <w:spacing w:after="200" w:line="276" w:lineRule="auto"/>
        <w:rPr>
          <w:rFonts w:cs="Times New Roman"/>
          <w:b/>
          <w:color w:val="auto"/>
          <w:sz w:val="16"/>
          <w:szCs w:val="16"/>
        </w:rPr>
      </w:pPr>
      <w:r w:rsidRPr="00E9532A">
        <w:rPr>
          <w:rFonts w:cs="Times New Roman"/>
          <w:b/>
          <w:noProof/>
          <w:color w:val="auto"/>
          <w:sz w:val="16"/>
          <w:szCs w:val="16"/>
        </w:rPr>
        <w:lastRenderedPageBreak/>
        <w:drawing>
          <wp:inline distT="0" distB="0" distL="0" distR="0" wp14:anchorId="5271D55C" wp14:editId="74130921">
            <wp:extent cx="5943600" cy="2936240"/>
            <wp:effectExtent l="0" t="0" r="0" b="0"/>
            <wp:docPr id="618964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645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04C8" w14:textId="5E05CBC7" w:rsidR="00895535" w:rsidRPr="00AC7064" w:rsidRDefault="00895535" w:rsidP="00895535">
      <w:pPr>
        <w:spacing w:after="200" w:line="276" w:lineRule="auto"/>
        <w:jc w:val="both"/>
        <w:rPr>
          <w:rFonts w:cs="Times New Roman"/>
          <w:color w:val="auto"/>
          <w:sz w:val="16"/>
          <w:szCs w:val="16"/>
        </w:rPr>
      </w:pP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Fig. </w:t>
      </w:r>
      <w:r>
        <w:rPr>
          <w:rFonts w:cs="Times New Roman" w:hint="eastAsia"/>
          <w:b/>
          <w:color w:val="auto"/>
          <w:sz w:val="16"/>
          <w:szCs w:val="16"/>
        </w:rPr>
        <w:t>S8</w:t>
      </w: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 xml:space="preserve">Angle-scanned reflectance curves and resonance-angle fitting results for Ni²⁺ detection by SPR+BP-COOH. (a) 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 xml:space="preserve">Angle-scanned reflectance curves of SPR+BP-COOH measured for Ni²⁺ concentrations of 0, 10⁻¹⁰, 10⁻⁹, 10⁻⁸, 10⁻⁷ and 10⁻⁶ M.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 xml:space="preserve">(b) 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>Resonance-angle shift Δθ as a function of Ni²⁺ concentration, together with the nonlinear fitting curve.</w:t>
      </w:r>
    </w:p>
    <w:p w14:paraId="03AB575C" w14:textId="77777777" w:rsidR="00895535" w:rsidRDefault="00895535" w:rsidP="00895535">
      <w:pPr>
        <w:spacing w:after="200" w:line="276" w:lineRule="auto"/>
        <w:rPr>
          <w:rFonts w:cs="Times New Roman"/>
          <w:b/>
          <w:color w:val="auto"/>
          <w:sz w:val="16"/>
          <w:szCs w:val="16"/>
        </w:rPr>
      </w:pPr>
      <w:r w:rsidRPr="00E9532A">
        <w:rPr>
          <w:rFonts w:cs="Times New Roman"/>
          <w:b/>
          <w:noProof/>
          <w:color w:val="auto"/>
          <w:sz w:val="16"/>
          <w:szCs w:val="16"/>
        </w:rPr>
        <w:drawing>
          <wp:inline distT="0" distB="0" distL="0" distR="0" wp14:anchorId="1952279C" wp14:editId="7FC63F72">
            <wp:extent cx="5943600" cy="2931795"/>
            <wp:effectExtent l="0" t="0" r="0" b="1905"/>
            <wp:docPr id="1676379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796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30AB5" w14:textId="648C1AA5" w:rsidR="00895535" w:rsidRPr="00AC7064" w:rsidRDefault="00895535" w:rsidP="00895535">
      <w:pPr>
        <w:spacing w:after="200" w:line="276" w:lineRule="auto"/>
        <w:jc w:val="both"/>
        <w:rPr>
          <w:rFonts w:cs="Times New Roman"/>
          <w:color w:val="auto"/>
          <w:sz w:val="16"/>
          <w:szCs w:val="16"/>
        </w:rPr>
      </w:pP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Fig. </w:t>
      </w:r>
      <w:r>
        <w:rPr>
          <w:rFonts w:cs="Times New Roman" w:hint="eastAsia"/>
          <w:b/>
          <w:color w:val="auto"/>
          <w:sz w:val="16"/>
          <w:szCs w:val="16"/>
        </w:rPr>
        <w:t>S9</w:t>
      </w: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 xml:space="preserve">Angle-scanned reflectance curves and resonance-angle fitting results for Ca²⁺ detection by SPR+BP-COOH. (a) 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 xml:space="preserve">Angle-scanned reflectance curves of SPR+BP-COOH measured for Ca²⁺ concentrations of 0, 10⁻⁹, 10⁻⁸, 10⁻⁷, 10⁻⁶ and 10⁻⁵ M.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(b)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 xml:space="preserve"> Resonance-angle shift Δθ as a function of Ca²⁺ concentration, together with the nonlinear fitting curve.</w:t>
      </w:r>
    </w:p>
    <w:p w14:paraId="29FEBAFD" w14:textId="77777777" w:rsidR="00895535" w:rsidRDefault="00895535" w:rsidP="00895535">
      <w:pPr>
        <w:spacing w:after="200" w:line="276" w:lineRule="auto"/>
        <w:rPr>
          <w:rFonts w:cs="Times New Roman"/>
          <w:b/>
          <w:color w:val="auto"/>
          <w:sz w:val="16"/>
          <w:szCs w:val="16"/>
        </w:rPr>
      </w:pPr>
      <w:r w:rsidRPr="00E9532A">
        <w:rPr>
          <w:rFonts w:cs="Times New Roman"/>
          <w:b/>
          <w:noProof/>
          <w:color w:val="auto"/>
          <w:sz w:val="16"/>
          <w:szCs w:val="16"/>
        </w:rPr>
        <w:lastRenderedPageBreak/>
        <w:drawing>
          <wp:inline distT="0" distB="0" distL="0" distR="0" wp14:anchorId="737CE5F5" wp14:editId="198ED76D">
            <wp:extent cx="5943600" cy="3068955"/>
            <wp:effectExtent l="0" t="0" r="0" b="0"/>
            <wp:docPr id="1266065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657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51B4" w14:textId="75B3D931" w:rsidR="00895535" w:rsidRPr="00AC7064" w:rsidRDefault="00895535" w:rsidP="00895535">
      <w:pPr>
        <w:spacing w:after="200" w:line="276" w:lineRule="auto"/>
        <w:jc w:val="both"/>
        <w:rPr>
          <w:rFonts w:cs="Times New Roman"/>
          <w:bCs/>
          <w:color w:val="auto"/>
          <w:sz w:val="16"/>
          <w:szCs w:val="16"/>
        </w:rPr>
      </w:pP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Fig. </w:t>
      </w:r>
      <w:r>
        <w:rPr>
          <w:rFonts w:cs="Times New Roman" w:hint="eastAsia"/>
          <w:b/>
          <w:color w:val="auto"/>
          <w:sz w:val="16"/>
          <w:szCs w:val="16"/>
        </w:rPr>
        <w:t>S</w:t>
      </w: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>1</w:t>
      </w:r>
      <w:r>
        <w:rPr>
          <w:rFonts w:cs="Times New Roman" w:hint="eastAsia"/>
          <w:b/>
          <w:color w:val="auto"/>
          <w:sz w:val="16"/>
          <w:szCs w:val="16"/>
        </w:rPr>
        <w:t>0</w:t>
      </w:r>
      <w:r w:rsidRPr="00AC7064">
        <w:rPr>
          <w:rFonts w:ascii="宋体" w:eastAsia="宋体" w:hAnsi="宋体" w:cs="宋体"/>
          <w:b/>
          <w:bCs/>
          <w:color w:val="auto"/>
          <w:szCs w:val="24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Angle-scanned reflectance curves and resonance-angle fitting results for Mg²⁺ detection by SPR+BP-COOH.</w:t>
      </w:r>
      <w:r w:rsidRPr="006625BE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(a)</w:t>
      </w:r>
      <w:r w:rsidRPr="006625BE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Cs/>
          <w:color w:val="auto"/>
          <w:sz w:val="16"/>
          <w:szCs w:val="16"/>
          <w:lang w:eastAsia="en-US"/>
        </w:rPr>
        <w:t xml:space="preserve">Angle-scanned reflectance curves of SPR+BP-COOH measured for Mg²⁺ concentrations of 0, 10⁻⁸, 10⁻⁷, 10⁻⁶, 10⁻⁵ and 10⁻⁴ M.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(b)</w:t>
      </w:r>
      <w:r w:rsidRPr="006625BE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Cs/>
          <w:color w:val="auto"/>
          <w:sz w:val="16"/>
          <w:szCs w:val="16"/>
          <w:lang w:eastAsia="en-US"/>
        </w:rPr>
        <w:t>Resonance-angle shift Δθ as a function of Mg²⁺ concentration, together with the nonlinear fitting curve.</w:t>
      </w:r>
    </w:p>
    <w:p w14:paraId="53433F68" w14:textId="77777777" w:rsidR="00895535" w:rsidRDefault="00895535" w:rsidP="00895535">
      <w:pPr>
        <w:spacing w:after="200" w:line="276" w:lineRule="auto"/>
        <w:jc w:val="center"/>
        <w:rPr>
          <w:rFonts w:cs="Times New Roman"/>
          <w:b/>
          <w:color w:val="auto"/>
          <w:sz w:val="16"/>
          <w:szCs w:val="16"/>
        </w:rPr>
      </w:pPr>
      <w:r w:rsidRPr="00E9532A">
        <w:rPr>
          <w:rFonts w:cs="Times New Roman"/>
          <w:b/>
          <w:noProof/>
          <w:color w:val="auto"/>
          <w:sz w:val="16"/>
          <w:szCs w:val="16"/>
        </w:rPr>
        <w:drawing>
          <wp:inline distT="0" distB="0" distL="0" distR="0" wp14:anchorId="17EB27F9" wp14:editId="3CB30826">
            <wp:extent cx="3441130" cy="3039297"/>
            <wp:effectExtent l="0" t="0" r="6985" b="8890"/>
            <wp:docPr id="312290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906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6898" cy="305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4A87" w14:textId="33EEF001" w:rsidR="00895535" w:rsidRPr="00AC7064" w:rsidRDefault="00895535" w:rsidP="00895535">
      <w:pPr>
        <w:spacing w:after="200" w:line="276" w:lineRule="auto"/>
        <w:jc w:val="both"/>
        <w:rPr>
          <w:rFonts w:cs="Times New Roman"/>
          <w:color w:val="auto"/>
          <w:sz w:val="16"/>
          <w:szCs w:val="16"/>
        </w:rPr>
      </w:pP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Fig. </w:t>
      </w:r>
      <w:r>
        <w:rPr>
          <w:rFonts w:cs="Times New Roman" w:hint="eastAsia"/>
          <w:b/>
          <w:color w:val="auto"/>
          <w:sz w:val="16"/>
          <w:szCs w:val="16"/>
        </w:rPr>
        <w:t>S</w:t>
      </w: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>1</w:t>
      </w:r>
      <w:r>
        <w:rPr>
          <w:rFonts w:cs="Times New Roman" w:hint="eastAsia"/>
          <w:b/>
          <w:color w:val="auto"/>
          <w:sz w:val="16"/>
          <w:szCs w:val="16"/>
        </w:rPr>
        <w:t>1</w:t>
      </w:r>
      <w:r w:rsidRPr="000432AC">
        <w:rPr>
          <w:rFonts w:eastAsia="Times New Roman" w:cs="Times New Roman"/>
          <w:b/>
          <w:color w:val="auto"/>
          <w:sz w:val="16"/>
          <w:szCs w:val="16"/>
          <w:lang w:eastAsia="en-US"/>
        </w:rPr>
        <w:t xml:space="preserve"> </w:t>
      </w:r>
      <w:r w:rsidRPr="006625BE">
        <w:rPr>
          <w:rFonts w:eastAsia="Times New Roman" w:cs="Times New Roman"/>
          <w:b/>
          <w:bCs/>
          <w:color w:val="auto"/>
          <w:sz w:val="16"/>
          <w:szCs w:val="16"/>
          <w:lang w:eastAsia="en-US"/>
        </w:rPr>
        <w:t>Repeated measurements of the same pure-water sample on SPR+BP-COOH at 2 min intervals.</w:t>
      </w:r>
      <w:r w:rsidRPr="006625BE">
        <w:rPr>
          <w:rFonts w:eastAsia="Times New Roman" w:cs="Times New Roman"/>
          <w:color w:val="auto"/>
          <w:sz w:val="16"/>
          <w:szCs w:val="16"/>
          <w:lang w:eastAsia="en-US"/>
        </w:rPr>
        <w:t xml:space="preserve"> Angle-scanned reflectance curves recorded at 0, 2, 4, 6, 8, 10, 12, 14, 16, 18, 20, 22, 24 and 26 min after deposition of the BP-COOH functional layer.</w:t>
      </w:r>
    </w:p>
    <w:p w14:paraId="3330547F" w14:textId="5D2883BB" w:rsidR="00161C91" w:rsidRPr="00895535" w:rsidRDefault="00161C91" w:rsidP="00563F90">
      <w:pPr>
        <w:spacing w:after="200" w:line="276" w:lineRule="auto"/>
        <w:rPr>
          <w:rFonts w:cs="Times New Roman"/>
          <w:color w:val="auto"/>
          <w:sz w:val="16"/>
          <w:szCs w:val="16"/>
        </w:rPr>
      </w:pPr>
    </w:p>
    <w:sectPr w:rsidR="00161C91" w:rsidRPr="00895535" w:rsidSect="00563F90">
      <w:headerReference w:type="default" r:id="rId22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2CC18" w14:textId="77777777" w:rsidR="00444025" w:rsidRDefault="00444025" w:rsidP="00563F90">
      <w:pPr>
        <w:spacing w:after="0" w:line="240" w:lineRule="auto"/>
      </w:pPr>
      <w:r>
        <w:separator/>
      </w:r>
    </w:p>
  </w:endnote>
  <w:endnote w:type="continuationSeparator" w:id="0">
    <w:p w14:paraId="16C14AB4" w14:textId="77777777" w:rsidR="00444025" w:rsidRDefault="00444025" w:rsidP="00563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937F3" w14:textId="77777777" w:rsidR="00444025" w:rsidRDefault="00444025" w:rsidP="00563F90">
      <w:pPr>
        <w:spacing w:after="0" w:line="240" w:lineRule="auto"/>
      </w:pPr>
      <w:r>
        <w:separator/>
      </w:r>
    </w:p>
  </w:footnote>
  <w:footnote w:type="continuationSeparator" w:id="0">
    <w:p w14:paraId="177715C7" w14:textId="77777777" w:rsidR="00444025" w:rsidRDefault="00444025" w:rsidP="00563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32D79" w14:textId="77B54D6A" w:rsidR="00DA3213" w:rsidRDefault="00DA3213" w:rsidP="00DA3213">
    <w:pPr>
      <w:pStyle w:val="a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77D64"/>
    <w:multiLevelType w:val="singleLevel"/>
    <w:tmpl w:val="480C87D2"/>
    <w:lvl w:ilvl="0">
      <w:start w:val="1"/>
      <w:numFmt w:val="decimal"/>
      <w:pStyle w:val="References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/>
      </w:rPr>
    </w:lvl>
  </w:abstractNum>
  <w:num w:numId="1" w16cid:durableId="1248611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B95"/>
    <w:rsid w:val="00096347"/>
    <w:rsid w:val="000F43FF"/>
    <w:rsid w:val="00161C91"/>
    <w:rsid w:val="00253B95"/>
    <w:rsid w:val="00273AB1"/>
    <w:rsid w:val="00387B61"/>
    <w:rsid w:val="00444025"/>
    <w:rsid w:val="00523440"/>
    <w:rsid w:val="00563F90"/>
    <w:rsid w:val="005E55BA"/>
    <w:rsid w:val="006E3375"/>
    <w:rsid w:val="00702024"/>
    <w:rsid w:val="007937F8"/>
    <w:rsid w:val="00796A32"/>
    <w:rsid w:val="007D15F4"/>
    <w:rsid w:val="00812D55"/>
    <w:rsid w:val="00813013"/>
    <w:rsid w:val="00817830"/>
    <w:rsid w:val="00834366"/>
    <w:rsid w:val="00892ED2"/>
    <w:rsid w:val="00895535"/>
    <w:rsid w:val="00972103"/>
    <w:rsid w:val="00A6154B"/>
    <w:rsid w:val="00AF7C37"/>
    <w:rsid w:val="00B9635B"/>
    <w:rsid w:val="00C3173B"/>
    <w:rsid w:val="00CB152A"/>
    <w:rsid w:val="00D072DE"/>
    <w:rsid w:val="00D70504"/>
    <w:rsid w:val="00DA3213"/>
    <w:rsid w:val="00E8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295B21"/>
  <w15:chartTrackingRefBased/>
  <w15:docId w15:val="{2A08F721-F806-40BF-BA34-F6B51B20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F90"/>
    <w:pPr>
      <w:spacing w:line="259" w:lineRule="auto"/>
    </w:pPr>
    <w:rPr>
      <w:rFonts w:ascii="Times New Roman" w:hAnsi="Times New Roman"/>
      <w:color w:val="000000" w:themeColor="text1"/>
      <w:kern w:val="0"/>
      <w:sz w:val="24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53B9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3B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3B9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3B9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3B95"/>
    <w:pPr>
      <w:keepNext/>
      <w:keepLines/>
      <w:spacing w:before="80" w:after="40"/>
      <w:outlineLvl w:val="4"/>
    </w:pPr>
    <w:rPr>
      <w:rFonts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3B95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3B9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3B9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3B9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53B9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53B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53B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53B9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53B95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53B9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53B9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53B9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53B9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53B9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53B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3B9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53B9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53B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53B9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53B9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53B9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53B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53B9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53B9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63F9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63F9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63F9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63F90"/>
    <w:rPr>
      <w:sz w:val="18"/>
      <w:szCs w:val="18"/>
    </w:rPr>
  </w:style>
  <w:style w:type="paragraph" w:customStyle="1" w:styleId="References">
    <w:name w:val="References"/>
    <w:basedOn w:val="a"/>
    <w:rsid w:val="00563F90"/>
    <w:pPr>
      <w:numPr>
        <w:numId w:val="1"/>
      </w:numPr>
      <w:spacing w:after="0" w:line="240" w:lineRule="auto"/>
      <w:jc w:val="both"/>
    </w:pPr>
    <w:rPr>
      <w:rFonts w:eastAsia="宋体" w:cs="Times New Roman"/>
      <w:color w:val="auto"/>
      <w:sz w:val="16"/>
      <w:szCs w:val="16"/>
      <w:lang w:eastAsia="en-US"/>
    </w:rPr>
  </w:style>
  <w:style w:type="character" w:styleId="af2">
    <w:name w:val="line number"/>
    <w:basedOn w:val="a0"/>
    <w:uiPriority w:val="99"/>
    <w:semiHidden/>
    <w:unhideWhenUsed/>
    <w:rsid w:val="00563F90"/>
  </w:style>
  <w:style w:type="character" w:styleId="af3">
    <w:name w:val="Hyperlink"/>
    <w:basedOn w:val="a0"/>
    <w:uiPriority w:val="99"/>
    <w:unhideWhenUsed/>
    <w:rsid w:val="00892E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iangyuanjiang@126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leiming_wu@gdut.edu.cn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yangj@gdut.edu.cn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hzhang@szu.edu.cn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705</Words>
  <Characters>5012</Characters>
  <Application>Microsoft Office Word</Application>
  <DocSecurity>0</DocSecurity>
  <Lines>172</Lines>
  <Paragraphs>114</Paragraphs>
  <ScaleCrop>false</ScaleCrop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雷明 吴</dc:creator>
  <cp:keywords/>
  <dc:description/>
  <cp:lastModifiedBy>凡 杨</cp:lastModifiedBy>
  <cp:revision>18</cp:revision>
  <dcterms:created xsi:type="dcterms:W3CDTF">2026-03-27T10:05:00Z</dcterms:created>
  <dcterms:modified xsi:type="dcterms:W3CDTF">2026-05-15T11:31:00Z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b4a18f34-bc2c-468b-87a7-2aae83687ba0</vt:lpwstr>
  </property>
</Properties>
</file>