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3AD2" w14:textId="428A2266" w:rsidR="002A1D7B" w:rsidRPr="00773A49" w:rsidRDefault="00D063A5" w:rsidP="00A45002">
      <w:pPr>
        <w:pStyle w:val="2"/>
        <w:numPr>
          <w:ilvl w:val="0"/>
          <w:numId w:val="0"/>
        </w:numPr>
        <w:ind w:left="792" w:hanging="432"/>
        <w:rPr>
          <w:rFonts w:ascii="Times New Roman" w:hAnsi="Times New Roman" w:cs="Times New Roman"/>
        </w:rPr>
      </w:pPr>
      <w:r w:rsidRPr="00773A49">
        <w:rPr>
          <w:rFonts w:ascii="Times New Roman" w:hAnsi="Times New Roman" w:cs="Times New Roman"/>
        </w:rPr>
        <w:t>Supplementary Table 3. Exploratory associations between biological aging–inflammation phenotypes and mortality outcomes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561"/>
        <w:gridCol w:w="3606"/>
        <w:gridCol w:w="2869"/>
        <w:gridCol w:w="2154"/>
        <w:gridCol w:w="934"/>
      </w:tblGrid>
      <w:tr w:rsidR="002A1D7B" w:rsidRPr="008A23C3" w14:paraId="04A32FF1" w14:textId="77777777">
        <w:trPr>
          <w:tblHeader/>
          <w:jc w:val="center"/>
        </w:trPr>
        <w:tc>
          <w:tcPr>
            <w:tcW w:w="156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24F00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8A23C3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360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7C2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8A23C3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8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E29E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8A23C3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Phenotype</w:t>
            </w:r>
          </w:p>
        </w:tc>
        <w:tc>
          <w:tcPr>
            <w:tcW w:w="215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59F1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8A23C3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Adjusted OR (95% CI)</w:t>
            </w:r>
          </w:p>
        </w:tc>
        <w:tc>
          <w:tcPr>
            <w:tcW w:w="9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41695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2503CF">
              <w:rPr>
                <w:rFonts w:ascii="Times New Roman" w:eastAsia="Arial" w:hAnsi="Times New Roman" w:cs="Times New Roman"/>
                <w:b/>
                <w:i/>
                <w:color w:val="000000"/>
                <w:sz w:val="18"/>
                <w:szCs w:val="18"/>
              </w:rPr>
              <w:t>P</w:t>
            </w:r>
            <w:r w:rsidRPr="008A23C3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2A1D7B" w:rsidRPr="008A23C3" w14:paraId="14E8E56A" w14:textId="77777777">
        <w:trPr>
          <w:jc w:val="center"/>
        </w:trPr>
        <w:tc>
          <w:tcPr>
            <w:tcW w:w="1561" w:type="dxa"/>
            <w:vMerge w:val="restar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2F3EA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In-hospital death</w:t>
            </w:r>
          </w:p>
        </w:tc>
        <w:tc>
          <w:tcPr>
            <w:tcW w:w="360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16CC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7230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892CD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Reference</w:t>
            </w:r>
          </w:p>
        </w:tc>
        <w:tc>
          <w:tcPr>
            <w:tcW w:w="93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8396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A1D7B" w:rsidRPr="008A23C3" w14:paraId="67CF313C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5D7C4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3663F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67C3E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92C04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Reference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78F4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A1D7B" w:rsidRPr="008A23C3" w14:paraId="19EFD98C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A9BC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C4A18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3486B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189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2.09 (0.93–4.70)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181DD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0.075</w:t>
            </w:r>
          </w:p>
        </w:tc>
      </w:tr>
      <w:tr w:rsidR="002A1D7B" w:rsidRPr="008A23C3" w14:paraId="28D1217C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996AB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EA8C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3E13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2D099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2.09 (0.93–4.69)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2F1C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0.075</w:t>
            </w:r>
          </w:p>
        </w:tc>
      </w:tr>
      <w:tr w:rsidR="002A1D7B" w:rsidRPr="008A23C3" w14:paraId="7645E50A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637E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BC39F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C858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A581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3.14 (1.45–6.81)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1527A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0.004</w:t>
            </w:r>
          </w:p>
        </w:tc>
      </w:tr>
      <w:tr w:rsidR="002A1D7B" w:rsidRPr="008A23C3" w14:paraId="430F4126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9ED9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F286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FD16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F8E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3.27 (1.50–7.10)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398F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0.003</w:t>
            </w:r>
          </w:p>
        </w:tc>
      </w:tr>
      <w:tr w:rsidR="002A1D7B" w:rsidRPr="008A23C3" w14:paraId="4FF9CD9E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225A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9E7B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1889C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29DCB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3.65 (1.72–7.77)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3569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2A1D7B" w:rsidRPr="008A23C3" w14:paraId="61B5B34A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20363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8B067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252C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0D4F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3.60 (1.69–7.67)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26126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2A1D7B" w:rsidRPr="008A23C3" w14:paraId="1D38C457" w14:textId="77777777">
        <w:trPr>
          <w:jc w:val="center"/>
        </w:trPr>
        <w:tc>
          <w:tcPr>
            <w:tcW w:w="15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BF879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30-day death</w:t>
            </w: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80495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4C509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7BC3F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Reference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D656B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A1D7B" w:rsidRPr="008A23C3" w14:paraId="4B867956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0ADC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A57D0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A1C0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51EC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Reference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9FAC7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A1D7B" w:rsidRPr="008A23C3" w14:paraId="4C236DDC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B84E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369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A354A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2A57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1.96 (0.99–3.89)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4349E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0.053</w:t>
            </w:r>
          </w:p>
        </w:tc>
      </w:tr>
      <w:tr w:rsidR="002A1D7B" w:rsidRPr="008A23C3" w14:paraId="08F1569D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A704F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42F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BF2E4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1D86A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1.98 (1.00–3.92)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82E34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0.051</w:t>
            </w:r>
          </w:p>
        </w:tc>
      </w:tr>
      <w:tr w:rsidR="002A1D7B" w:rsidRPr="008A23C3" w14:paraId="5ACE8C03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470B8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518B6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DE19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591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2.34 (1.20–4.54)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E845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0.012</w:t>
            </w:r>
          </w:p>
        </w:tc>
      </w:tr>
      <w:tr w:rsidR="002A1D7B" w:rsidRPr="008A23C3" w14:paraId="2739441A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2D20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FCE4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38F9F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839A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2.33 (1.20–4.55)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A97AA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0.013</w:t>
            </w:r>
          </w:p>
        </w:tc>
      </w:tr>
      <w:tr w:rsidR="002A1D7B" w:rsidRPr="008A23C3" w14:paraId="14055185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7023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8CEA0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96C9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45B83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3.45 (1.83–6.51)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76CC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2A1D7B" w:rsidRPr="008A23C3" w14:paraId="0ADB8C0B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513E4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CA9F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29D4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B6B5B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3.48 (1.84–6.58)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24485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2A1D7B" w:rsidRPr="008A23C3" w14:paraId="5E1CA8C4" w14:textId="77777777">
        <w:trPr>
          <w:jc w:val="center"/>
        </w:trPr>
        <w:tc>
          <w:tcPr>
            <w:tcW w:w="1561" w:type="dxa"/>
            <w:vMerge w:val="restar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40CA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90-day death</w:t>
            </w: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A411A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0535D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B1D95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Reference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AAE47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A1D7B" w:rsidRPr="008A23C3" w14:paraId="62FD5CAB" w14:textId="77777777">
        <w:trPr>
          <w:jc w:val="center"/>
        </w:trPr>
        <w:tc>
          <w:tcPr>
            <w:tcW w:w="1561" w:type="dxa"/>
            <w:vMerge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5247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836ED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FE05D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F2774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Reference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548C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A1D7B" w:rsidRPr="008A23C3" w14:paraId="62ECE9FC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F5D9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C44A0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69D7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65463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2.08 (1.16–3.72)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60C3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0.014</w:t>
            </w:r>
          </w:p>
        </w:tc>
      </w:tr>
      <w:tr w:rsidR="002A1D7B" w:rsidRPr="008A23C3" w14:paraId="51230952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95DE3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3922C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917B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D9F3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2.09 (1.17–3.74)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E16F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0.013</w:t>
            </w:r>
          </w:p>
        </w:tc>
      </w:tr>
      <w:tr w:rsidR="002A1D7B" w:rsidRPr="008A23C3" w14:paraId="6CAEBBE0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6C99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8134E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97C7E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9A9A5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2.36 (1.33–4.18)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DD77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0.003</w:t>
            </w:r>
          </w:p>
        </w:tc>
      </w:tr>
      <w:tr w:rsidR="002A1D7B" w:rsidRPr="008A23C3" w14:paraId="3A3BB708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7890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FED47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E82C7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BD8CC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2.36 (1.33–4.18)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8CF0B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0.003</w:t>
            </w:r>
          </w:p>
        </w:tc>
      </w:tr>
      <w:tr w:rsidR="002A1D7B" w:rsidRPr="008A23C3" w14:paraId="3AAD67F2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862D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D1EC6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27523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4861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3.99 (2.32–6.86)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4FE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2A1D7B" w:rsidRPr="008A23C3" w14:paraId="2D9D439B" w14:textId="77777777">
        <w:trPr>
          <w:jc w:val="center"/>
        </w:trPr>
        <w:tc>
          <w:tcPr>
            <w:tcW w:w="1561" w:type="dxa"/>
            <w:vMerge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97666" w14:textId="77777777" w:rsidR="002A1D7B" w:rsidRPr="008A23C3" w:rsidRDefault="002A1D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0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E579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Model 3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31232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DEDB1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4.02 (2.34–6.92)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47DDD" w14:textId="77777777" w:rsidR="002A1D7B" w:rsidRPr="008A23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8A23C3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</w:tbl>
    <w:p w14:paraId="05374D41" w14:textId="77777777" w:rsidR="00A5659C" w:rsidRPr="008A23C3" w:rsidRDefault="00A5659C">
      <w:pPr>
        <w:rPr>
          <w:rFonts w:ascii="Times New Roman" w:hAnsi="Times New Roman" w:cs="Times New Roman"/>
          <w:lang w:eastAsia="zh-CN"/>
        </w:rPr>
      </w:pPr>
    </w:p>
    <w:p w14:paraId="25613152" w14:textId="77777777" w:rsidR="007378A4" w:rsidRPr="008A23C3" w:rsidRDefault="007378A4" w:rsidP="007378A4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8A23C3">
        <w:rPr>
          <w:rFonts w:ascii="Times New Roman" w:hAnsi="Times New Roman" w:cs="Times New Roman"/>
          <w:sz w:val="21"/>
          <w:szCs w:val="21"/>
          <w:lang w:eastAsia="zh-CN"/>
        </w:rPr>
        <w:t xml:space="preserve">Values are adjusted odds ratios (95% confidence intervals) with </w:t>
      </w:r>
      <w:r w:rsidRPr="002503CF">
        <w:rPr>
          <w:rFonts w:ascii="Times New Roman" w:hAnsi="Times New Roman" w:cs="Times New Roman"/>
          <w:i/>
          <w:sz w:val="21"/>
          <w:szCs w:val="21"/>
          <w:lang w:eastAsia="zh-CN"/>
        </w:rPr>
        <w:t>P</w:t>
      </w:r>
      <w:r w:rsidRPr="008A23C3">
        <w:rPr>
          <w:rFonts w:ascii="Times New Roman" w:hAnsi="Times New Roman" w:cs="Times New Roman"/>
          <w:sz w:val="21"/>
          <w:szCs w:val="21"/>
          <w:lang w:eastAsia="zh-CN"/>
        </w:rPr>
        <w:t xml:space="preserve"> values. The low </w:t>
      </w:r>
      <w:proofErr w:type="spellStart"/>
      <w:r w:rsidRPr="008A23C3">
        <w:rPr>
          <w:rFonts w:ascii="Times New Roman" w:hAnsi="Times New Roman" w:cs="Times New Roman"/>
          <w:sz w:val="21"/>
          <w:szCs w:val="21"/>
          <w:lang w:eastAsia="zh-CN"/>
        </w:rPr>
        <w:t>BAAccel</w:t>
      </w:r>
      <w:proofErr w:type="spellEnd"/>
      <w:r w:rsidRPr="008A23C3">
        <w:rPr>
          <w:rFonts w:ascii="Times New Roman" w:hAnsi="Times New Roman" w:cs="Times New Roman"/>
          <w:sz w:val="21"/>
          <w:szCs w:val="21"/>
          <w:lang w:eastAsia="zh-CN"/>
        </w:rPr>
        <w:t>/low inflammation phenotype was used as the reference group in each model. Model 3 was adjusted for age, sex, race, admission type, first ICU care unit, non-neurological Charlson comorbidity burden, dementia, cerebrovascular disease, renal disease, diabetes, congestive heart failure, and chronic pulmonary disease. Model 4 was additionally adjusted for invasive ventilation/airway intervention and vasopressor use within the first 24 hours of ICU admission. Mortality outcomes were analyzed as exploratory secondary outcomes.</w:t>
      </w:r>
    </w:p>
    <w:p w14:paraId="1CADEA90" w14:textId="77777777" w:rsidR="007378A4" w:rsidRPr="008A23C3" w:rsidRDefault="007378A4" w:rsidP="007378A4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8A23C3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Abbreviations:</w:t>
      </w:r>
      <w:r w:rsidRPr="008A23C3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proofErr w:type="spellStart"/>
      <w:r w:rsidRPr="008A23C3">
        <w:rPr>
          <w:rFonts w:ascii="Times New Roman" w:hAnsi="Times New Roman" w:cs="Times New Roman"/>
          <w:sz w:val="21"/>
          <w:szCs w:val="21"/>
          <w:lang w:eastAsia="zh-CN"/>
        </w:rPr>
        <w:t>BAAccel</w:t>
      </w:r>
      <w:proofErr w:type="spellEnd"/>
      <w:r w:rsidRPr="008A23C3">
        <w:rPr>
          <w:rFonts w:ascii="Times New Roman" w:hAnsi="Times New Roman" w:cs="Times New Roman"/>
          <w:sz w:val="21"/>
          <w:szCs w:val="21"/>
          <w:lang w:eastAsia="zh-CN"/>
        </w:rPr>
        <w:t>, biological age acceleration; CI, confidence interval; ICU, intensive care unit; OR, odds ratio.</w:t>
      </w:r>
    </w:p>
    <w:p w14:paraId="61FADD45" w14:textId="77777777" w:rsidR="007378A4" w:rsidRPr="008A23C3" w:rsidRDefault="007378A4" w:rsidP="007378A4">
      <w:pPr>
        <w:jc w:val="both"/>
        <w:rPr>
          <w:rFonts w:ascii="Times New Roman" w:hAnsi="Times New Roman" w:cs="Times New Roman"/>
          <w:lang w:eastAsia="zh-CN"/>
        </w:rPr>
      </w:pPr>
    </w:p>
    <w:sectPr w:rsidR="007378A4" w:rsidRPr="008A23C3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5348" w14:textId="77777777" w:rsidR="00094B61" w:rsidRDefault="00094B61" w:rsidP="00A45002">
      <w:r>
        <w:separator/>
      </w:r>
    </w:p>
  </w:endnote>
  <w:endnote w:type="continuationSeparator" w:id="0">
    <w:p w14:paraId="0DF57077" w14:textId="77777777" w:rsidR="00094B61" w:rsidRDefault="00094B61" w:rsidP="00A4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2E32" w14:textId="77777777" w:rsidR="00094B61" w:rsidRDefault="00094B61" w:rsidP="00A45002">
      <w:r>
        <w:separator/>
      </w:r>
    </w:p>
  </w:footnote>
  <w:footnote w:type="continuationSeparator" w:id="0">
    <w:p w14:paraId="76AF598F" w14:textId="77777777" w:rsidR="00094B61" w:rsidRDefault="00094B61" w:rsidP="00A45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82210481">
    <w:abstractNumId w:val="1"/>
  </w:num>
  <w:num w:numId="2" w16cid:durableId="2090810198">
    <w:abstractNumId w:val="2"/>
  </w:num>
  <w:num w:numId="3" w16cid:durableId="118216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7B"/>
    <w:rsid w:val="00094B61"/>
    <w:rsid w:val="00145C29"/>
    <w:rsid w:val="002503CF"/>
    <w:rsid w:val="002A1D7B"/>
    <w:rsid w:val="00331D77"/>
    <w:rsid w:val="00343702"/>
    <w:rsid w:val="007378A4"/>
    <w:rsid w:val="00773A49"/>
    <w:rsid w:val="00775894"/>
    <w:rsid w:val="008A23C3"/>
    <w:rsid w:val="00A45002"/>
    <w:rsid w:val="00A5659C"/>
    <w:rsid w:val="00B17C25"/>
    <w:rsid w:val="00D063A5"/>
    <w:rsid w:val="00E52C35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33470F"/>
  <w15:docId w15:val="{13062879-C4B2-4E7C-A972-9500465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A450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4500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450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450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462</Words>
  <Characters>2693</Characters>
  <Application>Microsoft Office Word</Application>
  <DocSecurity>0</DocSecurity>
  <Lines>141</Lines>
  <Paragraphs>116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15</cp:revision>
  <dcterms:created xsi:type="dcterms:W3CDTF">2017-02-28T11:18:00Z</dcterms:created>
  <dcterms:modified xsi:type="dcterms:W3CDTF">2026-05-19T01:49:00Z</dcterms:modified>
  <cp:category/>
</cp:coreProperties>
</file>