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18CC6" w14:textId="2E5697ED" w:rsidR="0085186F" w:rsidRPr="001D18F1" w:rsidRDefault="00B54EB0" w:rsidP="009D01E0">
      <w:pPr>
        <w:pStyle w:val="2"/>
        <w:numPr>
          <w:ilvl w:val="0"/>
          <w:numId w:val="0"/>
        </w:numPr>
        <w:ind w:left="792" w:hanging="432"/>
        <w:jc w:val="center"/>
        <w:rPr>
          <w:rFonts w:ascii="Times New Roman" w:hAnsi="Times New Roman" w:cs="Times New Roman"/>
        </w:rPr>
      </w:pPr>
      <w:r w:rsidRPr="001D18F1">
        <w:rPr>
          <w:rFonts w:ascii="Times New Roman" w:hAnsi="Times New Roman" w:cs="Times New Roman"/>
        </w:rPr>
        <w:t>Supplementary Table 4. Characteristics of patients included and not included in the primary analysis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7"/>
        <w:gridCol w:w="2126"/>
        <w:gridCol w:w="1701"/>
        <w:gridCol w:w="1559"/>
        <w:gridCol w:w="1101"/>
        <w:gridCol w:w="458"/>
      </w:tblGrid>
      <w:tr w:rsidR="009D01E0" w:rsidRPr="009D01E0" w14:paraId="30154085" w14:textId="77777777" w:rsidTr="009D01E0">
        <w:trPr>
          <w:tblHeader/>
          <w:jc w:val="center"/>
        </w:trPr>
        <w:tc>
          <w:tcPr>
            <w:tcW w:w="21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2733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</w:pPr>
            <w:r w:rsidRPr="009D01E0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Characteristic</w:t>
            </w:r>
          </w:p>
        </w:tc>
        <w:tc>
          <w:tcPr>
            <w:tcW w:w="212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B561B" w14:textId="56DEE80A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</w:pPr>
            <w:r w:rsidRPr="009D01E0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Level</w:t>
            </w:r>
          </w:p>
        </w:tc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32213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</w:pPr>
            <w:r w:rsidRPr="009D01E0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Not included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0BB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</w:pPr>
            <w:r w:rsidRPr="009D01E0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Included in primary analysis</w:t>
            </w:r>
          </w:p>
        </w:tc>
        <w:tc>
          <w:tcPr>
            <w:tcW w:w="11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6881" w14:textId="2DE4585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  <w:lang w:eastAsia="zh-CN"/>
              </w:rPr>
            </w:pPr>
            <w:r w:rsidRPr="009D01E0">
              <w:rPr>
                <w:rFonts w:ascii="Times New Roman" w:hAnsi="Times New Roman" w:cs="Times New Roman" w:hint="eastAsia"/>
                <w:b/>
                <w:i/>
                <w:iCs/>
                <w:color w:val="000000"/>
                <w:sz w:val="17"/>
                <w:szCs w:val="17"/>
                <w:lang w:eastAsia="zh-CN"/>
              </w:rPr>
              <w:t>P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7"/>
                <w:szCs w:val="17"/>
                <w:lang w:eastAsia="zh-CN"/>
              </w:rPr>
              <w:t>-value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A888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</w:pPr>
            <w:r w:rsidRPr="009D01E0">
              <w:rPr>
                <w:rFonts w:ascii="Times New Roman" w:eastAsia="Arial" w:hAnsi="Times New Roman" w:cs="Times New Roman"/>
                <w:b/>
                <w:color w:val="000000"/>
                <w:sz w:val="17"/>
                <w:szCs w:val="17"/>
              </w:rPr>
              <w:t>SMD</w:t>
            </w:r>
          </w:p>
        </w:tc>
      </w:tr>
      <w:tr w:rsidR="009D01E0" w:rsidRPr="009D01E0" w14:paraId="2D38CAFC" w14:textId="77777777" w:rsidTr="009D01E0">
        <w:trPr>
          <w:jc w:val="center"/>
        </w:trPr>
        <w:tc>
          <w:tcPr>
            <w:tcW w:w="212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90A1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212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574D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03D6F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11251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1C9A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2381</w:t>
            </w:r>
          </w:p>
        </w:tc>
        <w:tc>
          <w:tcPr>
            <w:tcW w:w="110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1EF1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8BD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03F06A12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FB43" w14:textId="3C9C2DB2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Age, years, mean (SD)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31C0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C68B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76.29 (7.71)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354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74.80 (6.72)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CC84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ACB9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0.205</w:t>
            </w:r>
          </w:p>
        </w:tc>
      </w:tr>
      <w:tr w:rsidR="009D01E0" w:rsidRPr="009D01E0" w14:paraId="58C4DB96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1F9B3" w14:textId="57D1C600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5149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44A3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4826 (42.9)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D38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851 (35.7)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2E10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B151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0.147</w:t>
            </w:r>
          </w:p>
        </w:tc>
      </w:tr>
      <w:tr w:rsidR="009D01E0" w:rsidRPr="009D01E0" w14:paraId="11212E75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E73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7ED4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D4DE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6425 (57.1)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35ECE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1530 (64.3)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8D94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6539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7B65104E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023D" w14:textId="04E0F640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Race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2BFC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49C39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8180 (72.7)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A098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1532 (64.3)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B68B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B7B4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0.194</w:t>
            </w:r>
          </w:p>
        </w:tc>
      </w:tr>
      <w:tr w:rsidR="009D01E0" w:rsidRPr="009D01E0" w14:paraId="57E179B5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F856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D76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3E3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571 (5.1)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7CB5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147 (6.2)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DE3C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572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7F0EA1F5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7041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09C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4D0D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261 (2.3)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C9C6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50 (2.1)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8DC2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84653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36D58F67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842F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DED74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Hispanic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B280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243 (2.2)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B4073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57 (2.4)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668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FC71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5A95AFE5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3849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B288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AA7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1996 (17.7)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5E24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595 (25.0)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780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C28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41EBEA38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9C6A6" w14:textId="6A2C2CA0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Admission type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9BB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Elective/Scheduled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03A9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3569 (31.7)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43914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406 (17.1)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6AA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768C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0.449</w:t>
            </w:r>
          </w:p>
        </w:tc>
      </w:tr>
      <w:tr w:rsidR="009D01E0" w:rsidRPr="009D01E0" w14:paraId="06D42F30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423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9B94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Emergency/Urgent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4CFD3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6261 (55.6)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5A9FE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1333 (56.0)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5509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C10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7C40719A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3068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247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Observation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9E4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1091 (9.7)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9FAB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497 (20.9)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3E7B0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BC3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01B3669C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3292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F12C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0A3C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330 (2.9)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6EAD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145 (6.1)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B4D9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6FB4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35C1E5B8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139C" w14:textId="3E5B923B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First ICU care unit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1369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Cardiac Vascular Intensive Care Unit (CVICU)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742E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4887 (43.4)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F474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1770 (74.3)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F409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FE64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0.680</w:t>
            </w:r>
          </w:p>
        </w:tc>
      </w:tr>
      <w:tr w:rsidR="009D01E0" w:rsidRPr="009D01E0" w14:paraId="78988FC1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698F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FC6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Neuro Surgical Intensive Care Unit (Neuro SICU)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D7F2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538 (4.8)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44B3E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99 (4.2)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77353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549C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53205B38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FC9F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BD1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Surgical Intensive Care Unit (SICU)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A8D60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3240 (28.8)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6A2E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305 (12.8)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C131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9410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0975C535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85D9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596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Trauma SICU (TSICU)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26FD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2586 (23.0)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11EC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207 (8.7)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178E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9E36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23454984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2D31" w14:textId="65BFEF2C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ICU length of stay, days, mean (SD)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16759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A429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3.89 (5.24)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4A923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4.16 (5.80)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9814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CA5E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0.049</w:t>
            </w:r>
          </w:p>
        </w:tc>
      </w:tr>
      <w:tr w:rsidR="009D01E0" w:rsidRPr="009D01E0" w14:paraId="7D545E95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023A" w14:textId="35524D56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Evaluable delirium assessment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C4A8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069E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3498 (31.1)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EB29E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71B5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676B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0.950</w:t>
            </w:r>
          </w:p>
        </w:tc>
      </w:tr>
      <w:tr w:rsidR="009D01E0" w:rsidRPr="009D01E0" w14:paraId="7B2DA7AD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D64C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F05E0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119F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7753 (68.9)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E36C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2381 (100.0)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7670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20F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194C67C7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69308" w14:textId="621AD852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I</w:t>
            </w: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CU delirium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3650F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D16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5199 (67.1)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65E4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1652 (69.4)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4E9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272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0.050</w:t>
            </w:r>
          </w:p>
        </w:tc>
      </w:tr>
      <w:tr w:rsidR="009D01E0" w:rsidRPr="009D01E0" w14:paraId="780AA82F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5F7F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7AD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2BE0E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2554 (32.9)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1EAE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729 (30.6)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DE5F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AA5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6283C4F8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0D35" w14:textId="4A65DB4B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In-hospital death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E871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1593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10057 (89.4)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8875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2209 (92.8)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D184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EBD5F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0.119</w:t>
            </w:r>
          </w:p>
        </w:tc>
      </w:tr>
      <w:tr w:rsidR="009D01E0" w:rsidRPr="009D01E0" w14:paraId="1BDB5EDE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847A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425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7C79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1194 (10.6)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D5D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172 (7.2)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BCD4E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4F0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1A39DAF5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31B47" w14:textId="33B6BAC0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30-day death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A483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11C2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9771 (86.8)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1EA8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2156 (90.6)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ECEC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7380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0.117</w:t>
            </w:r>
          </w:p>
        </w:tc>
      </w:tr>
      <w:tr w:rsidR="009D01E0" w:rsidRPr="009D01E0" w14:paraId="187414F4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9A3C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B03C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3CFB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1480 (13.2)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4FBEC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225 (9.4)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14F3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48F8E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25FD4774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48A5D" w14:textId="5613294D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0-day death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CF4B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3FB2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9293 (82.6)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6BA44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2070 (86.9)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BE4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417A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0.121</w:t>
            </w:r>
          </w:p>
        </w:tc>
      </w:tr>
      <w:tr w:rsidR="009D01E0" w:rsidRPr="009D01E0" w14:paraId="59DE95AC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AED6F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68F5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E4A3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1958 (17.4)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2ACD3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311 (13.1)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CEA0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A11C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4AF82B25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D3E8" w14:textId="63593042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I</w:t>
            </w: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nvasive ventilation/airway intervention within 24 h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E3EC0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32E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5374 (47.8)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08C8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766 (32.2)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2BF9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7FA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0.322</w:t>
            </w:r>
          </w:p>
        </w:tc>
      </w:tr>
      <w:tr w:rsidR="009D01E0" w:rsidRPr="009D01E0" w14:paraId="2523843C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FF7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5181B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A986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5877 (52.2)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840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1615 (67.8)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EDDC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E964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44232001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4C2A5" w14:textId="320B97AA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V</w:t>
            </w: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asopressor use within 24 h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C0D69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23F9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6341 (56.4)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F573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893 (37.5)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82F7F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448A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0.385</w:t>
            </w:r>
          </w:p>
        </w:tc>
      </w:tr>
      <w:tr w:rsidR="009D01E0" w:rsidRPr="009D01E0" w14:paraId="0354D16A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FA633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B23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D0F4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4910 (43.6)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90CD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1488 (62.5)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52AC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6D98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01E0" w:rsidRPr="009D01E0" w14:paraId="52EFED04" w14:textId="77777777" w:rsidTr="009D01E0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28528" w14:textId="34F3B5C2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A</w:t>
            </w: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ny sedative/analgesic exposure within 24 h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B2B7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F8691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3601 (32.0)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38B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628 (26.4)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E0492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97D7D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0.124</w:t>
            </w:r>
          </w:p>
        </w:tc>
      </w:tr>
      <w:tr w:rsidR="009D01E0" w:rsidRPr="009D01E0" w14:paraId="5968175A" w14:textId="77777777" w:rsidTr="009D01E0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48CAA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54A47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2438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7650 (68.0)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D2214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9D01E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1753 (73.6)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14546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77AA0" w14:textId="77777777" w:rsidR="009D01E0" w:rsidRPr="009D01E0" w:rsidRDefault="009D01E0" w:rsidP="009D01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954BFA0" w14:textId="77777777" w:rsidR="00EC0BC2" w:rsidRPr="009D01E0" w:rsidRDefault="00EC0BC2" w:rsidP="009D01E0">
      <w:pPr>
        <w:jc w:val="center"/>
        <w:rPr>
          <w:rFonts w:ascii="Times New Roman" w:hAnsi="Times New Roman" w:cs="Times New Roman"/>
          <w:lang w:eastAsia="zh-CN"/>
        </w:rPr>
      </w:pPr>
    </w:p>
    <w:p w14:paraId="51BFB2AA" w14:textId="77777777" w:rsidR="006B616D" w:rsidRPr="006D2434" w:rsidRDefault="006B616D" w:rsidP="006D2434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6D2434">
        <w:rPr>
          <w:rFonts w:ascii="Times New Roman" w:hAnsi="Times New Roman" w:cs="Times New Roman"/>
          <w:sz w:val="21"/>
          <w:szCs w:val="21"/>
          <w:lang w:eastAsia="zh-CN"/>
        </w:rPr>
        <w:t xml:space="preserve">Values are presented as mean (SD) for continuous variables and n (%) for categorical variables. Patients included in the primary analysis had evaluable ICU delirium outcome, available KDM-core biological age acceleration, and available PCA-derived inflammatory burden. </w:t>
      </w:r>
      <w:r w:rsidRPr="00C869B1">
        <w:rPr>
          <w:rFonts w:ascii="Times New Roman" w:hAnsi="Times New Roman" w:cs="Times New Roman"/>
          <w:i/>
          <w:iCs/>
          <w:sz w:val="21"/>
          <w:szCs w:val="21"/>
          <w:lang w:eastAsia="zh-CN"/>
        </w:rPr>
        <w:t>P</w:t>
      </w:r>
      <w:r w:rsidRPr="006D2434">
        <w:rPr>
          <w:rFonts w:ascii="Times New Roman" w:hAnsi="Times New Roman" w:cs="Times New Roman"/>
          <w:sz w:val="21"/>
          <w:szCs w:val="21"/>
          <w:lang w:eastAsia="zh-CN"/>
        </w:rPr>
        <w:t xml:space="preserve"> values were calculated using the t test or chi-square test, as appropriate. Standardized mean differences (SMDs) were calculated to quantify between-group imbalance.</w:t>
      </w:r>
    </w:p>
    <w:p w14:paraId="423614FA" w14:textId="77777777" w:rsidR="006B616D" w:rsidRPr="006D2434" w:rsidRDefault="006B616D" w:rsidP="006D2434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6D2434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Abbreviations:</w:t>
      </w:r>
      <w:r w:rsidRPr="006D2434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proofErr w:type="spellStart"/>
      <w:r w:rsidRPr="006D2434">
        <w:rPr>
          <w:rFonts w:ascii="Times New Roman" w:hAnsi="Times New Roman" w:cs="Times New Roman"/>
          <w:sz w:val="21"/>
          <w:szCs w:val="21"/>
          <w:lang w:eastAsia="zh-CN"/>
        </w:rPr>
        <w:t>BAAccel</w:t>
      </w:r>
      <w:proofErr w:type="spellEnd"/>
      <w:r w:rsidRPr="006D2434">
        <w:rPr>
          <w:rFonts w:ascii="Times New Roman" w:hAnsi="Times New Roman" w:cs="Times New Roman"/>
          <w:sz w:val="21"/>
          <w:szCs w:val="21"/>
          <w:lang w:eastAsia="zh-CN"/>
        </w:rPr>
        <w:t xml:space="preserve">, biological age acceleration; ICU, intensive care unit; KDM, </w:t>
      </w:r>
      <w:proofErr w:type="spellStart"/>
      <w:r w:rsidRPr="006D2434">
        <w:rPr>
          <w:rFonts w:ascii="Times New Roman" w:hAnsi="Times New Roman" w:cs="Times New Roman"/>
          <w:sz w:val="21"/>
          <w:szCs w:val="21"/>
          <w:lang w:eastAsia="zh-CN"/>
        </w:rPr>
        <w:t>Klemera</w:t>
      </w:r>
      <w:proofErr w:type="spellEnd"/>
      <w:r w:rsidRPr="006D2434">
        <w:rPr>
          <w:rFonts w:ascii="Times New Roman" w:hAnsi="Times New Roman" w:cs="Times New Roman"/>
          <w:sz w:val="21"/>
          <w:szCs w:val="21"/>
          <w:lang w:eastAsia="zh-CN"/>
        </w:rPr>
        <w:t>–</w:t>
      </w:r>
      <w:proofErr w:type="spellStart"/>
      <w:r w:rsidRPr="006D2434">
        <w:rPr>
          <w:rFonts w:ascii="Times New Roman" w:hAnsi="Times New Roman" w:cs="Times New Roman"/>
          <w:sz w:val="21"/>
          <w:szCs w:val="21"/>
          <w:lang w:eastAsia="zh-CN"/>
        </w:rPr>
        <w:t>Doubal</w:t>
      </w:r>
      <w:proofErr w:type="spellEnd"/>
      <w:r w:rsidRPr="006D2434">
        <w:rPr>
          <w:rFonts w:ascii="Times New Roman" w:hAnsi="Times New Roman" w:cs="Times New Roman"/>
          <w:sz w:val="21"/>
          <w:szCs w:val="21"/>
          <w:lang w:eastAsia="zh-CN"/>
        </w:rPr>
        <w:t xml:space="preserve"> method; PCA, principal component analysis; SMD, standardized mean difference.</w:t>
      </w:r>
    </w:p>
    <w:p w14:paraId="394C93D3" w14:textId="77777777" w:rsidR="006B616D" w:rsidRPr="009D01E0" w:rsidRDefault="006B616D" w:rsidP="009D01E0">
      <w:pPr>
        <w:jc w:val="center"/>
        <w:rPr>
          <w:rFonts w:ascii="Times New Roman" w:hAnsi="Times New Roman" w:cs="Times New Roman"/>
          <w:lang w:eastAsia="zh-CN"/>
        </w:rPr>
      </w:pPr>
    </w:p>
    <w:sectPr w:rsidR="006B616D" w:rsidRPr="009D01E0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8DFC6" w14:textId="77777777" w:rsidR="006C380F" w:rsidRDefault="006C380F" w:rsidP="000C61DC">
      <w:r>
        <w:separator/>
      </w:r>
    </w:p>
  </w:endnote>
  <w:endnote w:type="continuationSeparator" w:id="0">
    <w:p w14:paraId="08FCD813" w14:textId="77777777" w:rsidR="006C380F" w:rsidRDefault="006C380F" w:rsidP="000C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ACC85" w14:textId="77777777" w:rsidR="006C380F" w:rsidRDefault="006C380F" w:rsidP="000C61DC">
      <w:r>
        <w:separator/>
      </w:r>
    </w:p>
  </w:footnote>
  <w:footnote w:type="continuationSeparator" w:id="0">
    <w:p w14:paraId="2903D609" w14:textId="77777777" w:rsidR="006C380F" w:rsidRDefault="006C380F" w:rsidP="000C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12130884">
    <w:abstractNumId w:val="1"/>
  </w:num>
  <w:num w:numId="2" w16cid:durableId="659162745">
    <w:abstractNumId w:val="2"/>
  </w:num>
  <w:num w:numId="3" w16cid:durableId="45260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86F"/>
    <w:rsid w:val="000C61DC"/>
    <w:rsid w:val="001D18F1"/>
    <w:rsid w:val="002F6A86"/>
    <w:rsid w:val="00343702"/>
    <w:rsid w:val="00507383"/>
    <w:rsid w:val="005F5F09"/>
    <w:rsid w:val="006B616D"/>
    <w:rsid w:val="006C380F"/>
    <w:rsid w:val="006D2434"/>
    <w:rsid w:val="0085186F"/>
    <w:rsid w:val="009D01E0"/>
    <w:rsid w:val="00B54EB0"/>
    <w:rsid w:val="00C869B1"/>
    <w:rsid w:val="00E52C35"/>
    <w:rsid w:val="00EC0BC2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691E0"/>
  <w15:docId w15:val="{13062879-C4B2-4E7C-A972-9500465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0C61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C61D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C61D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C61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377</Words>
  <Characters>2067</Characters>
  <Application>Microsoft Office Word</Application>
  <DocSecurity>0</DocSecurity>
  <Lines>258</Lines>
  <Paragraphs>174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冬 曹</cp:lastModifiedBy>
  <cp:revision>18</cp:revision>
  <dcterms:created xsi:type="dcterms:W3CDTF">2017-02-28T11:18:00Z</dcterms:created>
  <dcterms:modified xsi:type="dcterms:W3CDTF">2026-05-17T09:24:00Z</dcterms:modified>
  <cp:category/>
</cp:coreProperties>
</file>