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24BBC" w14:textId="77777777" w:rsidR="003B3191" w:rsidRPr="00B66B61" w:rsidRDefault="00000000" w:rsidP="00B66B61">
      <w:pPr>
        <w:pStyle w:val="1"/>
        <w:numPr>
          <w:ilvl w:val="0"/>
          <w:numId w:val="0"/>
        </w:numPr>
        <w:ind w:left="360" w:hanging="360"/>
        <w:jc w:val="center"/>
        <w:rPr>
          <w:rFonts w:ascii="Times New Roman" w:hAnsi="Times New Roman" w:cs="Times New Roman"/>
        </w:rPr>
      </w:pPr>
      <w:r w:rsidRPr="00B66B61">
        <w:rPr>
          <w:rFonts w:ascii="Times New Roman" w:hAnsi="Times New Roman" w:cs="Times New Roman"/>
        </w:rPr>
        <w:t xml:space="preserve">Supplementary Table 8. Exploratory </w:t>
      </w:r>
      <w:proofErr w:type="spellStart"/>
      <w:r w:rsidRPr="00B66B61">
        <w:rPr>
          <w:rFonts w:ascii="Times New Roman" w:hAnsi="Times New Roman" w:cs="Times New Roman"/>
        </w:rPr>
        <w:t>eICU</w:t>
      </w:r>
      <w:proofErr w:type="spellEnd"/>
      <w:r w:rsidRPr="00B66B61">
        <w:rPr>
          <w:rFonts w:ascii="Times New Roman" w:hAnsi="Times New Roman" w:cs="Times New Roman"/>
        </w:rPr>
        <w:t xml:space="preserve"> associations with ICU and hospital mortality</w:t>
      </w:r>
    </w:p>
    <w:tbl>
      <w:tblPr>
        <w:tblW w:w="0" w:type="auto"/>
        <w:jc w:val="center"/>
        <w:tblCellMar>
          <w:left w:w="0" w:type="dxa"/>
          <w:right w:w="0" w:type="dxa"/>
        </w:tblCellMar>
        <w:tblLook w:val="0420" w:firstRow="1" w:lastRow="0" w:firstColumn="0" w:lastColumn="0" w:noHBand="0" w:noVBand="1"/>
      </w:tblPr>
      <w:tblGrid>
        <w:gridCol w:w="1400"/>
        <w:gridCol w:w="2021"/>
        <w:gridCol w:w="2985"/>
        <w:gridCol w:w="1902"/>
        <w:gridCol w:w="758"/>
      </w:tblGrid>
      <w:tr w:rsidR="003B3191" w:rsidRPr="00B66B61" w14:paraId="5FBE4F2F" w14:textId="77777777" w:rsidTr="00B66B61">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906055"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18"/>
                <w:szCs w:val="18"/>
              </w:rPr>
            </w:pPr>
            <w:r w:rsidRPr="00B66B61">
              <w:rPr>
                <w:rFonts w:ascii="Times New Roman" w:eastAsia="Arial" w:hAnsi="Times New Roman" w:cs="Times New Roman"/>
                <w:b/>
                <w:color w:val="000000"/>
                <w:sz w:val="18"/>
                <w:szCs w:val="18"/>
              </w:rPr>
              <w:t>Outcome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0CC9297"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18"/>
                <w:szCs w:val="18"/>
              </w:rPr>
            </w:pPr>
            <w:r w:rsidRPr="00B66B61">
              <w:rPr>
                <w:rFonts w:ascii="Times New Roman" w:eastAsia="Arial" w:hAnsi="Times New Roman" w:cs="Times New Roman"/>
                <w:b/>
                <w:color w:val="000000"/>
                <w:sz w:val="18"/>
                <w:szCs w:val="18"/>
              </w:rPr>
              <w:t>Analysis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3209269"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18"/>
                <w:szCs w:val="18"/>
              </w:rPr>
            </w:pPr>
            <w:r w:rsidRPr="00B66B61">
              <w:rPr>
                <w:rFonts w:ascii="Times New Roman" w:eastAsia="Arial" w:hAnsi="Times New Roman" w:cs="Times New Roman"/>
                <w:b/>
                <w:color w:val="000000"/>
                <w:sz w:val="18"/>
                <w:szCs w:val="18"/>
              </w:rPr>
              <w:t>Exposure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9D7AAC"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18"/>
                <w:szCs w:val="18"/>
              </w:rPr>
            </w:pPr>
            <w:r w:rsidRPr="00B66B61">
              <w:rPr>
                <w:rFonts w:ascii="Times New Roman" w:eastAsia="Arial" w:hAnsi="Times New Roman" w:cs="Times New Roman"/>
                <w:b/>
                <w:color w:val="000000"/>
                <w:sz w:val="18"/>
                <w:szCs w:val="18"/>
              </w:rPr>
              <w:t>Adjusted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77D8A1"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18"/>
                <w:szCs w:val="18"/>
              </w:rPr>
            </w:pPr>
            <w:r w:rsidRPr="00476247">
              <w:rPr>
                <w:rFonts w:ascii="Times New Roman" w:eastAsia="Arial" w:hAnsi="Times New Roman" w:cs="Times New Roman"/>
                <w:b/>
                <w:i/>
                <w:color w:val="000000"/>
                <w:sz w:val="18"/>
                <w:szCs w:val="18"/>
              </w:rPr>
              <w:t>P</w:t>
            </w:r>
            <w:r w:rsidRPr="00B66B61">
              <w:rPr>
                <w:rFonts w:ascii="Times New Roman" w:eastAsia="Arial" w:hAnsi="Times New Roman" w:cs="Times New Roman"/>
                <w:b/>
                <w:color w:val="000000"/>
                <w:sz w:val="18"/>
                <w:szCs w:val="18"/>
              </w:rPr>
              <w:t xml:space="preserve"> value</w:t>
            </w:r>
          </w:p>
        </w:tc>
      </w:tr>
      <w:tr w:rsidR="003B3191" w:rsidRPr="00B66B61" w14:paraId="1AF06A03" w14:textId="77777777" w:rsidTr="00B66B61">
        <w:trPr>
          <w:jc w:val="center"/>
        </w:trPr>
        <w:tc>
          <w:tcPr>
            <w:tcW w:w="0" w:type="auto"/>
            <w:vMerge w:val="restart"/>
            <w:tcBorders>
              <w:top w:val="single" w:sz="12" w:space="0" w:color="666666"/>
            </w:tcBorders>
            <w:shd w:val="clear" w:color="auto" w:fill="FFFFFF"/>
            <w:tcMar>
              <w:top w:w="0" w:type="dxa"/>
              <w:left w:w="0" w:type="dxa"/>
              <w:bottom w:w="0" w:type="dxa"/>
              <w:right w:w="0" w:type="dxa"/>
            </w:tcMar>
          </w:tcPr>
          <w:p w14:paraId="22F0AED8"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ICU mortality</w:t>
            </w:r>
          </w:p>
        </w:tc>
        <w:tc>
          <w:tcPr>
            <w:tcW w:w="0" w:type="auto"/>
            <w:vMerge w:val="restart"/>
            <w:tcBorders>
              <w:top w:val="single" w:sz="12" w:space="0" w:color="666666"/>
            </w:tcBorders>
            <w:shd w:val="clear" w:color="auto" w:fill="FFFFFF"/>
            <w:tcMar>
              <w:top w:w="0" w:type="dxa"/>
              <w:left w:w="0" w:type="dxa"/>
              <w:bottom w:w="0" w:type="dxa"/>
              <w:right w:w="0" w:type="dxa"/>
            </w:tcMar>
          </w:tcPr>
          <w:p w14:paraId="0670561C"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Phenotype model</w:t>
            </w:r>
          </w:p>
        </w:tc>
        <w:tc>
          <w:tcPr>
            <w:tcW w:w="0" w:type="auto"/>
            <w:tcBorders>
              <w:top w:val="single" w:sz="12" w:space="0" w:color="666666"/>
            </w:tcBorders>
            <w:shd w:val="clear" w:color="auto" w:fill="FFFFFF"/>
            <w:tcMar>
              <w:top w:w="0" w:type="dxa"/>
              <w:left w:w="0" w:type="dxa"/>
              <w:bottom w:w="0" w:type="dxa"/>
              <w:right w:w="0" w:type="dxa"/>
            </w:tcMar>
            <w:vAlign w:val="center"/>
          </w:tcPr>
          <w:p w14:paraId="1EA42825"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 xml:space="preserve">High </w:t>
            </w:r>
            <w:proofErr w:type="spellStart"/>
            <w:r w:rsidRPr="00B66B61">
              <w:rPr>
                <w:rFonts w:ascii="Times New Roman" w:eastAsia="Arial" w:hAnsi="Times New Roman" w:cs="Times New Roman"/>
                <w:color w:val="000000"/>
                <w:sz w:val="17"/>
                <w:szCs w:val="17"/>
              </w:rPr>
              <w:t>BAAccel</w:t>
            </w:r>
            <w:proofErr w:type="spellEnd"/>
            <w:r w:rsidRPr="00B66B61">
              <w:rPr>
                <w:rFonts w:ascii="Times New Roman" w:eastAsia="Arial" w:hAnsi="Times New Roman" w:cs="Times New Roman"/>
                <w:color w:val="000000"/>
                <w:sz w:val="17"/>
                <w:szCs w:val="17"/>
              </w:rPr>
              <w:t xml:space="preserve"> + Low inflammation</w:t>
            </w:r>
          </w:p>
        </w:tc>
        <w:tc>
          <w:tcPr>
            <w:tcW w:w="0" w:type="auto"/>
            <w:tcBorders>
              <w:top w:val="single" w:sz="12" w:space="0" w:color="666666"/>
            </w:tcBorders>
            <w:shd w:val="clear" w:color="auto" w:fill="FFFFFF"/>
            <w:tcMar>
              <w:top w:w="0" w:type="dxa"/>
              <w:left w:w="0" w:type="dxa"/>
              <w:bottom w:w="0" w:type="dxa"/>
              <w:right w:w="0" w:type="dxa"/>
            </w:tcMar>
            <w:vAlign w:val="center"/>
          </w:tcPr>
          <w:p w14:paraId="1AA4E138"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1.42 (0.96–2.11)</w:t>
            </w:r>
          </w:p>
        </w:tc>
        <w:tc>
          <w:tcPr>
            <w:tcW w:w="0" w:type="auto"/>
            <w:tcBorders>
              <w:top w:val="single" w:sz="12" w:space="0" w:color="666666"/>
            </w:tcBorders>
            <w:shd w:val="clear" w:color="auto" w:fill="FFFFFF"/>
            <w:tcMar>
              <w:top w:w="0" w:type="dxa"/>
              <w:left w:w="0" w:type="dxa"/>
              <w:bottom w:w="0" w:type="dxa"/>
              <w:right w:w="0" w:type="dxa"/>
            </w:tcMar>
            <w:vAlign w:val="center"/>
          </w:tcPr>
          <w:p w14:paraId="4260E9A6"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0.079</w:t>
            </w:r>
          </w:p>
        </w:tc>
      </w:tr>
      <w:tr w:rsidR="003B3191" w:rsidRPr="00B66B61" w14:paraId="3B943941" w14:textId="77777777" w:rsidTr="00B66B61">
        <w:trPr>
          <w:jc w:val="center"/>
        </w:trPr>
        <w:tc>
          <w:tcPr>
            <w:tcW w:w="0" w:type="auto"/>
            <w:vMerge/>
            <w:shd w:val="clear" w:color="auto" w:fill="FFFFFF"/>
            <w:tcMar>
              <w:top w:w="0" w:type="dxa"/>
              <w:left w:w="0" w:type="dxa"/>
              <w:bottom w:w="0" w:type="dxa"/>
              <w:right w:w="0" w:type="dxa"/>
            </w:tcMar>
          </w:tcPr>
          <w:p w14:paraId="141FAD5D"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vMerge/>
            <w:shd w:val="clear" w:color="auto" w:fill="FFFFFF"/>
            <w:tcMar>
              <w:top w:w="0" w:type="dxa"/>
              <w:left w:w="0" w:type="dxa"/>
              <w:bottom w:w="0" w:type="dxa"/>
              <w:right w:w="0" w:type="dxa"/>
            </w:tcMar>
          </w:tcPr>
          <w:p w14:paraId="1E4A8C13"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shd w:val="clear" w:color="auto" w:fill="FFFFFF"/>
            <w:tcMar>
              <w:top w:w="0" w:type="dxa"/>
              <w:left w:w="0" w:type="dxa"/>
              <w:bottom w:w="0" w:type="dxa"/>
              <w:right w:w="0" w:type="dxa"/>
            </w:tcMar>
            <w:vAlign w:val="center"/>
          </w:tcPr>
          <w:p w14:paraId="2CEC6CBA"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 xml:space="preserve">Low </w:t>
            </w:r>
            <w:proofErr w:type="spellStart"/>
            <w:r w:rsidRPr="00B66B61">
              <w:rPr>
                <w:rFonts w:ascii="Times New Roman" w:eastAsia="Arial" w:hAnsi="Times New Roman" w:cs="Times New Roman"/>
                <w:color w:val="000000"/>
                <w:sz w:val="17"/>
                <w:szCs w:val="17"/>
              </w:rPr>
              <w:t>BAAccel</w:t>
            </w:r>
            <w:proofErr w:type="spellEnd"/>
            <w:r w:rsidRPr="00B66B61">
              <w:rPr>
                <w:rFonts w:ascii="Times New Roman" w:eastAsia="Arial" w:hAnsi="Times New Roman" w:cs="Times New Roman"/>
                <w:color w:val="000000"/>
                <w:sz w:val="17"/>
                <w:szCs w:val="17"/>
              </w:rPr>
              <w:t xml:space="preserve"> + High inflammation</w:t>
            </w:r>
          </w:p>
        </w:tc>
        <w:tc>
          <w:tcPr>
            <w:tcW w:w="0" w:type="auto"/>
            <w:shd w:val="clear" w:color="auto" w:fill="FFFFFF"/>
            <w:tcMar>
              <w:top w:w="0" w:type="dxa"/>
              <w:left w:w="0" w:type="dxa"/>
              <w:bottom w:w="0" w:type="dxa"/>
              <w:right w:w="0" w:type="dxa"/>
            </w:tcMar>
            <w:vAlign w:val="center"/>
          </w:tcPr>
          <w:p w14:paraId="0513DB6A"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1.17 (0.79–1.75)</w:t>
            </w:r>
          </w:p>
        </w:tc>
        <w:tc>
          <w:tcPr>
            <w:tcW w:w="0" w:type="auto"/>
            <w:shd w:val="clear" w:color="auto" w:fill="FFFFFF"/>
            <w:tcMar>
              <w:top w:w="0" w:type="dxa"/>
              <w:left w:w="0" w:type="dxa"/>
              <w:bottom w:w="0" w:type="dxa"/>
              <w:right w:w="0" w:type="dxa"/>
            </w:tcMar>
            <w:vAlign w:val="center"/>
          </w:tcPr>
          <w:p w14:paraId="65D51BB1"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0.432</w:t>
            </w:r>
          </w:p>
        </w:tc>
      </w:tr>
      <w:tr w:rsidR="003B3191" w:rsidRPr="00B66B61" w14:paraId="793E379C" w14:textId="77777777" w:rsidTr="00B66B61">
        <w:trPr>
          <w:jc w:val="center"/>
        </w:trPr>
        <w:tc>
          <w:tcPr>
            <w:tcW w:w="0" w:type="auto"/>
            <w:vMerge/>
            <w:shd w:val="clear" w:color="auto" w:fill="FFFFFF"/>
            <w:tcMar>
              <w:top w:w="0" w:type="dxa"/>
              <w:left w:w="0" w:type="dxa"/>
              <w:bottom w:w="0" w:type="dxa"/>
              <w:right w:w="0" w:type="dxa"/>
            </w:tcMar>
          </w:tcPr>
          <w:p w14:paraId="4065584B"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vMerge/>
            <w:shd w:val="clear" w:color="auto" w:fill="FFFFFF"/>
            <w:tcMar>
              <w:top w:w="0" w:type="dxa"/>
              <w:left w:w="0" w:type="dxa"/>
              <w:bottom w:w="0" w:type="dxa"/>
              <w:right w:w="0" w:type="dxa"/>
            </w:tcMar>
          </w:tcPr>
          <w:p w14:paraId="0AF8FB62"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shd w:val="clear" w:color="auto" w:fill="FFFFFF"/>
            <w:tcMar>
              <w:top w:w="0" w:type="dxa"/>
              <w:left w:w="0" w:type="dxa"/>
              <w:bottom w:w="0" w:type="dxa"/>
              <w:right w:w="0" w:type="dxa"/>
            </w:tcMar>
            <w:vAlign w:val="center"/>
          </w:tcPr>
          <w:p w14:paraId="0CD092AE"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 xml:space="preserve">High </w:t>
            </w:r>
            <w:proofErr w:type="spellStart"/>
            <w:r w:rsidRPr="00B66B61">
              <w:rPr>
                <w:rFonts w:ascii="Times New Roman" w:eastAsia="Arial" w:hAnsi="Times New Roman" w:cs="Times New Roman"/>
                <w:color w:val="000000"/>
                <w:sz w:val="17"/>
                <w:szCs w:val="17"/>
              </w:rPr>
              <w:t>BAAccel</w:t>
            </w:r>
            <w:proofErr w:type="spellEnd"/>
            <w:r w:rsidRPr="00B66B61">
              <w:rPr>
                <w:rFonts w:ascii="Times New Roman" w:eastAsia="Arial" w:hAnsi="Times New Roman" w:cs="Times New Roman"/>
                <w:color w:val="000000"/>
                <w:sz w:val="17"/>
                <w:szCs w:val="17"/>
              </w:rPr>
              <w:t xml:space="preserve"> + High inflammation</w:t>
            </w:r>
          </w:p>
        </w:tc>
        <w:tc>
          <w:tcPr>
            <w:tcW w:w="0" w:type="auto"/>
            <w:shd w:val="clear" w:color="auto" w:fill="FFFFFF"/>
            <w:tcMar>
              <w:top w:w="0" w:type="dxa"/>
              <w:left w:w="0" w:type="dxa"/>
              <w:bottom w:w="0" w:type="dxa"/>
              <w:right w:w="0" w:type="dxa"/>
            </w:tcMar>
            <w:vAlign w:val="center"/>
          </w:tcPr>
          <w:p w14:paraId="3897D9E7"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1.66 (1.13–2.45)</w:t>
            </w:r>
          </w:p>
        </w:tc>
        <w:tc>
          <w:tcPr>
            <w:tcW w:w="0" w:type="auto"/>
            <w:shd w:val="clear" w:color="auto" w:fill="FFFFFF"/>
            <w:tcMar>
              <w:top w:w="0" w:type="dxa"/>
              <w:left w:w="0" w:type="dxa"/>
              <w:bottom w:w="0" w:type="dxa"/>
              <w:right w:w="0" w:type="dxa"/>
            </w:tcMar>
            <w:vAlign w:val="center"/>
          </w:tcPr>
          <w:p w14:paraId="348F51B4"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0.010</w:t>
            </w:r>
          </w:p>
        </w:tc>
      </w:tr>
      <w:tr w:rsidR="003B3191" w:rsidRPr="00B66B61" w14:paraId="360CC39D" w14:textId="77777777" w:rsidTr="00B66B61">
        <w:trPr>
          <w:jc w:val="center"/>
        </w:trPr>
        <w:tc>
          <w:tcPr>
            <w:tcW w:w="0" w:type="auto"/>
            <w:vMerge w:val="restart"/>
            <w:shd w:val="clear" w:color="auto" w:fill="FFFFFF"/>
            <w:tcMar>
              <w:top w:w="0" w:type="dxa"/>
              <w:left w:w="0" w:type="dxa"/>
              <w:bottom w:w="0" w:type="dxa"/>
              <w:right w:w="0" w:type="dxa"/>
            </w:tcMar>
          </w:tcPr>
          <w:p w14:paraId="62E857FA"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Hospital mortality</w:t>
            </w:r>
          </w:p>
        </w:tc>
        <w:tc>
          <w:tcPr>
            <w:tcW w:w="0" w:type="auto"/>
            <w:vMerge/>
            <w:shd w:val="clear" w:color="auto" w:fill="FFFFFF"/>
            <w:tcMar>
              <w:top w:w="0" w:type="dxa"/>
              <w:left w:w="0" w:type="dxa"/>
              <w:bottom w:w="0" w:type="dxa"/>
              <w:right w:w="0" w:type="dxa"/>
            </w:tcMar>
          </w:tcPr>
          <w:p w14:paraId="0683F8DA"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shd w:val="clear" w:color="auto" w:fill="FFFFFF"/>
            <w:tcMar>
              <w:top w:w="0" w:type="dxa"/>
              <w:left w:w="0" w:type="dxa"/>
              <w:bottom w:w="0" w:type="dxa"/>
              <w:right w:w="0" w:type="dxa"/>
            </w:tcMar>
            <w:vAlign w:val="center"/>
          </w:tcPr>
          <w:p w14:paraId="0FEE6D4F"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 xml:space="preserve">High </w:t>
            </w:r>
            <w:proofErr w:type="spellStart"/>
            <w:r w:rsidRPr="00B66B61">
              <w:rPr>
                <w:rFonts w:ascii="Times New Roman" w:eastAsia="Arial" w:hAnsi="Times New Roman" w:cs="Times New Roman"/>
                <w:color w:val="000000"/>
                <w:sz w:val="17"/>
                <w:szCs w:val="17"/>
              </w:rPr>
              <w:t>BAAccel</w:t>
            </w:r>
            <w:proofErr w:type="spellEnd"/>
            <w:r w:rsidRPr="00B66B61">
              <w:rPr>
                <w:rFonts w:ascii="Times New Roman" w:eastAsia="Arial" w:hAnsi="Times New Roman" w:cs="Times New Roman"/>
                <w:color w:val="000000"/>
                <w:sz w:val="17"/>
                <w:szCs w:val="17"/>
              </w:rPr>
              <w:t xml:space="preserve"> + Low inflammation</w:t>
            </w:r>
          </w:p>
        </w:tc>
        <w:tc>
          <w:tcPr>
            <w:tcW w:w="0" w:type="auto"/>
            <w:shd w:val="clear" w:color="auto" w:fill="FFFFFF"/>
            <w:tcMar>
              <w:top w:w="0" w:type="dxa"/>
              <w:left w:w="0" w:type="dxa"/>
              <w:bottom w:w="0" w:type="dxa"/>
              <w:right w:w="0" w:type="dxa"/>
            </w:tcMar>
            <w:vAlign w:val="center"/>
          </w:tcPr>
          <w:p w14:paraId="48E42652"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1.80 (1.54–2.11)</w:t>
            </w:r>
          </w:p>
        </w:tc>
        <w:tc>
          <w:tcPr>
            <w:tcW w:w="0" w:type="auto"/>
            <w:shd w:val="clear" w:color="auto" w:fill="FFFFFF"/>
            <w:tcMar>
              <w:top w:w="0" w:type="dxa"/>
              <w:left w:w="0" w:type="dxa"/>
              <w:bottom w:w="0" w:type="dxa"/>
              <w:right w:w="0" w:type="dxa"/>
            </w:tcMar>
            <w:vAlign w:val="center"/>
          </w:tcPr>
          <w:p w14:paraId="739F0196"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&lt;0.001</w:t>
            </w:r>
          </w:p>
        </w:tc>
      </w:tr>
      <w:tr w:rsidR="003B3191" w:rsidRPr="00B66B61" w14:paraId="387BD237" w14:textId="77777777" w:rsidTr="00B66B61">
        <w:trPr>
          <w:jc w:val="center"/>
        </w:trPr>
        <w:tc>
          <w:tcPr>
            <w:tcW w:w="0" w:type="auto"/>
            <w:vMerge/>
            <w:shd w:val="clear" w:color="auto" w:fill="FFFFFF"/>
            <w:tcMar>
              <w:top w:w="0" w:type="dxa"/>
              <w:left w:w="0" w:type="dxa"/>
              <w:bottom w:w="0" w:type="dxa"/>
              <w:right w:w="0" w:type="dxa"/>
            </w:tcMar>
          </w:tcPr>
          <w:p w14:paraId="22B93C13"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vMerge/>
            <w:shd w:val="clear" w:color="auto" w:fill="FFFFFF"/>
            <w:tcMar>
              <w:top w:w="0" w:type="dxa"/>
              <w:left w:w="0" w:type="dxa"/>
              <w:bottom w:w="0" w:type="dxa"/>
              <w:right w:w="0" w:type="dxa"/>
            </w:tcMar>
          </w:tcPr>
          <w:p w14:paraId="374256CE"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shd w:val="clear" w:color="auto" w:fill="FFFFFF"/>
            <w:tcMar>
              <w:top w:w="0" w:type="dxa"/>
              <w:left w:w="0" w:type="dxa"/>
              <w:bottom w:w="0" w:type="dxa"/>
              <w:right w:w="0" w:type="dxa"/>
            </w:tcMar>
            <w:vAlign w:val="center"/>
          </w:tcPr>
          <w:p w14:paraId="0708F5A1"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 xml:space="preserve">Low </w:t>
            </w:r>
            <w:proofErr w:type="spellStart"/>
            <w:r w:rsidRPr="00B66B61">
              <w:rPr>
                <w:rFonts w:ascii="Times New Roman" w:eastAsia="Arial" w:hAnsi="Times New Roman" w:cs="Times New Roman"/>
                <w:color w:val="000000"/>
                <w:sz w:val="17"/>
                <w:szCs w:val="17"/>
              </w:rPr>
              <w:t>BAAccel</w:t>
            </w:r>
            <w:proofErr w:type="spellEnd"/>
            <w:r w:rsidRPr="00B66B61">
              <w:rPr>
                <w:rFonts w:ascii="Times New Roman" w:eastAsia="Arial" w:hAnsi="Times New Roman" w:cs="Times New Roman"/>
                <w:color w:val="000000"/>
                <w:sz w:val="17"/>
                <w:szCs w:val="17"/>
              </w:rPr>
              <w:t xml:space="preserve"> + High inflammation</w:t>
            </w:r>
          </w:p>
        </w:tc>
        <w:tc>
          <w:tcPr>
            <w:tcW w:w="0" w:type="auto"/>
            <w:shd w:val="clear" w:color="auto" w:fill="FFFFFF"/>
            <w:tcMar>
              <w:top w:w="0" w:type="dxa"/>
              <w:left w:w="0" w:type="dxa"/>
              <w:bottom w:w="0" w:type="dxa"/>
              <w:right w:w="0" w:type="dxa"/>
            </w:tcMar>
            <w:vAlign w:val="center"/>
          </w:tcPr>
          <w:p w14:paraId="7DC3DE54"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1.25 (0.96–1.62)</w:t>
            </w:r>
          </w:p>
        </w:tc>
        <w:tc>
          <w:tcPr>
            <w:tcW w:w="0" w:type="auto"/>
            <w:shd w:val="clear" w:color="auto" w:fill="FFFFFF"/>
            <w:tcMar>
              <w:top w:w="0" w:type="dxa"/>
              <w:left w:w="0" w:type="dxa"/>
              <w:bottom w:w="0" w:type="dxa"/>
              <w:right w:w="0" w:type="dxa"/>
            </w:tcMar>
            <w:vAlign w:val="center"/>
          </w:tcPr>
          <w:p w14:paraId="5E35293C"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0.101</w:t>
            </w:r>
          </w:p>
        </w:tc>
      </w:tr>
      <w:tr w:rsidR="003B3191" w:rsidRPr="00B66B61" w14:paraId="2D8BEE14" w14:textId="77777777" w:rsidTr="00B66B61">
        <w:trPr>
          <w:jc w:val="center"/>
        </w:trPr>
        <w:tc>
          <w:tcPr>
            <w:tcW w:w="0" w:type="auto"/>
            <w:vMerge/>
            <w:tcBorders>
              <w:bottom w:val="single" w:sz="4" w:space="0" w:color="auto"/>
            </w:tcBorders>
            <w:shd w:val="clear" w:color="auto" w:fill="FFFFFF"/>
            <w:tcMar>
              <w:top w:w="0" w:type="dxa"/>
              <w:left w:w="0" w:type="dxa"/>
              <w:bottom w:w="0" w:type="dxa"/>
              <w:right w:w="0" w:type="dxa"/>
            </w:tcMar>
          </w:tcPr>
          <w:p w14:paraId="013C65A5"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vMerge/>
            <w:tcBorders>
              <w:bottom w:val="single" w:sz="4" w:space="0" w:color="auto"/>
            </w:tcBorders>
            <w:shd w:val="clear" w:color="auto" w:fill="FFFFFF"/>
            <w:tcMar>
              <w:top w:w="0" w:type="dxa"/>
              <w:left w:w="0" w:type="dxa"/>
              <w:bottom w:w="0" w:type="dxa"/>
              <w:right w:w="0" w:type="dxa"/>
            </w:tcMar>
          </w:tcPr>
          <w:p w14:paraId="0514205F"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tcBorders>
              <w:bottom w:val="single" w:sz="4" w:space="0" w:color="auto"/>
            </w:tcBorders>
            <w:shd w:val="clear" w:color="auto" w:fill="FFFFFF"/>
            <w:tcMar>
              <w:top w:w="0" w:type="dxa"/>
              <w:left w:w="0" w:type="dxa"/>
              <w:bottom w:w="0" w:type="dxa"/>
              <w:right w:w="0" w:type="dxa"/>
            </w:tcMar>
            <w:vAlign w:val="center"/>
          </w:tcPr>
          <w:p w14:paraId="702A7D2E"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 xml:space="preserve">High </w:t>
            </w:r>
            <w:proofErr w:type="spellStart"/>
            <w:r w:rsidRPr="00B66B61">
              <w:rPr>
                <w:rFonts w:ascii="Times New Roman" w:eastAsia="Arial" w:hAnsi="Times New Roman" w:cs="Times New Roman"/>
                <w:color w:val="000000"/>
                <w:sz w:val="17"/>
                <w:szCs w:val="17"/>
              </w:rPr>
              <w:t>BAAccel</w:t>
            </w:r>
            <w:proofErr w:type="spellEnd"/>
            <w:r w:rsidRPr="00B66B61">
              <w:rPr>
                <w:rFonts w:ascii="Times New Roman" w:eastAsia="Arial" w:hAnsi="Times New Roman" w:cs="Times New Roman"/>
                <w:color w:val="000000"/>
                <w:sz w:val="17"/>
                <w:szCs w:val="17"/>
              </w:rPr>
              <w:t xml:space="preserve"> + High inflammation</w:t>
            </w:r>
          </w:p>
        </w:tc>
        <w:tc>
          <w:tcPr>
            <w:tcW w:w="0" w:type="auto"/>
            <w:tcBorders>
              <w:bottom w:val="single" w:sz="4" w:space="0" w:color="auto"/>
            </w:tcBorders>
            <w:shd w:val="clear" w:color="auto" w:fill="FFFFFF"/>
            <w:tcMar>
              <w:top w:w="0" w:type="dxa"/>
              <w:left w:w="0" w:type="dxa"/>
              <w:bottom w:w="0" w:type="dxa"/>
              <w:right w:w="0" w:type="dxa"/>
            </w:tcMar>
            <w:vAlign w:val="center"/>
          </w:tcPr>
          <w:p w14:paraId="29113A8B"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2.16 (1.73–2.70)</w:t>
            </w:r>
          </w:p>
        </w:tc>
        <w:tc>
          <w:tcPr>
            <w:tcW w:w="0" w:type="auto"/>
            <w:tcBorders>
              <w:bottom w:val="single" w:sz="4" w:space="0" w:color="auto"/>
            </w:tcBorders>
            <w:shd w:val="clear" w:color="auto" w:fill="FFFFFF"/>
            <w:tcMar>
              <w:top w:w="0" w:type="dxa"/>
              <w:left w:w="0" w:type="dxa"/>
              <w:bottom w:w="0" w:type="dxa"/>
              <w:right w:w="0" w:type="dxa"/>
            </w:tcMar>
            <w:vAlign w:val="center"/>
          </w:tcPr>
          <w:p w14:paraId="14FF9F38"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&lt;0.001</w:t>
            </w:r>
          </w:p>
        </w:tc>
      </w:tr>
      <w:tr w:rsidR="003B3191" w:rsidRPr="00B66B61" w14:paraId="5DD34E98" w14:textId="77777777" w:rsidTr="00B66B61">
        <w:trPr>
          <w:jc w:val="center"/>
        </w:trPr>
        <w:tc>
          <w:tcPr>
            <w:tcW w:w="0" w:type="auto"/>
            <w:tcBorders>
              <w:top w:val="single" w:sz="4" w:space="0" w:color="auto"/>
            </w:tcBorders>
            <w:shd w:val="clear" w:color="auto" w:fill="FFFFFF"/>
            <w:tcMar>
              <w:top w:w="0" w:type="dxa"/>
              <w:left w:w="0" w:type="dxa"/>
              <w:bottom w:w="0" w:type="dxa"/>
              <w:right w:w="0" w:type="dxa"/>
            </w:tcMar>
          </w:tcPr>
          <w:p w14:paraId="6C393AB9"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ICU mortality</w:t>
            </w:r>
          </w:p>
        </w:tc>
        <w:tc>
          <w:tcPr>
            <w:tcW w:w="0" w:type="auto"/>
            <w:vMerge w:val="restart"/>
            <w:tcBorders>
              <w:top w:val="single" w:sz="4" w:space="0" w:color="auto"/>
            </w:tcBorders>
            <w:shd w:val="clear" w:color="auto" w:fill="FFFFFF"/>
            <w:tcMar>
              <w:top w:w="0" w:type="dxa"/>
              <w:left w:w="0" w:type="dxa"/>
              <w:bottom w:w="0" w:type="dxa"/>
              <w:right w:w="0" w:type="dxa"/>
            </w:tcMar>
          </w:tcPr>
          <w:p w14:paraId="6A8EB3A8"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Phenotype score trend</w:t>
            </w:r>
          </w:p>
        </w:tc>
        <w:tc>
          <w:tcPr>
            <w:tcW w:w="0" w:type="auto"/>
            <w:tcBorders>
              <w:top w:val="single" w:sz="4" w:space="0" w:color="auto"/>
            </w:tcBorders>
            <w:shd w:val="clear" w:color="auto" w:fill="FFFFFF"/>
            <w:tcMar>
              <w:top w:w="0" w:type="dxa"/>
              <w:left w:w="0" w:type="dxa"/>
              <w:bottom w:w="0" w:type="dxa"/>
              <w:right w:w="0" w:type="dxa"/>
            </w:tcMar>
            <w:vAlign w:val="center"/>
          </w:tcPr>
          <w:p w14:paraId="7F8F15F5"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Phenotype score, per 1-point increase</w:t>
            </w:r>
          </w:p>
        </w:tc>
        <w:tc>
          <w:tcPr>
            <w:tcW w:w="0" w:type="auto"/>
            <w:tcBorders>
              <w:top w:val="single" w:sz="4" w:space="0" w:color="auto"/>
            </w:tcBorders>
            <w:shd w:val="clear" w:color="auto" w:fill="FFFFFF"/>
            <w:tcMar>
              <w:top w:w="0" w:type="dxa"/>
              <w:left w:w="0" w:type="dxa"/>
              <w:bottom w:w="0" w:type="dxa"/>
              <w:right w:w="0" w:type="dxa"/>
            </w:tcMar>
            <w:vAlign w:val="center"/>
          </w:tcPr>
          <w:p w14:paraId="2F4A67B8"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1.28 (1.08–1.52)</w:t>
            </w:r>
          </w:p>
        </w:tc>
        <w:tc>
          <w:tcPr>
            <w:tcW w:w="0" w:type="auto"/>
            <w:tcBorders>
              <w:top w:val="single" w:sz="4" w:space="0" w:color="auto"/>
            </w:tcBorders>
            <w:shd w:val="clear" w:color="auto" w:fill="FFFFFF"/>
            <w:tcMar>
              <w:top w:w="0" w:type="dxa"/>
              <w:left w:w="0" w:type="dxa"/>
              <w:bottom w:w="0" w:type="dxa"/>
              <w:right w:w="0" w:type="dxa"/>
            </w:tcMar>
            <w:vAlign w:val="center"/>
          </w:tcPr>
          <w:p w14:paraId="5479C04E"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0.005</w:t>
            </w:r>
          </w:p>
        </w:tc>
      </w:tr>
      <w:tr w:rsidR="003B3191" w:rsidRPr="00B66B61" w14:paraId="44E31FC1" w14:textId="77777777" w:rsidTr="00B66B61">
        <w:trPr>
          <w:jc w:val="center"/>
        </w:trPr>
        <w:tc>
          <w:tcPr>
            <w:tcW w:w="0" w:type="auto"/>
            <w:tcBorders>
              <w:bottom w:val="single" w:sz="4" w:space="0" w:color="auto"/>
            </w:tcBorders>
            <w:shd w:val="clear" w:color="auto" w:fill="FFFFFF"/>
            <w:tcMar>
              <w:top w:w="0" w:type="dxa"/>
              <w:left w:w="0" w:type="dxa"/>
              <w:bottom w:w="0" w:type="dxa"/>
              <w:right w:w="0" w:type="dxa"/>
            </w:tcMar>
          </w:tcPr>
          <w:p w14:paraId="0E7B0A65"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Hospital mortality</w:t>
            </w:r>
          </w:p>
        </w:tc>
        <w:tc>
          <w:tcPr>
            <w:tcW w:w="0" w:type="auto"/>
            <w:vMerge/>
            <w:tcBorders>
              <w:bottom w:val="single" w:sz="4" w:space="0" w:color="auto"/>
            </w:tcBorders>
            <w:shd w:val="clear" w:color="auto" w:fill="FFFFFF"/>
            <w:tcMar>
              <w:top w:w="0" w:type="dxa"/>
              <w:left w:w="0" w:type="dxa"/>
              <w:bottom w:w="0" w:type="dxa"/>
              <w:right w:w="0" w:type="dxa"/>
            </w:tcMar>
          </w:tcPr>
          <w:p w14:paraId="214A6AC2"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tcBorders>
              <w:bottom w:val="single" w:sz="4" w:space="0" w:color="auto"/>
            </w:tcBorders>
            <w:shd w:val="clear" w:color="auto" w:fill="FFFFFF"/>
            <w:tcMar>
              <w:top w:w="0" w:type="dxa"/>
              <w:left w:w="0" w:type="dxa"/>
              <w:bottom w:w="0" w:type="dxa"/>
              <w:right w:w="0" w:type="dxa"/>
            </w:tcMar>
            <w:vAlign w:val="center"/>
          </w:tcPr>
          <w:p w14:paraId="3EEE5271"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Phenotype score, per 1-point increase</w:t>
            </w:r>
          </w:p>
        </w:tc>
        <w:tc>
          <w:tcPr>
            <w:tcW w:w="0" w:type="auto"/>
            <w:tcBorders>
              <w:bottom w:val="single" w:sz="4" w:space="0" w:color="auto"/>
            </w:tcBorders>
            <w:shd w:val="clear" w:color="auto" w:fill="FFFFFF"/>
            <w:tcMar>
              <w:top w:w="0" w:type="dxa"/>
              <w:left w:w="0" w:type="dxa"/>
              <w:bottom w:w="0" w:type="dxa"/>
              <w:right w:w="0" w:type="dxa"/>
            </w:tcMar>
            <w:vAlign w:val="center"/>
          </w:tcPr>
          <w:p w14:paraId="57DD9B35"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1.45 (1.28–1.63)</w:t>
            </w:r>
          </w:p>
        </w:tc>
        <w:tc>
          <w:tcPr>
            <w:tcW w:w="0" w:type="auto"/>
            <w:tcBorders>
              <w:bottom w:val="single" w:sz="4" w:space="0" w:color="auto"/>
            </w:tcBorders>
            <w:shd w:val="clear" w:color="auto" w:fill="FFFFFF"/>
            <w:tcMar>
              <w:top w:w="0" w:type="dxa"/>
              <w:left w:w="0" w:type="dxa"/>
              <w:bottom w:w="0" w:type="dxa"/>
              <w:right w:w="0" w:type="dxa"/>
            </w:tcMar>
            <w:vAlign w:val="center"/>
          </w:tcPr>
          <w:p w14:paraId="6B981824"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&lt;0.001</w:t>
            </w:r>
          </w:p>
        </w:tc>
      </w:tr>
      <w:tr w:rsidR="003B3191" w:rsidRPr="00B66B61" w14:paraId="61E0295F" w14:textId="77777777" w:rsidTr="00B66B61">
        <w:trPr>
          <w:jc w:val="center"/>
        </w:trPr>
        <w:tc>
          <w:tcPr>
            <w:tcW w:w="0" w:type="auto"/>
            <w:vMerge w:val="restar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46008F"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ICU mortality</w:t>
            </w:r>
          </w:p>
        </w:tc>
        <w:tc>
          <w:tcPr>
            <w:tcW w:w="0" w:type="auto"/>
            <w:vMerge w:val="restart"/>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09058CD"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Continuous exposure model</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B64B3"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 xml:space="preserve">KDM-core </w:t>
            </w:r>
            <w:proofErr w:type="spellStart"/>
            <w:r w:rsidRPr="00B66B61">
              <w:rPr>
                <w:rFonts w:ascii="Times New Roman" w:eastAsia="Arial" w:hAnsi="Times New Roman" w:cs="Times New Roman"/>
                <w:color w:val="000000"/>
                <w:sz w:val="17"/>
                <w:szCs w:val="17"/>
              </w:rPr>
              <w:t>BAAccel</w:t>
            </w:r>
            <w:proofErr w:type="spellEnd"/>
            <w:r w:rsidRPr="00B66B61">
              <w:rPr>
                <w:rFonts w:ascii="Times New Roman" w:eastAsia="Arial" w:hAnsi="Times New Roman" w:cs="Times New Roman"/>
                <w:color w:val="000000"/>
                <w:sz w:val="17"/>
                <w:szCs w:val="17"/>
              </w:rPr>
              <w:t>, per SD</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2F1A8"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1.20 (1.06–1.37)</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D9092"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0.005</w:t>
            </w:r>
          </w:p>
        </w:tc>
      </w:tr>
      <w:tr w:rsidR="003B3191" w:rsidRPr="00B66B61" w14:paraId="6A18F730" w14:textId="77777777" w:rsidTr="00B66B61">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A016EC"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9C4DC6"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09073"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PCA-derived inflammatory burden, per SD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27ECB"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1.01 (0.87–1.16)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7049F"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0.934</w:t>
            </w:r>
          </w:p>
        </w:tc>
      </w:tr>
      <w:tr w:rsidR="003B3191" w:rsidRPr="00B66B61" w14:paraId="5D426CA4" w14:textId="77777777" w:rsidTr="00B66B61">
        <w:trPr>
          <w:jc w:val="center"/>
        </w:trPr>
        <w:tc>
          <w:tcPr>
            <w:tcW w:w="0" w:type="auto"/>
            <w:vMerge w:val="restar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ACFEBD0"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Hospital mortality</w:t>
            </w:r>
          </w:p>
        </w:tc>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9682AB"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FE0D8"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 xml:space="preserve">KDM-core </w:t>
            </w:r>
            <w:proofErr w:type="spellStart"/>
            <w:r w:rsidRPr="00B66B61">
              <w:rPr>
                <w:rFonts w:ascii="Times New Roman" w:eastAsia="Arial" w:hAnsi="Times New Roman" w:cs="Times New Roman"/>
                <w:color w:val="000000"/>
                <w:sz w:val="17"/>
                <w:szCs w:val="17"/>
              </w:rPr>
              <w:t>BAAccel</w:t>
            </w:r>
            <w:proofErr w:type="spellEnd"/>
            <w:r w:rsidRPr="00B66B61">
              <w:rPr>
                <w:rFonts w:ascii="Times New Roman" w:eastAsia="Arial" w:hAnsi="Times New Roman" w:cs="Times New Roman"/>
                <w:color w:val="000000"/>
                <w:sz w:val="17"/>
                <w:szCs w:val="17"/>
              </w:rPr>
              <w:t>, per SD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188BA"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1.34 (1.24–1.45)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6FB45"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&lt;0.001</w:t>
            </w:r>
          </w:p>
        </w:tc>
      </w:tr>
      <w:tr w:rsidR="003B3191" w:rsidRPr="00B66B61" w14:paraId="248A8029" w14:textId="77777777" w:rsidTr="00B66B61">
        <w:trPr>
          <w:jc w:val="center"/>
        </w:trPr>
        <w:tc>
          <w:tcPr>
            <w:tcW w:w="0" w:type="auto"/>
            <w:vMerge/>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84EC2F7"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09A7371" w14:textId="77777777" w:rsidR="003B3191" w:rsidRPr="00B66B61" w:rsidRDefault="003B319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4B9D9B"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PCA-derived inflammatory burden, per SD</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E9F7D6"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1.07 (0.98–1.16)</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D58CE2" w14:textId="77777777" w:rsidR="003B3191" w:rsidRPr="00B66B61"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7"/>
                <w:szCs w:val="17"/>
              </w:rPr>
            </w:pPr>
            <w:r w:rsidRPr="00B66B61">
              <w:rPr>
                <w:rFonts w:ascii="Times New Roman" w:eastAsia="Arial" w:hAnsi="Times New Roman" w:cs="Times New Roman"/>
                <w:color w:val="000000"/>
                <w:sz w:val="17"/>
                <w:szCs w:val="17"/>
              </w:rPr>
              <w:t>0.150</w:t>
            </w:r>
          </w:p>
        </w:tc>
      </w:tr>
    </w:tbl>
    <w:p w14:paraId="50924CEF" w14:textId="77777777" w:rsidR="00B66B61" w:rsidRPr="00B66B61" w:rsidRDefault="00B66B61" w:rsidP="00B66B61">
      <w:pPr>
        <w:jc w:val="both"/>
        <w:rPr>
          <w:rFonts w:ascii="Times New Roman" w:hAnsi="Times New Roman" w:cs="Times New Roman"/>
          <w:sz w:val="21"/>
          <w:szCs w:val="21"/>
        </w:rPr>
      </w:pPr>
    </w:p>
    <w:p w14:paraId="7063785D" w14:textId="43668F3F" w:rsidR="003B3191" w:rsidRPr="00B66B61" w:rsidRDefault="00000000" w:rsidP="00B66B61">
      <w:pPr>
        <w:jc w:val="both"/>
        <w:rPr>
          <w:rFonts w:ascii="Times New Roman" w:hAnsi="Times New Roman" w:cs="Times New Roman"/>
          <w:sz w:val="21"/>
          <w:szCs w:val="21"/>
        </w:rPr>
      </w:pPr>
      <w:r w:rsidRPr="00B66B61">
        <w:rPr>
          <w:rFonts w:ascii="Times New Roman" w:hAnsi="Times New Roman" w:cs="Times New Roman"/>
          <w:sz w:val="21"/>
          <w:szCs w:val="21"/>
        </w:rPr>
        <w:t xml:space="preserve">Values are adjusted odds ratios (95% confidence intervals) with </w:t>
      </w:r>
      <w:r w:rsidRPr="00476247">
        <w:rPr>
          <w:rFonts w:ascii="Times New Roman" w:hAnsi="Times New Roman" w:cs="Times New Roman"/>
          <w:i/>
          <w:sz w:val="21"/>
          <w:szCs w:val="21"/>
        </w:rPr>
        <w:t>P</w:t>
      </w:r>
      <w:r w:rsidRPr="00B66B61">
        <w:rPr>
          <w:rFonts w:ascii="Times New Roman" w:hAnsi="Times New Roman" w:cs="Times New Roman"/>
          <w:sz w:val="21"/>
          <w:szCs w:val="21"/>
        </w:rPr>
        <w:t xml:space="preserve"> values. The low </w:t>
      </w:r>
      <w:proofErr w:type="spellStart"/>
      <w:r w:rsidRPr="00B66B61">
        <w:rPr>
          <w:rFonts w:ascii="Times New Roman" w:hAnsi="Times New Roman" w:cs="Times New Roman"/>
          <w:sz w:val="21"/>
          <w:szCs w:val="21"/>
        </w:rPr>
        <w:t>BAAccel</w:t>
      </w:r>
      <w:proofErr w:type="spellEnd"/>
      <w:r w:rsidRPr="00B66B61">
        <w:rPr>
          <w:rFonts w:ascii="Times New Roman" w:hAnsi="Times New Roman" w:cs="Times New Roman"/>
          <w:sz w:val="21"/>
          <w:szCs w:val="21"/>
        </w:rPr>
        <w:t xml:space="preserve">/low inflammation phenotype was used as the reference group. Models were adjusted for age, sex, ethnicity, ICU unit type, and APACHE score, with standard errors clustered at the hospital level. Mortality analyses were exploratory and were not used as primary external validation outcomes. </w:t>
      </w:r>
      <w:proofErr w:type="spellStart"/>
      <w:r w:rsidRPr="00B66B61">
        <w:rPr>
          <w:rFonts w:ascii="Times New Roman" w:hAnsi="Times New Roman" w:cs="Times New Roman"/>
          <w:sz w:val="21"/>
          <w:szCs w:val="21"/>
        </w:rPr>
        <w:t>BAAccel</w:t>
      </w:r>
      <w:proofErr w:type="spellEnd"/>
      <w:r w:rsidRPr="00B66B61">
        <w:rPr>
          <w:rFonts w:ascii="Times New Roman" w:hAnsi="Times New Roman" w:cs="Times New Roman"/>
          <w:sz w:val="21"/>
          <w:szCs w:val="21"/>
        </w:rPr>
        <w:t>, biological age acceleration; ICU, intensive care unit; OR, odds ratio.</w:t>
      </w:r>
    </w:p>
    <w:sectPr w:rsidR="003B3191" w:rsidRPr="00B66B61" w:rsidSect="00747CCE">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46720" w14:textId="77777777" w:rsidR="00BD6546" w:rsidRDefault="00BD6546" w:rsidP="00652947">
      <w:r>
        <w:separator/>
      </w:r>
    </w:p>
  </w:endnote>
  <w:endnote w:type="continuationSeparator" w:id="0">
    <w:p w14:paraId="246C1A99" w14:textId="77777777" w:rsidR="00BD6546" w:rsidRDefault="00BD6546" w:rsidP="0065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812F0" w14:textId="77777777" w:rsidR="00BD6546" w:rsidRDefault="00BD6546" w:rsidP="00652947">
      <w:r>
        <w:separator/>
      </w:r>
    </w:p>
  </w:footnote>
  <w:footnote w:type="continuationSeparator" w:id="0">
    <w:p w14:paraId="2D434B5E" w14:textId="77777777" w:rsidR="00BD6546" w:rsidRDefault="00BD6546" w:rsidP="00652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5923617">
    <w:abstractNumId w:val="1"/>
  </w:num>
  <w:num w:numId="2" w16cid:durableId="517739487">
    <w:abstractNumId w:val="2"/>
  </w:num>
  <w:num w:numId="3" w16cid:durableId="683020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191"/>
    <w:rsid w:val="0022557C"/>
    <w:rsid w:val="00331D77"/>
    <w:rsid w:val="00343702"/>
    <w:rsid w:val="003B3191"/>
    <w:rsid w:val="00476247"/>
    <w:rsid w:val="00652947"/>
    <w:rsid w:val="00B66B61"/>
    <w:rsid w:val="00BD6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8D2C"/>
  <w15:docId w15:val="{7DD6A05A-89C6-4E0E-9166-579DCAF3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2">
    <w:name w:val="heading 2"/>
    <w:basedOn w:val="a"/>
    <w:next w:val="a"/>
    <w:link w:val="20"/>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要点1"/>
    <w:basedOn w:val="a0"/>
    <w:uiPriority w:val="1"/>
    <w:qFormat/>
    <w:rsid w:val="007B3E96"/>
    <w:rPr>
      <w:b/>
    </w:rPr>
  </w:style>
  <w:style w:type="paragraph" w:customStyle="1" w:styleId="centered">
    <w:name w:val="centered"/>
    <w:basedOn w:val="a"/>
    <w:qFormat/>
    <w:rsid w:val="001D75AB"/>
    <w:pPr>
      <w:jc w:val="center"/>
    </w:pPr>
  </w:style>
  <w:style w:type="table" w:customStyle="1" w:styleId="tabletemplate">
    <w:name w:val="table_template"/>
    <w:basedOn w:val="a1"/>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2">
    <w:name w:val="Light List Accent 2"/>
    <w:basedOn w:val="a1"/>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10">
    <w:name w:val="标题 1 字符"/>
    <w:basedOn w:val="a0"/>
    <w:link w:val="1"/>
    <w:uiPriority w:val="9"/>
    <w:rsid w:val="00362E65"/>
    <w:rPr>
      <w:rFonts w:asciiTheme="majorHAnsi" w:eastAsiaTheme="majorEastAsia" w:hAnsiTheme="majorHAnsi" w:cstheme="majorBidi"/>
      <w:b/>
      <w:bCs/>
      <w:sz w:val="32"/>
      <w:szCs w:val="32"/>
    </w:rPr>
  </w:style>
  <w:style w:type="character" w:customStyle="1" w:styleId="20">
    <w:name w:val="标题 2 字符"/>
    <w:basedOn w:val="a0"/>
    <w:link w:val="2"/>
    <w:uiPriority w:val="9"/>
    <w:semiHidden/>
    <w:rsid w:val="00362E65"/>
    <w:rPr>
      <w:rFonts w:asciiTheme="majorHAnsi" w:eastAsiaTheme="majorEastAsia" w:hAnsiTheme="majorHAnsi" w:cstheme="majorBidi"/>
      <w:b/>
      <w:bCs/>
      <w:sz w:val="26"/>
      <w:szCs w:val="26"/>
    </w:rPr>
  </w:style>
  <w:style w:type="character" w:customStyle="1" w:styleId="30">
    <w:name w:val="标题 3 字符"/>
    <w:basedOn w:val="a0"/>
    <w:link w:val="3"/>
    <w:uiPriority w:val="9"/>
    <w:semiHidden/>
    <w:rsid w:val="00362E65"/>
    <w:rPr>
      <w:rFonts w:asciiTheme="majorHAnsi" w:eastAsiaTheme="majorEastAsia" w:hAnsiTheme="majorHAnsi" w:cstheme="majorBidi"/>
      <w:b/>
      <w:bCs/>
    </w:rPr>
  </w:style>
  <w:style w:type="paragraph" w:customStyle="1" w:styleId="ImageCaption">
    <w:name w:val="Image Caption"/>
    <w:basedOn w:val="a"/>
    <w:qFormat/>
    <w:rsid w:val="00AE18EF"/>
    <w:pPr>
      <w:jc w:val="center"/>
    </w:pPr>
    <w:rPr>
      <w:b/>
      <w:i/>
    </w:rPr>
  </w:style>
  <w:style w:type="paragraph" w:customStyle="1" w:styleId="TableCaption">
    <w:name w:val="Table Caption"/>
    <w:basedOn w:val="ImageCaption"/>
    <w:qFormat/>
    <w:rsid w:val="00AE18EF"/>
  </w:style>
  <w:style w:type="table" w:styleId="a3">
    <w:name w:val="Table Professional"/>
    <w:basedOn w:val="a1"/>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a"/>
    <w:next w:val="a"/>
    <w:autoRedefine/>
    <w:uiPriority w:val="39"/>
    <w:unhideWhenUsed/>
    <w:rsid w:val="00FB63E7"/>
    <w:pPr>
      <w:spacing w:after="100"/>
    </w:pPr>
  </w:style>
  <w:style w:type="paragraph" w:styleId="TOC2">
    <w:name w:val="toc 2"/>
    <w:basedOn w:val="a"/>
    <w:next w:val="a"/>
    <w:autoRedefine/>
    <w:uiPriority w:val="39"/>
    <w:unhideWhenUsed/>
    <w:rsid w:val="00FB63E7"/>
    <w:pPr>
      <w:spacing w:after="100"/>
      <w:ind w:left="240"/>
    </w:pPr>
  </w:style>
  <w:style w:type="paragraph" w:styleId="a4">
    <w:name w:val="Balloon Text"/>
    <w:basedOn w:val="a"/>
    <w:link w:val="a5"/>
    <w:uiPriority w:val="99"/>
    <w:semiHidden/>
    <w:unhideWhenUsed/>
    <w:rsid w:val="00FB63E7"/>
    <w:rPr>
      <w:rFonts w:ascii="Lucida Grande" w:hAnsi="Lucida Grande"/>
      <w:sz w:val="18"/>
      <w:szCs w:val="18"/>
    </w:rPr>
  </w:style>
  <w:style w:type="character" w:customStyle="1" w:styleId="a5">
    <w:name w:val="批注框文本 字符"/>
    <w:basedOn w:val="a0"/>
    <w:link w:val="a4"/>
    <w:uiPriority w:val="99"/>
    <w:semiHidden/>
    <w:rsid w:val="00FB63E7"/>
    <w:rPr>
      <w:rFonts w:ascii="Lucida Grande" w:hAnsi="Lucida Grande"/>
      <w:sz w:val="18"/>
      <w:szCs w:val="18"/>
    </w:rPr>
  </w:style>
  <w:style w:type="character" w:customStyle="1" w:styleId="referenceid">
    <w:name w:val="reference_id"/>
    <w:basedOn w:val="a0"/>
    <w:uiPriority w:val="1"/>
    <w:rsid w:val="00457CF1"/>
    <w:rPr>
      <w:vertAlign w:val="superscript"/>
    </w:rPr>
  </w:style>
  <w:style w:type="paragraph" w:customStyle="1" w:styleId="graphictitle">
    <w:name w:val="graphic title"/>
    <w:basedOn w:val="ImageCaption"/>
    <w:next w:val="a"/>
    <w:rsid w:val="0035500D"/>
  </w:style>
  <w:style w:type="paragraph" w:customStyle="1" w:styleId="tabletitle">
    <w:name w:val="table title"/>
    <w:basedOn w:val="TableCaption"/>
    <w:next w:val="a"/>
    <w:rsid w:val="00901463"/>
  </w:style>
  <w:style w:type="paragraph" w:styleId="a6">
    <w:name w:val="header"/>
    <w:basedOn w:val="a"/>
    <w:link w:val="a7"/>
    <w:uiPriority w:val="99"/>
    <w:unhideWhenUsed/>
    <w:rsid w:val="00652947"/>
    <w:pPr>
      <w:tabs>
        <w:tab w:val="center" w:pos="4153"/>
        <w:tab w:val="right" w:pos="8306"/>
      </w:tabs>
      <w:snapToGrid w:val="0"/>
      <w:jc w:val="center"/>
    </w:pPr>
    <w:rPr>
      <w:sz w:val="18"/>
      <w:szCs w:val="18"/>
    </w:rPr>
  </w:style>
  <w:style w:type="character" w:customStyle="1" w:styleId="a7">
    <w:name w:val="页眉 字符"/>
    <w:basedOn w:val="a0"/>
    <w:link w:val="a6"/>
    <w:uiPriority w:val="99"/>
    <w:rsid w:val="00652947"/>
    <w:rPr>
      <w:sz w:val="18"/>
      <w:szCs w:val="18"/>
    </w:rPr>
  </w:style>
  <w:style w:type="paragraph" w:styleId="a8">
    <w:name w:val="footer"/>
    <w:basedOn w:val="a"/>
    <w:link w:val="a9"/>
    <w:uiPriority w:val="99"/>
    <w:unhideWhenUsed/>
    <w:rsid w:val="00652947"/>
    <w:pPr>
      <w:tabs>
        <w:tab w:val="center" w:pos="4153"/>
        <w:tab w:val="right" w:pos="8306"/>
      </w:tabs>
      <w:snapToGrid w:val="0"/>
    </w:pPr>
    <w:rPr>
      <w:sz w:val="18"/>
      <w:szCs w:val="18"/>
    </w:rPr>
  </w:style>
  <w:style w:type="character" w:customStyle="1" w:styleId="a9">
    <w:name w:val="页脚 字符"/>
    <w:basedOn w:val="a0"/>
    <w:link w:val="a8"/>
    <w:uiPriority w:val="99"/>
    <w:rsid w:val="006529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215</Words>
  <Characters>1255</Characters>
  <Application>Microsoft Office Word</Application>
  <DocSecurity>0</DocSecurity>
  <Lines>83</Lines>
  <Paragraphs>61</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1409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冬 曹</cp:lastModifiedBy>
  <cp:revision>12</cp:revision>
  <dcterms:created xsi:type="dcterms:W3CDTF">2017-02-28T11:18:00Z</dcterms:created>
  <dcterms:modified xsi:type="dcterms:W3CDTF">2026-05-19T01:50:00Z</dcterms:modified>
  <cp:category/>
</cp:coreProperties>
</file>