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CBAE5" w14:textId="77777777" w:rsidR="00AB00F4" w:rsidRPr="00480527" w:rsidRDefault="00000000" w:rsidP="00E916DF">
      <w:pPr>
        <w:pStyle w:val="2"/>
        <w:numPr>
          <w:ilvl w:val="0"/>
          <w:numId w:val="0"/>
        </w:numPr>
        <w:ind w:left="792" w:hanging="432"/>
        <w:jc w:val="center"/>
        <w:rPr>
          <w:rFonts w:ascii="Times New Roman" w:hAnsi="Times New Roman" w:cs="Times New Roman"/>
        </w:rPr>
      </w:pPr>
      <w:r w:rsidRPr="00480527">
        <w:rPr>
          <w:rFonts w:ascii="Times New Roman" w:hAnsi="Times New Roman" w:cs="Times New Roman"/>
        </w:rPr>
        <w:t>Supplementary Table 6. Continuous exposure and interaction analyses</w:t>
      </w:r>
    </w:p>
    <w:tbl>
      <w:tblPr>
        <w:tblW w:w="9072" w:type="dxa"/>
        <w:jc w:val="center"/>
        <w:tblLayout w:type="fixed"/>
        <w:tblLook w:val="0420" w:firstRow="1" w:lastRow="0" w:firstColumn="0" w:lastColumn="0" w:noHBand="0" w:noVBand="1"/>
      </w:tblPr>
      <w:tblGrid>
        <w:gridCol w:w="1428"/>
        <w:gridCol w:w="3250"/>
        <w:gridCol w:w="2693"/>
        <w:gridCol w:w="1701"/>
      </w:tblGrid>
      <w:tr w:rsidR="00AB00F4" w:rsidRPr="00E916DF" w14:paraId="24EDDDC9" w14:textId="77777777" w:rsidTr="00E916DF">
        <w:trPr>
          <w:tblHeader/>
          <w:jc w:val="center"/>
        </w:trPr>
        <w:tc>
          <w:tcPr>
            <w:tcW w:w="142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A606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E916DF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Analysis</w:t>
            </w:r>
          </w:p>
        </w:tc>
        <w:tc>
          <w:tcPr>
            <w:tcW w:w="3250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03547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E916DF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Exposure</w:t>
            </w:r>
          </w:p>
        </w:tc>
        <w:tc>
          <w:tcPr>
            <w:tcW w:w="2693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E3CB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E916DF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>Adjusted OR (95% CI)</w:t>
            </w:r>
          </w:p>
        </w:tc>
        <w:tc>
          <w:tcPr>
            <w:tcW w:w="170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7DE75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</w:pPr>
            <w:r w:rsidRPr="00FA1C95">
              <w:rPr>
                <w:rFonts w:ascii="Times New Roman" w:eastAsia="Arial" w:hAnsi="Times New Roman" w:cs="Times New Roman"/>
                <w:b/>
                <w:i/>
                <w:color w:val="000000"/>
                <w:sz w:val="18"/>
                <w:szCs w:val="18"/>
              </w:rPr>
              <w:t>P</w:t>
            </w:r>
            <w:r w:rsidRPr="00E916DF">
              <w:rPr>
                <w:rFonts w:ascii="Times New Roman" w:eastAsia="Arial" w:hAnsi="Times New Roman" w:cs="Times New Roman"/>
                <w:b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AB00F4" w:rsidRPr="00E916DF" w14:paraId="3CC5DB9E" w14:textId="77777777" w:rsidTr="0061402D">
        <w:trPr>
          <w:jc w:val="center"/>
        </w:trPr>
        <w:tc>
          <w:tcPr>
            <w:tcW w:w="1428" w:type="dxa"/>
            <w:vMerge w:val="restart"/>
            <w:tcBorders>
              <w:top w:val="single" w:sz="12" w:space="0" w:color="666666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DE0DD" w14:textId="77777777" w:rsidR="00AB00F4" w:rsidRDefault="00E916DF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hAnsi="Times New Roman" w:cs="Times New Roman"/>
                <w:color w:val="000000"/>
                <w:sz w:val="17"/>
                <w:szCs w:val="17"/>
                <w:lang w:eastAsia="zh-CN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Main-effect model</w:t>
            </w:r>
          </w:p>
          <w:p w14:paraId="54623319" w14:textId="6C5AD342" w:rsidR="00E916DF" w:rsidRPr="00E916DF" w:rsidRDefault="00E916DF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rPr>
                <w:rFonts w:ascii="Times New Roman" w:hAnsi="Times New Roman" w:cs="Times New Roman"/>
                <w:color w:val="000000"/>
                <w:sz w:val="17"/>
                <w:szCs w:val="17"/>
                <w:lang w:eastAsia="zh-CN"/>
              </w:rPr>
            </w:pPr>
          </w:p>
        </w:tc>
        <w:tc>
          <w:tcPr>
            <w:tcW w:w="3250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2012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KDM-core </w:t>
            </w:r>
            <w:proofErr w:type="spellStart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, per SD</w:t>
            </w:r>
          </w:p>
        </w:tc>
        <w:tc>
          <w:tcPr>
            <w:tcW w:w="2693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3226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1.19 (1.07–1.33)</w:t>
            </w:r>
          </w:p>
        </w:tc>
        <w:tc>
          <w:tcPr>
            <w:tcW w:w="1701" w:type="dxa"/>
            <w:tcBorders>
              <w:top w:val="single" w:sz="12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6ACF4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0.002</w:t>
            </w:r>
          </w:p>
        </w:tc>
      </w:tr>
      <w:tr w:rsidR="00AB00F4" w:rsidRPr="00E916DF" w14:paraId="5682C397" w14:textId="77777777" w:rsidTr="0061402D">
        <w:trPr>
          <w:jc w:val="center"/>
        </w:trPr>
        <w:tc>
          <w:tcPr>
            <w:tcW w:w="1428" w:type="dxa"/>
            <w:vMerge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011C" w14:textId="77777777" w:rsidR="00AB00F4" w:rsidRPr="00E916DF" w:rsidRDefault="00AB00F4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2584E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PCA-derived inflammatory burden, per SD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26699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1.19 (1.08–1.33)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6F99D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AB00F4" w:rsidRPr="00E916DF" w14:paraId="349B1A1A" w14:textId="77777777" w:rsidTr="0061402D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6639A" w14:textId="653E5EE5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interaction model</w:t>
            </w:r>
          </w:p>
        </w:tc>
        <w:tc>
          <w:tcPr>
            <w:tcW w:w="32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7EC6E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KDM-core </w:t>
            </w:r>
            <w:proofErr w:type="spellStart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, per SD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F793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1.21 (1.08–1.35)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A469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AB00F4" w:rsidRPr="00E916DF" w14:paraId="146F7B24" w14:textId="77777777" w:rsidTr="0061402D">
        <w:trPr>
          <w:jc w:val="center"/>
        </w:trPr>
        <w:tc>
          <w:tcPr>
            <w:tcW w:w="1428" w:type="dxa"/>
            <w:vMerge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515A3" w14:textId="77777777" w:rsidR="00AB00F4" w:rsidRPr="00E916DF" w:rsidRDefault="00AB00F4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BDEEA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PCA-derived inflammatory burden, per SD</w:t>
            </w:r>
          </w:p>
        </w:tc>
        <w:tc>
          <w:tcPr>
            <w:tcW w:w="26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38289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1.22 (1.09–1.37)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39F34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&lt;0.001</w:t>
            </w:r>
          </w:p>
        </w:tc>
      </w:tr>
      <w:tr w:rsidR="00AB00F4" w:rsidRPr="00E916DF" w14:paraId="543C01E5" w14:textId="77777777" w:rsidTr="0061402D">
        <w:trPr>
          <w:jc w:val="center"/>
        </w:trPr>
        <w:tc>
          <w:tcPr>
            <w:tcW w:w="1428" w:type="dxa"/>
            <w:vMerge/>
            <w:tcBorders>
              <w:top w:val="none" w:sz="0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C11D" w14:textId="77777777" w:rsidR="00AB00F4" w:rsidRPr="00E916DF" w:rsidRDefault="00AB00F4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325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42F61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KDM-core </w:t>
            </w:r>
            <w:proofErr w:type="spellStart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× inflammatory burden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A7EC4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0.94 (0.86–1.03)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E1FF0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0.202</w:t>
            </w:r>
          </w:p>
        </w:tc>
      </w:tr>
      <w:tr w:rsidR="00AB00F4" w:rsidRPr="00E916DF" w14:paraId="6AC66420" w14:textId="77777777" w:rsidTr="0061402D">
        <w:trPr>
          <w:jc w:val="center"/>
        </w:trPr>
        <w:tc>
          <w:tcPr>
            <w:tcW w:w="1428" w:type="dxa"/>
            <w:tcBorders>
              <w:top w:val="single" w:sz="4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8184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right="60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Likelihood ratio test</w:t>
            </w:r>
          </w:p>
        </w:tc>
        <w:tc>
          <w:tcPr>
            <w:tcW w:w="3250" w:type="dxa"/>
            <w:tcBorders>
              <w:top w:val="single" w:sz="4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257D5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Interaction between KDM-core </w:t>
            </w:r>
            <w:proofErr w:type="spellStart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BAAccel</w:t>
            </w:r>
            <w:proofErr w:type="spellEnd"/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 xml:space="preserve"> and inflammatory burden</w:t>
            </w:r>
          </w:p>
        </w:tc>
        <w:tc>
          <w:tcPr>
            <w:tcW w:w="2693" w:type="dxa"/>
            <w:tcBorders>
              <w:top w:val="single" w:sz="4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046AB" w14:textId="77777777" w:rsidR="00AB00F4" w:rsidRPr="00E916DF" w:rsidRDefault="00AB00F4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3E21D" w14:textId="77777777" w:rsidR="00AB00F4" w:rsidRPr="00E916DF" w:rsidRDefault="00000000" w:rsidP="00E916D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/>
              <w:ind w:left="60" w:right="60"/>
              <w:jc w:val="center"/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</w:pPr>
            <w:r w:rsidRPr="00E916DF">
              <w:rPr>
                <w:rFonts w:ascii="Times New Roman" w:eastAsia="Arial" w:hAnsi="Times New Roman" w:cs="Times New Roman"/>
                <w:color w:val="000000"/>
                <w:sz w:val="17"/>
                <w:szCs w:val="17"/>
              </w:rPr>
              <w:t>0.201</w:t>
            </w:r>
          </w:p>
        </w:tc>
      </w:tr>
    </w:tbl>
    <w:p w14:paraId="1472F1AF" w14:textId="77777777" w:rsidR="00145B68" w:rsidRDefault="00145B68" w:rsidP="00E916DF">
      <w:pPr>
        <w:jc w:val="both"/>
        <w:rPr>
          <w:rFonts w:ascii="Times New Roman" w:hAnsi="Times New Roman" w:cs="Times New Roman"/>
          <w:sz w:val="21"/>
          <w:szCs w:val="21"/>
        </w:rPr>
      </w:pPr>
    </w:p>
    <w:p w14:paraId="0ACAA86F" w14:textId="0DAF2D8B" w:rsidR="00EE728D" w:rsidRPr="00145B68" w:rsidRDefault="00EE728D" w:rsidP="00E916DF">
      <w:pPr>
        <w:jc w:val="both"/>
        <w:rPr>
          <w:rFonts w:ascii="Times New Roman" w:hAnsi="Times New Roman" w:cs="Times New Roman"/>
          <w:sz w:val="21"/>
          <w:szCs w:val="21"/>
        </w:rPr>
      </w:pPr>
      <w:r w:rsidRPr="00145B68">
        <w:rPr>
          <w:rFonts w:ascii="Times New Roman" w:hAnsi="Times New Roman" w:cs="Times New Roman"/>
          <w:sz w:val="21"/>
          <w:szCs w:val="21"/>
        </w:rPr>
        <w:t xml:space="preserve">Values are adjusted odds ratios (95% confidence intervals) with </w:t>
      </w:r>
      <w:r w:rsidRPr="00FA1C95">
        <w:rPr>
          <w:rFonts w:ascii="Times New Roman" w:hAnsi="Times New Roman" w:cs="Times New Roman"/>
          <w:i/>
          <w:sz w:val="21"/>
          <w:szCs w:val="21"/>
        </w:rPr>
        <w:t>P</w:t>
      </w:r>
      <w:r w:rsidRPr="00145B68">
        <w:rPr>
          <w:rFonts w:ascii="Times New Roman" w:hAnsi="Times New Roman" w:cs="Times New Roman"/>
          <w:sz w:val="21"/>
          <w:szCs w:val="21"/>
        </w:rPr>
        <w:t xml:space="preserve"> values. KDM-core biological age acceleration and PCA-derived inflammatory burden were standardized as z-scores before model fitting. The continuous main-effect model included both exposures without an interaction term. The continuous interaction model additionally included the multiplicative interaction term between KDM-core biological age acceleration and PCA-derived inflammatory burden. Both models were adjusted for age, sex, race, admission type, first ICU care unit, non-neurological Charlson comorbidity burden, dementia, cerebrovascular disease, renal disease, diabetes, congestive heart failure, and chronic pulmonary disease. The likelihood ratio test compared models with and without the interaction term.</w:t>
      </w:r>
    </w:p>
    <w:p w14:paraId="1BAC6406" w14:textId="77777777" w:rsidR="00EE728D" w:rsidRPr="00145B68" w:rsidRDefault="00EE728D" w:rsidP="00E916DF">
      <w:pPr>
        <w:jc w:val="both"/>
        <w:rPr>
          <w:rFonts w:ascii="Times New Roman" w:hAnsi="Times New Roman" w:cs="Times New Roman"/>
          <w:sz w:val="21"/>
          <w:szCs w:val="21"/>
        </w:rPr>
      </w:pPr>
      <w:r w:rsidRPr="00145B68">
        <w:rPr>
          <w:rFonts w:ascii="Times New Roman" w:hAnsi="Times New Roman" w:cs="Times New Roman"/>
          <w:b/>
          <w:bCs/>
          <w:sz w:val="21"/>
          <w:szCs w:val="21"/>
        </w:rPr>
        <w:t>Abbreviations:</w:t>
      </w:r>
      <w:r w:rsidRPr="00145B6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145B68">
        <w:rPr>
          <w:rFonts w:ascii="Times New Roman" w:hAnsi="Times New Roman" w:cs="Times New Roman"/>
          <w:sz w:val="21"/>
          <w:szCs w:val="21"/>
        </w:rPr>
        <w:t>BAAccel</w:t>
      </w:r>
      <w:proofErr w:type="spellEnd"/>
      <w:r w:rsidRPr="00145B68">
        <w:rPr>
          <w:rFonts w:ascii="Times New Roman" w:hAnsi="Times New Roman" w:cs="Times New Roman"/>
          <w:sz w:val="21"/>
          <w:szCs w:val="21"/>
        </w:rPr>
        <w:t xml:space="preserve">, biological age acceleration; CI, confidence interval; ICU, intensive care unit; KDM, </w:t>
      </w:r>
      <w:proofErr w:type="spellStart"/>
      <w:r w:rsidRPr="00145B68">
        <w:rPr>
          <w:rFonts w:ascii="Times New Roman" w:hAnsi="Times New Roman" w:cs="Times New Roman"/>
          <w:sz w:val="21"/>
          <w:szCs w:val="21"/>
        </w:rPr>
        <w:t>Klemera</w:t>
      </w:r>
      <w:proofErr w:type="spellEnd"/>
      <w:r w:rsidRPr="00145B68">
        <w:rPr>
          <w:rFonts w:ascii="Times New Roman" w:hAnsi="Times New Roman" w:cs="Times New Roman"/>
          <w:sz w:val="21"/>
          <w:szCs w:val="21"/>
        </w:rPr>
        <w:t>–</w:t>
      </w:r>
      <w:proofErr w:type="spellStart"/>
      <w:r w:rsidRPr="00145B68">
        <w:rPr>
          <w:rFonts w:ascii="Times New Roman" w:hAnsi="Times New Roman" w:cs="Times New Roman"/>
          <w:sz w:val="21"/>
          <w:szCs w:val="21"/>
        </w:rPr>
        <w:t>Doubal</w:t>
      </w:r>
      <w:proofErr w:type="spellEnd"/>
      <w:r w:rsidRPr="00145B68">
        <w:rPr>
          <w:rFonts w:ascii="Times New Roman" w:hAnsi="Times New Roman" w:cs="Times New Roman"/>
          <w:sz w:val="21"/>
          <w:szCs w:val="21"/>
        </w:rPr>
        <w:t xml:space="preserve"> method; OR, odds ratio; PCA, principal component analysis; SD, standard deviation.</w:t>
      </w:r>
    </w:p>
    <w:p w14:paraId="57FC078D" w14:textId="77777777" w:rsidR="00035A0E" w:rsidRPr="00E916DF" w:rsidRDefault="00035A0E" w:rsidP="00E916DF">
      <w:pPr>
        <w:jc w:val="center"/>
        <w:rPr>
          <w:rFonts w:ascii="Times New Roman" w:hAnsi="Times New Roman" w:cs="Times New Roman"/>
        </w:rPr>
      </w:pPr>
    </w:p>
    <w:sectPr w:rsidR="00035A0E" w:rsidRPr="00E916DF">
      <w:type w:val="continuous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35EF7" w14:textId="77777777" w:rsidR="00C84096" w:rsidRDefault="00C84096" w:rsidP="00EE728D">
      <w:r>
        <w:separator/>
      </w:r>
    </w:p>
  </w:endnote>
  <w:endnote w:type="continuationSeparator" w:id="0">
    <w:p w14:paraId="66CD9505" w14:textId="77777777" w:rsidR="00C84096" w:rsidRDefault="00C84096" w:rsidP="00EE7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7DA50" w14:textId="77777777" w:rsidR="00C84096" w:rsidRDefault="00C84096" w:rsidP="00EE728D">
      <w:r>
        <w:separator/>
      </w:r>
    </w:p>
  </w:footnote>
  <w:footnote w:type="continuationSeparator" w:id="0">
    <w:p w14:paraId="676D80F9" w14:textId="77777777" w:rsidR="00C84096" w:rsidRDefault="00C84096" w:rsidP="00EE72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9472416">
    <w:abstractNumId w:val="1"/>
  </w:num>
  <w:num w:numId="2" w16cid:durableId="1827428410">
    <w:abstractNumId w:val="2"/>
  </w:num>
  <w:num w:numId="3" w16cid:durableId="57660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F4"/>
    <w:rsid w:val="00035A0E"/>
    <w:rsid w:val="00145B68"/>
    <w:rsid w:val="00331D77"/>
    <w:rsid w:val="00343702"/>
    <w:rsid w:val="003E2623"/>
    <w:rsid w:val="00435CF3"/>
    <w:rsid w:val="00480527"/>
    <w:rsid w:val="0061402D"/>
    <w:rsid w:val="008E24F5"/>
    <w:rsid w:val="00AB00F4"/>
    <w:rsid w:val="00C84096"/>
    <w:rsid w:val="00E52C35"/>
    <w:rsid w:val="00E916DF"/>
    <w:rsid w:val="00EC00FE"/>
    <w:rsid w:val="00EE728D"/>
    <w:rsid w:val="00FA1C95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962378"/>
  <w15:docId w15:val="{13062879-C4B2-4E7C-A972-9500465E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EE728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28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28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2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</Words>
  <Characters>1333</Characters>
  <Application>Microsoft Office Word</Application>
  <DocSecurity>0</DocSecurity>
  <Lines>44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冬 曹</cp:lastModifiedBy>
  <cp:revision>15</cp:revision>
  <dcterms:created xsi:type="dcterms:W3CDTF">2017-02-28T11:18:00Z</dcterms:created>
  <dcterms:modified xsi:type="dcterms:W3CDTF">2026-05-19T01:50:00Z</dcterms:modified>
  <cp:category/>
</cp:coreProperties>
</file>