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2CDD0">
      <w:pPr>
        <w:pStyle w:val="2"/>
        <w:spacing w:after="0"/>
      </w:pPr>
      <w:r>
        <w:rPr>
          <w:rFonts w:ascii="Times New Roman" w:hAnsi="Times New Roman" w:eastAsia="宋体" w:cs="Times New Roman"/>
          <w:b/>
          <w:sz w:val="22"/>
          <w:szCs w:val="22"/>
          <w:lang w:val="en-US" w:eastAsia="zh-CN" w:bidi="ar-SA"/>
        </w:rPr>
        <w:t>Table 1. Water quality analysis of Yang 101 well block platforms</w:t>
      </w:r>
    </w:p>
    <w:tbl>
      <w:tblPr>
        <w:tblStyle w:val="3"/>
        <w:tblW w:w="5000" w:type="pct"/>
        <w:tblInd w:w="100" w:type="dxa"/>
        <w:tblBorders>
          <w:top w:val="single" w:color="1A365D" w:sz="12" w:space="0"/>
          <w:left w:val="none" w:color="auto" w:sz="0" w:space="0"/>
          <w:bottom w:val="single" w:color="1A365D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00" w:type="dxa"/>
          <w:bottom w:w="80" w:type="dxa"/>
          <w:right w:w="100" w:type="dxa"/>
        </w:tblCellMar>
      </w:tblPr>
      <w:tblGrid>
        <w:gridCol w:w="2631"/>
        <w:gridCol w:w="1958"/>
        <w:gridCol w:w="1958"/>
        <w:gridCol w:w="1959"/>
      </w:tblGrid>
      <w:tr w14:paraId="5EEB12C6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60" w:hRule="atLeast"/>
          <w:tblHeader/>
        </w:trPr>
        <w:tc>
          <w:tcPr>
            <w:tcW w:w="2807" w:type="dxa"/>
            <w:tcBorders>
              <w:bottom w:val="single" w:color="1A365D" w:sz="6" w:space="0"/>
            </w:tcBorders>
            <w:vAlign w:val="center"/>
          </w:tcPr>
          <w:p w14:paraId="6450492D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Parameter</w:t>
            </w:r>
          </w:p>
        </w:tc>
        <w:tc>
          <w:tcPr>
            <w:tcW w:w="2073" w:type="dxa"/>
            <w:tcBorders>
              <w:bottom w:val="single" w:color="1A365D" w:sz="6" w:space="0"/>
            </w:tcBorders>
            <w:vAlign w:val="center"/>
          </w:tcPr>
          <w:p w14:paraId="08835733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Yang 101H56</w:t>
            </w:r>
          </w:p>
        </w:tc>
        <w:tc>
          <w:tcPr>
            <w:tcW w:w="2073" w:type="dxa"/>
            <w:tcBorders>
              <w:bottom w:val="single" w:color="1A365D" w:sz="6" w:space="0"/>
            </w:tcBorders>
            <w:vAlign w:val="center"/>
          </w:tcPr>
          <w:p w14:paraId="6774C506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Yang 101H37</w:t>
            </w:r>
          </w:p>
        </w:tc>
        <w:tc>
          <w:tcPr>
            <w:tcW w:w="2073" w:type="dxa"/>
            <w:tcBorders>
              <w:bottom w:val="single" w:color="1A365D" w:sz="6" w:space="0"/>
            </w:tcBorders>
            <w:vAlign w:val="center"/>
          </w:tcPr>
          <w:p w14:paraId="0E746AAD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Yang 101H41</w:t>
            </w:r>
          </w:p>
        </w:tc>
      </w:tr>
      <w:tr w14:paraId="55B65BE5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7E123FA2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Total dissolved solids (mg/L)</w:t>
            </w:r>
          </w:p>
        </w:tc>
        <w:tc>
          <w:tcPr>
            <w:tcW w:w="2073" w:type="dxa"/>
            <w:vAlign w:val="center"/>
          </w:tcPr>
          <w:p w14:paraId="602C0CDC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32,133.43</w:t>
            </w:r>
          </w:p>
        </w:tc>
        <w:tc>
          <w:tcPr>
            <w:tcW w:w="2073" w:type="dxa"/>
            <w:vAlign w:val="center"/>
          </w:tcPr>
          <w:p w14:paraId="580D1440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24,070.50</w:t>
            </w:r>
          </w:p>
        </w:tc>
        <w:tc>
          <w:tcPr>
            <w:tcW w:w="2073" w:type="dxa"/>
            <w:vAlign w:val="center"/>
          </w:tcPr>
          <w:p w14:paraId="542328A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14,271.13</w:t>
            </w:r>
          </w:p>
        </w:tc>
      </w:tr>
      <w:tr w14:paraId="3FDDF0E0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54D3F848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pH</w:t>
            </w:r>
          </w:p>
        </w:tc>
        <w:tc>
          <w:tcPr>
            <w:tcW w:w="2073" w:type="dxa"/>
            <w:vAlign w:val="center"/>
          </w:tcPr>
          <w:p w14:paraId="57950BE0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7.02</w:t>
            </w:r>
          </w:p>
        </w:tc>
        <w:tc>
          <w:tcPr>
            <w:tcW w:w="2073" w:type="dxa"/>
            <w:vAlign w:val="center"/>
          </w:tcPr>
          <w:p w14:paraId="07AE70B5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7.33</w:t>
            </w:r>
          </w:p>
        </w:tc>
        <w:tc>
          <w:tcPr>
            <w:tcW w:w="2073" w:type="dxa"/>
            <w:vAlign w:val="center"/>
          </w:tcPr>
          <w:p w14:paraId="48BFDFB9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6.88</w:t>
            </w:r>
          </w:p>
        </w:tc>
      </w:tr>
      <w:tr w14:paraId="435E8279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2F54376B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Sodium (mg/L)</w:t>
            </w:r>
          </w:p>
        </w:tc>
        <w:tc>
          <w:tcPr>
            <w:tcW w:w="2073" w:type="dxa"/>
            <w:vAlign w:val="center"/>
          </w:tcPr>
          <w:p w14:paraId="61B7F063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11,751.83</w:t>
            </w:r>
          </w:p>
        </w:tc>
        <w:tc>
          <w:tcPr>
            <w:tcW w:w="2073" w:type="dxa"/>
            <w:vAlign w:val="center"/>
          </w:tcPr>
          <w:p w14:paraId="3B50C8E0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8,874.00</w:t>
            </w:r>
          </w:p>
        </w:tc>
        <w:tc>
          <w:tcPr>
            <w:tcW w:w="2073" w:type="dxa"/>
            <w:vAlign w:val="center"/>
          </w:tcPr>
          <w:p w14:paraId="2C94FB76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5,224.25</w:t>
            </w:r>
          </w:p>
        </w:tc>
      </w:tr>
      <w:tr w14:paraId="66ECB66F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6EC72AC7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Calcium (mg/L)</w:t>
            </w:r>
          </w:p>
        </w:tc>
        <w:tc>
          <w:tcPr>
            <w:tcW w:w="2073" w:type="dxa"/>
            <w:vAlign w:val="center"/>
          </w:tcPr>
          <w:p w14:paraId="4A8CC08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254.14</w:t>
            </w:r>
          </w:p>
        </w:tc>
        <w:tc>
          <w:tcPr>
            <w:tcW w:w="2073" w:type="dxa"/>
            <w:vAlign w:val="center"/>
          </w:tcPr>
          <w:p w14:paraId="012BFAA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273.50</w:t>
            </w:r>
          </w:p>
        </w:tc>
        <w:tc>
          <w:tcPr>
            <w:tcW w:w="2073" w:type="dxa"/>
            <w:vAlign w:val="center"/>
          </w:tcPr>
          <w:p w14:paraId="3434DD49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101.67</w:t>
            </w:r>
          </w:p>
        </w:tc>
      </w:tr>
      <w:tr w14:paraId="66885049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77CA1347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Magnesium (mg/L)</w:t>
            </w:r>
          </w:p>
        </w:tc>
        <w:tc>
          <w:tcPr>
            <w:tcW w:w="2073" w:type="dxa"/>
            <w:vAlign w:val="center"/>
          </w:tcPr>
          <w:p w14:paraId="046F5398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22.28</w:t>
            </w:r>
          </w:p>
        </w:tc>
        <w:tc>
          <w:tcPr>
            <w:tcW w:w="2073" w:type="dxa"/>
            <w:vAlign w:val="center"/>
          </w:tcPr>
          <w:p w14:paraId="19FC7E16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32.50</w:t>
            </w:r>
          </w:p>
        </w:tc>
        <w:tc>
          <w:tcPr>
            <w:tcW w:w="2073" w:type="dxa"/>
            <w:vAlign w:val="center"/>
          </w:tcPr>
          <w:p w14:paraId="5B0A0D35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7.30</w:t>
            </w:r>
          </w:p>
        </w:tc>
      </w:tr>
      <w:tr w14:paraId="4448D7E2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2D511D44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Barium (mg/L)</w:t>
            </w:r>
          </w:p>
        </w:tc>
        <w:tc>
          <w:tcPr>
            <w:tcW w:w="2073" w:type="dxa"/>
            <w:vAlign w:val="center"/>
          </w:tcPr>
          <w:p w14:paraId="5A0A7187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667.29</w:t>
            </w:r>
          </w:p>
        </w:tc>
        <w:tc>
          <w:tcPr>
            <w:tcW w:w="2073" w:type="dxa"/>
            <w:vAlign w:val="center"/>
          </w:tcPr>
          <w:p w14:paraId="1865DAD5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342.33</w:t>
            </w:r>
          </w:p>
        </w:tc>
        <w:tc>
          <w:tcPr>
            <w:tcW w:w="2073" w:type="dxa"/>
            <w:vAlign w:val="center"/>
          </w:tcPr>
          <w:p w14:paraId="23C7E25D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226.49</w:t>
            </w:r>
          </w:p>
        </w:tc>
      </w:tr>
      <w:tr w14:paraId="2761B2D8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692D7B18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Strontium (mg/L)</w:t>
            </w:r>
          </w:p>
        </w:tc>
        <w:tc>
          <w:tcPr>
            <w:tcW w:w="2073" w:type="dxa"/>
            <w:vAlign w:val="center"/>
          </w:tcPr>
          <w:p w14:paraId="1631E461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144.75</w:t>
            </w:r>
          </w:p>
        </w:tc>
        <w:tc>
          <w:tcPr>
            <w:tcW w:w="2073" w:type="dxa"/>
            <w:vAlign w:val="center"/>
          </w:tcPr>
          <w:p w14:paraId="191C2640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104.00</w:t>
            </w:r>
          </w:p>
        </w:tc>
        <w:tc>
          <w:tcPr>
            <w:tcW w:w="2073" w:type="dxa"/>
            <w:vAlign w:val="center"/>
          </w:tcPr>
          <w:p w14:paraId="2FEB1449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59.25</w:t>
            </w:r>
          </w:p>
        </w:tc>
      </w:tr>
      <w:tr w14:paraId="2BF2DC0C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72B45680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Lithium (mg/L)</w:t>
            </w:r>
          </w:p>
        </w:tc>
        <w:tc>
          <w:tcPr>
            <w:tcW w:w="2073" w:type="dxa"/>
            <w:vAlign w:val="center"/>
          </w:tcPr>
          <w:p w14:paraId="72167FE1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53.89</w:t>
            </w:r>
          </w:p>
        </w:tc>
        <w:tc>
          <w:tcPr>
            <w:tcW w:w="2073" w:type="dxa"/>
            <w:vAlign w:val="center"/>
          </w:tcPr>
          <w:p w14:paraId="22D0F75E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31.30</w:t>
            </w:r>
          </w:p>
        </w:tc>
        <w:tc>
          <w:tcPr>
            <w:tcW w:w="2073" w:type="dxa"/>
            <w:vAlign w:val="center"/>
          </w:tcPr>
          <w:p w14:paraId="3C076850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26.01</w:t>
            </w:r>
          </w:p>
        </w:tc>
      </w:tr>
      <w:tr w14:paraId="0DCA7F71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481DDEED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Chloride (mg/L)</w:t>
            </w:r>
          </w:p>
        </w:tc>
        <w:tc>
          <w:tcPr>
            <w:tcW w:w="2073" w:type="dxa"/>
            <w:vAlign w:val="center"/>
          </w:tcPr>
          <w:p w14:paraId="42ABF74E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18,463.50</w:t>
            </w:r>
          </w:p>
        </w:tc>
        <w:tc>
          <w:tcPr>
            <w:tcW w:w="2073" w:type="dxa"/>
            <w:vAlign w:val="center"/>
          </w:tcPr>
          <w:p w14:paraId="26A11ABC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13,832.17</w:t>
            </w:r>
          </w:p>
        </w:tc>
        <w:tc>
          <w:tcPr>
            <w:tcW w:w="2073" w:type="dxa"/>
            <w:vAlign w:val="center"/>
          </w:tcPr>
          <w:p w14:paraId="7D4AC75E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8,113.92</w:t>
            </w:r>
          </w:p>
        </w:tc>
      </w:tr>
      <w:tr w14:paraId="555908B6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7CA3AB9F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Sulfate (mg/L)</w:t>
            </w:r>
          </w:p>
        </w:tc>
        <w:tc>
          <w:tcPr>
            <w:tcW w:w="2073" w:type="dxa"/>
            <w:vAlign w:val="center"/>
          </w:tcPr>
          <w:p w14:paraId="3C9D4758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1.55</w:t>
            </w:r>
          </w:p>
        </w:tc>
        <w:tc>
          <w:tcPr>
            <w:tcW w:w="2073" w:type="dxa"/>
            <w:vAlign w:val="center"/>
          </w:tcPr>
          <w:p w14:paraId="7C7D758C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11.21</w:t>
            </w:r>
          </w:p>
        </w:tc>
        <w:tc>
          <w:tcPr>
            <w:tcW w:w="2073" w:type="dxa"/>
            <w:vAlign w:val="center"/>
          </w:tcPr>
          <w:p w14:paraId="664DD214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1.63</w:t>
            </w:r>
          </w:p>
        </w:tc>
      </w:tr>
      <w:tr w14:paraId="21734F52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28DA59D9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Bicarbonate (mg/L)</w:t>
            </w:r>
          </w:p>
        </w:tc>
        <w:tc>
          <w:tcPr>
            <w:tcW w:w="2073" w:type="dxa"/>
            <w:vAlign w:val="center"/>
          </w:tcPr>
          <w:p w14:paraId="0A985093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769.14</w:t>
            </w:r>
          </w:p>
        </w:tc>
        <w:tc>
          <w:tcPr>
            <w:tcW w:w="2073" w:type="dxa"/>
            <w:vAlign w:val="center"/>
          </w:tcPr>
          <w:p w14:paraId="7AB6A4ED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678.00</w:t>
            </w:r>
          </w:p>
        </w:tc>
        <w:tc>
          <w:tcPr>
            <w:tcW w:w="2073" w:type="dxa"/>
            <w:vAlign w:val="center"/>
          </w:tcPr>
          <w:p w14:paraId="7013CB56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478.88</w:t>
            </w:r>
          </w:p>
        </w:tc>
      </w:tr>
      <w:tr w14:paraId="570558B4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3751832A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Iodine (mg/L)</w:t>
            </w:r>
          </w:p>
        </w:tc>
        <w:tc>
          <w:tcPr>
            <w:tcW w:w="2073" w:type="dxa"/>
            <w:vAlign w:val="center"/>
          </w:tcPr>
          <w:p w14:paraId="2138DDD3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32.95</w:t>
            </w:r>
          </w:p>
        </w:tc>
        <w:tc>
          <w:tcPr>
            <w:tcW w:w="2073" w:type="dxa"/>
            <w:vAlign w:val="center"/>
          </w:tcPr>
          <w:p w14:paraId="7B234ABA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9.95</w:t>
            </w:r>
          </w:p>
        </w:tc>
        <w:tc>
          <w:tcPr>
            <w:tcW w:w="2073" w:type="dxa"/>
            <w:vAlign w:val="center"/>
          </w:tcPr>
          <w:p w14:paraId="1CDE8CE4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8.63</w:t>
            </w:r>
          </w:p>
        </w:tc>
      </w:tr>
      <w:tr w14:paraId="2977BE98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203B16C6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Bromine (mg/L)</w:t>
            </w:r>
          </w:p>
        </w:tc>
        <w:tc>
          <w:tcPr>
            <w:tcW w:w="2073" w:type="dxa"/>
            <w:vAlign w:val="center"/>
          </w:tcPr>
          <w:p w14:paraId="4E06159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110.14</w:t>
            </w:r>
          </w:p>
        </w:tc>
        <w:tc>
          <w:tcPr>
            <w:tcW w:w="2073" w:type="dxa"/>
            <w:vAlign w:val="center"/>
          </w:tcPr>
          <w:p w14:paraId="03ECC4C5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82.05</w:t>
            </w:r>
          </w:p>
        </w:tc>
        <w:tc>
          <w:tcPr>
            <w:tcW w:w="2073" w:type="dxa"/>
            <w:vAlign w:val="center"/>
          </w:tcPr>
          <w:p w14:paraId="2A6A707D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49.14</w:t>
            </w:r>
          </w:p>
        </w:tc>
      </w:tr>
      <w:tr w14:paraId="1D769D87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16155983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Boron (mg/L)</w:t>
            </w:r>
          </w:p>
        </w:tc>
        <w:tc>
          <w:tcPr>
            <w:tcW w:w="2073" w:type="dxa"/>
            <w:vAlign w:val="center"/>
          </w:tcPr>
          <w:p w14:paraId="64A4A0B8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76.19</w:t>
            </w:r>
          </w:p>
        </w:tc>
        <w:tc>
          <w:tcPr>
            <w:tcW w:w="2073" w:type="dxa"/>
            <w:vAlign w:val="center"/>
          </w:tcPr>
          <w:p w14:paraId="06F154D2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27.32</w:t>
            </w:r>
          </w:p>
        </w:tc>
        <w:tc>
          <w:tcPr>
            <w:tcW w:w="2073" w:type="dxa"/>
            <w:vAlign w:val="center"/>
          </w:tcPr>
          <w:p w14:paraId="2408B185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33.94</w:t>
            </w:r>
          </w:p>
        </w:tc>
      </w:tr>
      <w:tr w14:paraId="324D4603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807" w:type="dxa"/>
            <w:vAlign w:val="center"/>
          </w:tcPr>
          <w:p w14:paraId="79BA511C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Relative density</w:t>
            </w:r>
          </w:p>
        </w:tc>
        <w:tc>
          <w:tcPr>
            <w:tcW w:w="2073" w:type="dxa"/>
            <w:vAlign w:val="center"/>
          </w:tcPr>
          <w:p w14:paraId="7E49C15E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1.02</w:t>
            </w:r>
          </w:p>
        </w:tc>
        <w:tc>
          <w:tcPr>
            <w:tcW w:w="2073" w:type="dxa"/>
            <w:vAlign w:val="center"/>
          </w:tcPr>
          <w:p w14:paraId="436B4169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1.02</w:t>
            </w:r>
          </w:p>
        </w:tc>
        <w:tc>
          <w:tcPr>
            <w:tcW w:w="2073" w:type="dxa"/>
            <w:vAlign w:val="center"/>
          </w:tcPr>
          <w:p w14:paraId="38776023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1.01</w:t>
            </w:r>
          </w:p>
        </w:tc>
      </w:tr>
    </w:tbl>
    <w:p w14:paraId="753C95A2">
      <w:pPr>
        <w:pStyle w:val="2"/>
        <w:spacing w:after="0"/>
      </w:pPr>
      <w:r>
        <w:rPr>
          <w:rFonts w:ascii="Times New Roman" w:hAnsi="Times New Roman" w:eastAsia="宋体" w:cs="Times New Roman"/>
          <w:b/>
          <w:sz w:val="22"/>
          <w:szCs w:val="22"/>
          <w:lang w:val="en-US" w:eastAsia="zh-CN" w:bidi="ar-SA"/>
        </w:rPr>
        <w:t>Table 2. Resource potential assessment for Yang 101H56 platform</w:t>
      </w:r>
    </w:p>
    <w:tbl>
      <w:tblPr>
        <w:tblStyle w:val="3"/>
        <w:tblW w:w="5000" w:type="pct"/>
        <w:tblInd w:w="100" w:type="dxa"/>
        <w:tblBorders>
          <w:top w:val="single" w:color="1A365D" w:sz="12" w:space="0"/>
          <w:left w:val="none" w:color="auto" w:sz="0" w:space="0"/>
          <w:bottom w:val="single" w:color="1A365D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00" w:type="dxa"/>
          <w:bottom w:w="80" w:type="dxa"/>
          <w:right w:w="100" w:type="dxa"/>
        </w:tblCellMar>
      </w:tblPr>
      <w:tblGrid>
        <w:gridCol w:w="2190"/>
        <w:gridCol w:w="1879"/>
        <w:gridCol w:w="2411"/>
        <w:gridCol w:w="2026"/>
      </w:tblGrid>
      <w:tr w14:paraId="5AFDCEEE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60" w:hRule="atLeast"/>
          <w:tblHeader/>
        </w:trPr>
        <w:tc>
          <w:tcPr>
            <w:tcW w:w="2310" w:type="dxa"/>
            <w:tcBorders>
              <w:bottom w:val="single" w:color="1A365D" w:sz="6" w:space="0"/>
            </w:tcBorders>
            <w:vAlign w:val="center"/>
          </w:tcPr>
          <w:p w14:paraId="15D70A01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Well ID</w:t>
            </w:r>
          </w:p>
        </w:tc>
        <w:tc>
          <w:tcPr>
            <w:tcW w:w="1985" w:type="dxa"/>
            <w:tcBorders>
              <w:bottom w:val="single" w:color="1A365D" w:sz="6" w:space="0"/>
            </w:tcBorders>
            <w:vAlign w:val="center"/>
          </w:tcPr>
          <w:p w14:paraId="63D3C1C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Li content (mg/L)</w:t>
            </w:r>
          </w:p>
        </w:tc>
        <w:tc>
          <w:tcPr>
            <w:tcW w:w="2580" w:type="dxa"/>
            <w:tcBorders>
              <w:bottom w:val="single" w:color="1A365D" w:sz="6" w:space="0"/>
            </w:tcBorders>
            <w:vAlign w:val="center"/>
          </w:tcPr>
          <w:p w14:paraId="1EAA1F40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Daily water (m³)</w:t>
            </w:r>
          </w:p>
        </w:tc>
        <w:tc>
          <w:tcPr>
            <w:tcW w:w="2151" w:type="dxa"/>
            <w:tcBorders>
              <w:bottom w:val="single" w:color="1A365D" w:sz="6" w:space="0"/>
            </w:tcBorders>
            <w:vAlign w:val="center"/>
          </w:tcPr>
          <w:p w14:paraId="0B1ADB1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Li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szCs w:val="22"/>
                <w:vertAlign w:val="subscript"/>
                <w:lang w:val="en-US" w:eastAsia="zh-CN" w:bidi="ar-SA"/>
              </w:rPr>
              <w:t>2</w:t>
            </w: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CO</w:t>
            </w: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vertAlign w:val="subscript"/>
                <w:lang w:val="en-US" w:eastAsia="zh-CN" w:bidi="ar-SA"/>
              </w:rPr>
              <w:t>₃</w:t>
            </w: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 xml:space="preserve"> (kg/d)</w:t>
            </w:r>
          </w:p>
        </w:tc>
      </w:tr>
      <w:tr w14:paraId="62F60685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310" w:type="dxa"/>
            <w:vAlign w:val="center"/>
          </w:tcPr>
          <w:p w14:paraId="67427D95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Yang 101H56-1</w:t>
            </w:r>
          </w:p>
        </w:tc>
        <w:tc>
          <w:tcPr>
            <w:tcW w:w="1985" w:type="dxa"/>
            <w:vAlign w:val="center"/>
          </w:tcPr>
          <w:p w14:paraId="67DC2B11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49</w:t>
            </w:r>
          </w:p>
        </w:tc>
        <w:tc>
          <w:tcPr>
            <w:tcW w:w="2580" w:type="dxa"/>
            <w:vAlign w:val="center"/>
          </w:tcPr>
          <w:p w14:paraId="7960EA06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13.25</w:t>
            </w:r>
          </w:p>
        </w:tc>
        <w:tc>
          <w:tcPr>
            <w:tcW w:w="2151" w:type="dxa"/>
            <w:vAlign w:val="center"/>
          </w:tcPr>
          <w:p w14:paraId="648B28DA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3.46</w:t>
            </w:r>
          </w:p>
        </w:tc>
      </w:tr>
      <w:tr w14:paraId="0254671C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310" w:type="dxa"/>
            <w:vAlign w:val="center"/>
          </w:tcPr>
          <w:p w14:paraId="1011E3A1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Yang 101H56-2</w:t>
            </w:r>
          </w:p>
        </w:tc>
        <w:tc>
          <w:tcPr>
            <w:tcW w:w="1985" w:type="dxa"/>
            <w:vAlign w:val="center"/>
          </w:tcPr>
          <w:p w14:paraId="08F2E6B3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44</w:t>
            </w:r>
          </w:p>
        </w:tc>
        <w:tc>
          <w:tcPr>
            <w:tcW w:w="2580" w:type="dxa"/>
            <w:vAlign w:val="center"/>
          </w:tcPr>
          <w:p w14:paraId="06324BD4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62.92</w:t>
            </w:r>
          </w:p>
        </w:tc>
        <w:tc>
          <w:tcPr>
            <w:tcW w:w="2151" w:type="dxa"/>
            <w:vAlign w:val="center"/>
          </w:tcPr>
          <w:p w14:paraId="49F52E9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14.93</w:t>
            </w:r>
          </w:p>
        </w:tc>
      </w:tr>
      <w:tr w14:paraId="60F52E0A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310" w:type="dxa"/>
            <w:vAlign w:val="center"/>
          </w:tcPr>
          <w:p w14:paraId="7C80B69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Yang 101H56-3</w:t>
            </w:r>
          </w:p>
        </w:tc>
        <w:tc>
          <w:tcPr>
            <w:tcW w:w="1985" w:type="dxa"/>
            <w:vAlign w:val="center"/>
          </w:tcPr>
          <w:p w14:paraId="2EF1A417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65</w:t>
            </w:r>
          </w:p>
        </w:tc>
        <w:tc>
          <w:tcPr>
            <w:tcW w:w="2580" w:type="dxa"/>
            <w:vAlign w:val="center"/>
          </w:tcPr>
          <w:p w14:paraId="1396316E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113.81</w:t>
            </w:r>
          </w:p>
        </w:tc>
        <w:tc>
          <w:tcPr>
            <w:tcW w:w="2151" w:type="dxa"/>
            <w:vAlign w:val="center"/>
          </w:tcPr>
          <w:p w14:paraId="16042F02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34.60</w:t>
            </w:r>
          </w:p>
        </w:tc>
      </w:tr>
      <w:tr w14:paraId="7A4E8666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310" w:type="dxa"/>
            <w:vAlign w:val="center"/>
          </w:tcPr>
          <w:p w14:paraId="68EE72F9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Total (H56)</w:t>
            </w:r>
          </w:p>
        </w:tc>
        <w:tc>
          <w:tcPr>
            <w:tcW w:w="1985" w:type="dxa"/>
            <w:vAlign w:val="center"/>
          </w:tcPr>
          <w:p w14:paraId="7562EB4A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-</w:t>
            </w:r>
          </w:p>
        </w:tc>
        <w:tc>
          <w:tcPr>
            <w:tcW w:w="2580" w:type="dxa"/>
            <w:vAlign w:val="center"/>
          </w:tcPr>
          <w:p w14:paraId="149EE3FD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189.98</w:t>
            </w:r>
          </w:p>
        </w:tc>
        <w:tc>
          <w:tcPr>
            <w:tcW w:w="2151" w:type="dxa"/>
            <w:vAlign w:val="center"/>
          </w:tcPr>
          <w:p w14:paraId="64CC7550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52.99</w:t>
            </w:r>
          </w:p>
        </w:tc>
      </w:tr>
    </w:tbl>
    <w:p w14:paraId="3AD2F4DA">
      <w:pPr>
        <w:ind w:firstLine="480"/>
        <w:jc w:val="center"/>
        <w:rPr>
          <w:rFonts w:ascii="Times New Roman" w:hAnsi="Times New Roman" w:eastAsia="宋体" w:cs="Times New Roman"/>
          <w:b/>
          <w:color w:val="4A5568"/>
          <w:kern w:val="2"/>
          <w:sz w:val="22"/>
          <w:szCs w:val="22"/>
          <w:lang w:val="en-US" w:eastAsia="zh-CN" w:bidi="ar-SA"/>
          <w14:ligatures w14:val="standardContextual"/>
        </w:rPr>
      </w:pPr>
      <w:r>
        <w:rPr>
          <w:rFonts w:ascii="Times New Roman" w:hAnsi="Times New Roman" w:eastAsia="宋体" w:cs="Times New Roman"/>
          <w:b/>
          <w:color w:val="4A5568"/>
          <w:kern w:val="2"/>
          <w:sz w:val="22"/>
          <w:szCs w:val="22"/>
          <w:lang w:val="en-US" w:eastAsia="zh-CN" w:bidi="ar-SA"/>
          <w14:ligatures w14:val="standardContextual"/>
        </w:rPr>
        <w:t>Table 3. Comparative evaluation of lithium adsorbents</w:t>
      </w:r>
    </w:p>
    <w:tbl>
      <w:tblPr>
        <w:tblStyle w:val="3"/>
        <w:tblW w:w="5000" w:type="pct"/>
        <w:tblInd w:w="100" w:type="dxa"/>
        <w:tblBorders>
          <w:top w:val="single" w:color="1A365D" w:sz="12" w:space="0"/>
          <w:left w:val="none" w:color="auto" w:sz="0" w:space="0"/>
          <w:bottom w:val="single" w:color="1A365D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00" w:type="dxa"/>
          <w:bottom w:w="80" w:type="dxa"/>
          <w:right w:w="100" w:type="dxa"/>
        </w:tblCellMar>
      </w:tblPr>
      <w:tblGrid>
        <w:gridCol w:w="2451"/>
        <w:gridCol w:w="2027"/>
        <w:gridCol w:w="1986"/>
        <w:gridCol w:w="2042"/>
      </w:tblGrid>
      <w:tr w14:paraId="523846CF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60" w:hRule="atLeast"/>
          <w:tblHeader/>
        </w:trPr>
        <w:tc>
          <w:tcPr>
            <w:tcW w:w="2713" w:type="dxa"/>
            <w:tcBorders>
              <w:bottom w:val="single" w:color="1A365D" w:sz="6" w:space="0"/>
            </w:tcBorders>
            <w:vAlign w:val="center"/>
          </w:tcPr>
          <w:p w14:paraId="6E8EB04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Parameter</w:t>
            </w:r>
          </w:p>
        </w:tc>
        <w:tc>
          <w:tcPr>
            <w:tcW w:w="2109" w:type="dxa"/>
            <w:tcBorders>
              <w:bottom w:val="single" w:color="1A365D" w:sz="6" w:space="0"/>
            </w:tcBorders>
            <w:vAlign w:val="center"/>
          </w:tcPr>
          <w:p w14:paraId="7E43B678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Aluminum-based</w:t>
            </w:r>
          </w:p>
        </w:tc>
        <w:tc>
          <w:tcPr>
            <w:tcW w:w="2087" w:type="dxa"/>
            <w:tcBorders>
              <w:bottom w:val="single" w:color="1A365D" w:sz="6" w:space="0"/>
            </w:tcBorders>
            <w:vAlign w:val="center"/>
          </w:tcPr>
          <w:p w14:paraId="45D5C2BC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Titaniu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m-based</w:t>
            </w:r>
          </w:p>
        </w:tc>
        <w:tc>
          <w:tcPr>
            <w:tcW w:w="2117" w:type="dxa"/>
            <w:tcBorders>
              <w:bottom w:val="single" w:color="1A365D" w:sz="6" w:space="0"/>
            </w:tcBorders>
            <w:vAlign w:val="center"/>
          </w:tcPr>
          <w:p w14:paraId="22CE5EF2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sz w:val="20"/>
                <w:szCs w:val="22"/>
                <w:lang w:val="en-US" w:eastAsia="zh-CN" w:bidi="ar-SA"/>
              </w:rPr>
              <w:t>Manganese-based</w:t>
            </w:r>
          </w:p>
        </w:tc>
      </w:tr>
      <w:tr w14:paraId="35B84116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713" w:type="dxa"/>
            <w:vAlign w:val="center"/>
          </w:tcPr>
          <w:p w14:paraId="761219CC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Applicable pH range</w:t>
            </w:r>
          </w:p>
        </w:tc>
        <w:tc>
          <w:tcPr>
            <w:tcW w:w="2109" w:type="dxa"/>
            <w:vAlign w:val="center"/>
          </w:tcPr>
          <w:p w14:paraId="63F59FEC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Neutral</w:t>
            </w:r>
          </w:p>
        </w:tc>
        <w:tc>
          <w:tcPr>
            <w:tcW w:w="2087" w:type="dxa"/>
            <w:vAlign w:val="center"/>
          </w:tcPr>
          <w:p w14:paraId="43DBFF2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Neutral to weak alkaline</w:t>
            </w:r>
          </w:p>
        </w:tc>
        <w:tc>
          <w:tcPr>
            <w:tcW w:w="2117" w:type="dxa"/>
            <w:vAlign w:val="center"/>
          </w:tcPr>
          <w:p w14:paraId="0CF91BB7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Neutral to weak alkaline</w:t>
            </w:r>
          </w:p>
        </w:tc>
      </w:tr>
      <w:tr w14:paraId="7AC276A2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713" w:type="dxa"/>
            <w:vAlign w:val="center"/>
          </w:tcPr>
          <w:p w14:paraId="6F41B2B2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Adsorption capacity</w:t>
            </w:r>
          </w:p>
        </w:tc>
        <w:tc>
          <w:tcPr>
            <w:tcW w:w="2109" w:type="dxa"/>
            <w:vAlign w:val="center"/>
          </w:tcPr>
          <w:p w14:paraId="2EEDB2BC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~3 mg/g</w:t>
            </w:r>
          </w:p>
        </w:tc>
        <w:tc>
          <w:tcPr>
            <w:tcW w:w="2087" w:type="dxa"/>
            <w:vAlign w:val="center"/>
          </w:tcPr>
          <w:p w14:paraId="0420D315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5-6 mg/g</w:t>
            </w:r>
          </w:p>
        </w:tc>
        <w:tc>
          <w:tcPr>
            <w:tcW w:w="2117" w:type="dxa"/>
            <w:vAlign w:val="center"/>
          </w:tcPr>
          <w:p w14:paraId="2E278E89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5-6 mg/g</w:t>
            </w:r>
          </w:p>
        </w:tc>
      </w:tr>
      <w:tr w14:paraId="5917A158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713" w:type="dxa"/>
            <w:vAlign w:val="center"/>
          </w:tcPr>
          <w:p w14:paraId="520FBE89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Dissolution loss</w:t>
            </w:r>
          </w:p>
        </w:tc>
        <w:tc>
          <w:tcPr>
            <w:tcW w:w="2109" w:type="dxa"/>
            <w:vAlign w:val="center"/>
          </w:tcPr>
          <w:p w14:paraId="4A386972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≤0.005%</w:t>
            </w:r>
          </w:p>
        </w:tc>
        <w:tc>
          <w:tcPr>
            <w:tcW w:w="2087" w:type="dxa"/>
            <w:vAlign w:val="center"/>
          </w:tcPr>
          <w:p w14:paraId="297D98FA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Low</w:t>
            </w:r>
          </w:p>
        </w:tc>
        <w:tc>
          <w:tcPr>
            <w:tcW w:w="2117" w:type="dxa"/>
            <w:vAlign w:val="center"/>
          </w:tcPr>
          <w:p w14:paraId="13F20B0E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High (~50%)</w:t>
            </w:r>
          </w:p>
        </w:tc>
      </w:tr>
      <w:tr w14:paraId="5952F490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713" w:type="dxa"/>
            <w:vAlign w:val="center"/>
          </w:tcPr>
          <w:p w14:paraId="7BA7F504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Initial filling (ton Li)</w:t>
            </w:r>
          </w:p>
        </w:tc>
        <w:tc>
          <w:tcPr>
            <w:tcW w:w="2109" w:type="dxa"/>
            <w:vAlign w:val="center"/>
          </w:tcPr>
          <w:p w14:paraId="671B72A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 ton</w:t>
            </w:r>
          </w:p>
        </w:tc>
        <w:tc>
          <w:tcPr>
            <w:tcW w:w="2087" w:type="dxa"/>
            <w:vAlign w:val="center"/>
          </w:tcPr>
          <w:p w14:paraId="49A4E102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 tons</w:t>
            </w:r>
          </w:p>
        </w:tc>
        <w:tc>
          <w:tcPr>
            <w:tcW w:w="2117" w:type="dxa"/>
            <w:vAlign w:val="center"/>
          </w:tcPr>
          <w:p w14:paraId="3F4CADE7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 tons</w:t>
            </w:r>
          </w:p>
        </w:tc>
      </w:tr>
      <w:tr w14:paraId="4C93CE31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713" w:type="dxa"/>
            <w:vAlign w:val="center"/>
          </w:tcPr>
          <w:p w14:paraId="23DB325F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Adsorbent price</w:t>
            </w:r>
          </w:p>
        </w:tc>
        <w:tc>
          <w:tcPr>
            <w:tcW w:w="2109" w:type="dxa"/>
            <w:vAlign w:val="center"/>
          </w:tcPr>
          <w:p w14:paraId="4F17B520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60,000 CNY/ton</w:t>
            </w:r>
          </w:p>
        </w:tc>
        <w:tc>
          <w:tcPr>
            <w:tcW w:w="2087" w:type="dxa"/>
            <w:vAlign w:val="center"/>
          </w:tcPr>
          <w:p w14:paraId="045C12C1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300-500k CNY/ton</w:t>
            </w:r>
          </w:p>
        </w:tc>
        <w:tc>
          <w:tcPr>
            <w:tcW w:w="2117" w:type="dxa"/>
            <w:vAlign w:val="center"/>
          </w:tcPr>
          <w:p w14:paraId="7104A9F8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250-300k CNY/ton</w:t>
            </w:r>
          </w:p>
        </w:tc>
      </w:tr>
      <w:tr w14:paraId="6E452489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713" w:type="dxa"/>
            <w:vAlign w:val="center"/>
          </w:tcPr>
          <w:p w14:paraId="599FAE08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Annual replenishment</w:t>
            </w:r>
          </w:p>
        </w:tc>
        <w:tc>
          <w:tcPr>
            <w:tcW w:w="2109" w:type="dxa"/>
            <w:vAlign w:val="center"/>
          </w:tcPr>
          <w:p w14:paraId="624564A4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&lt;5% of total</w:t>
            </w:r>
          </w:p>
        </w:tc>
        <w:tc>
          <w:tcPr>
            <w:tcW w:w="2087" w:type="dxa"/>
            <w:vAlign w:val="center"/>
          </w:tcPr>
          <w:p w14:paraId="016BB9B2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5-10 tons</w:t>
            </w:r>
          </w:p>
        </w:tc>
        <w:tc>
          <w:tcPr>
            <w:tcW w:w="2117" w:type="dxa"/>
            <w:vAlign w:val="center"/>
          </w:tcPr>
          <w:p w14:paraId="512362C0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5-15 tons</w:t>
            </w:r>
          </w:p>
        </w:tc>
      </w:tr>
      <w:tr w14:paraId="3DF988CF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713" w:type="dxa"/>
            <w:vAlign w:val="center"/>
          </w:tcPr>
          <w:p w14:paraId="2C203CD3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Eluate Li concentration</w:t>
            </w:r>
          </w:p>
        </w:tc>
        <w:tc>
          <w:tcPr>
            <w:tcW w:w="2109" w:type="dxa"/>
            <w:vAlign w:val="center"/>
          </w:tcPr>
          <w:p w14:paraId="434204DD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&gt;500 mg/L</w:t>
            </w:r>
          </w:p>
        </w:tc>
        <w:tc>
          <w:tcPr>
            <w:tcW w:w="2087" w:type="dxa"/>
            <w:vAlign w:val="center"/>
          </w:tcPr>
          <w:p w14:paraId="51B4F72C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&gt;500 mg/L</w:t>
            </w:r>
          </w:p>
        </w:tc>
        <w:tc>
          <w:tcPr>
            <w:tcW w:w="2117" w:type="dxa"/>
            <w:vAlign w:val="center"/>
          </w:tcPr>
          <w:p w14:paraId="5F1B56D2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&gt;500 mg/L</w:t>
            </w:r>
          </w:p>
        </w:tc>
      </w:tr>
      <w:tr w14:paraId="44177750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713" w:type="dxa"/>
            <w:vAlign w:val="center"/>
          </w:tcPr>
          <w:p w14:paraId="2CED0A7F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Li recovery rate</w:t>
            </w:r>
          </w:p>
        </w:tc>
        <w:tc>
          <w:tcPr>
            <w:tcW w:w="2109" w:type="dxa"/>
            <w:vAlign w:val="center"/>
          </w:tcPr>
          <w:p w14:paraId="7310CF9A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~87%</w:t>
            </w:r>
          </w:p>
        </w:tc>
        <w:tc>
          <w:tcPr>
            <w:tcW w:w="2087" w:type="dxa"/>
            <w:vAlign w:val="center"/>
          </w:tcPr>
          <w:p w14:paraId="673A9E7E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70-80%</w:t>
            </w:r>
          </w:p>
        </w:tc>
        <w:tc>
          <w:tcPr>
            <w:tcW w:w="2117" w:type="dxa"/>
            <w:vAlign w:val="center"/>
          </w:tcPr>
          <w:p w14:paraId="4FCD6F8C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~70%</w:t>
            </w:r>
          </w:p>
        </w:tc>
      </w:tr>
    </w:tbl>
    <w:p w14:paraId="65319519">
      <w:pPr>
        <w:pStyle w:val="2"/>
        <w:spacing w:after="0"/>
        <w:rPr>
          <w:rFonts w:ascii="Times New Roman" w:hAnsi="Times New Roman" w:eastAsia="宋体" w:cs="Times New Roman"/>
          <w:b w:val="0"/>
          <w:i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ascii="Times New Roman" w:hAnsi="Times New Roman" w:eastAsia="宋体" w:cs="Times New Roman"/>
          <w:b w:val="0"/>
          <w:i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Table 4. Ion concentrations at different process stages</w:t>
      </w:r>
    </w:p>
    <w:tbl>
      <w:tblPr>
        <w:tblStyle w:val="3"/>
        <w:tblW w:w="5000" w:type="pct"/>
        <w:tblInd w:w="100" w:type="dxa"/>
        <w:tblBorders>
          <w:top w:val="single" w:color="1A365D" w:sz="12" w:space="0"/>
          <w:left w:val="none" w:color="auto" w:sz="0" w:space="0"/>
          <w:bottom w:val="single" w:color="1A365D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00" w:type="dxa"/>
          <w:bottom w:w="80" w:type="dxa"/>
          <w:right w:w="100" w:type="dxa"/>
        </w:tblCellMar>
      </w:tblPr>
      <w:tblGrid>
        <w:gridCol w:w="2725"/>
        <w:gridCol w:w="1429"/>
        <w:gridCol w:w="1462"/>
        <w:gridCol w:w="1462"/>
        <w:gridCol w:w="1428"/>
      </w:tblGrid>
      <w:tr w14:paraId="768139BF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60" w:hRule="atLeast"/>
          <w:tblHeader/>
        </w:trPr>
        <w:tc>
          <w:tcPr>
            <w:tcW w:w="2912" w:type="dxa"/>
            <w:tcBorders>
              <w:bottom w:val="single" w:color="1A365D" w:sz="6" w:space="0"/>
            </w:tcBorders>
            <w:vAlign w:val="center"/>
          </w:tcPr>
          <w:p w14:paraId="527B0CDA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i/>
                <w:sz w:val="24"/>
                <w:szCs w:val="22"/>
                <w:lang w:val="en-US" w:eastAsia="zh-CN" w:bidi="ar-SA"/>
              </w:rPr>
              <w:t>Process Stage</w:t>
            </w:r>
          </w:p>
        </w:tc>
        <w:tc>
          <w:tcPr>
            <w:tcW w:w="1515" w:type="dxa"/>
            <w:tcBorders>
              <w:bottom w:val="single" w:color="1A365D" w:sz="6" w:space="0"/>
            </w:tcBorders>
            <w:vAlign w:val="center"/>
          </w:tcPr>
          <w:p w14:paraId="74E0826C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i/>
                <w:sz w:val="24"/>
                <w:szCs w:val="22"/>
                <w:lang w:val="en-US" w:eastAsia="zh-CN" w:bidi="ar-SA"/>
              </w:rPr>
              <w:t>Li (g/L)</w:t>
            </w:r>
          </w:p>
        </w:tc>
        <w:tc>
          <w:tcPr>
            <w:tcW w:w="1543" w:type="dxa"/>
            <w:tcBorders>
              <w:bottom w:val="single" w:color="1A365D" w:sz="6" w:space="0"/>
            </w:tcBorders>
            <w:vAlign w:val="center"/>
          </w:tcPr>
          <w:p w14:paraId="677D2472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i/>
                <w:sz w:val="24"/>
                <w:szCs w:val="22"/>
                <w:lang w:val="en-US" w:eastAsia="zh-CN" w:bidi="ar-SA"/>
              </w:rPr>
              <w:t>Mg (g/L)</w:t>
            </w:r>
          </w:p>
        </w:tc>
        <w:tc>
          <w:tcPr>
            <w:tcW w:w="1543" w:type="dxa"/>
            <w:tcBorders>
              <w:bottom w:val="single" w:color="1A365D" w:sz="6" w:space="0"/>
            </w:tcBorders>
            <w:vAlign w:val="center"/>
          </w:tcPr>
          <w:p w14:paraId="74B138BF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i/>
                <w:sz w:val="24"/>
                <w:szCs w:val="22"/>
                <w:lang w:val="en-US" w:eastAsia="zh-CN" w:bidi="ar-SA"/>
              </w:rPr>
              <w:t>Ca (g/L)</w:t>
            </w:r>
          </w:p>
        </w:tc>
        <w:tc>
          <w:tcPr>
            <w:tcW w:w="1513" w:type="dxa"/>
            <w:tcBorders>
              <w:bottom w:val="single" w:color="1A365D" w:sz="6" w:space="0"/>
            </w:tcBorders>
            <w:vAlign w:val="center"/>
          </w:tcPr>
          <w:p w14:paraId="08C572EF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i/>
                <w:sz w:val="24"/>
                <w:szCs w:val="22"/>
                <w:lang w:val="en-US" w:eastAsia="zh-CN" w:bidi="ar-SA"/>
              </w:rPr>
              <w:t>Na (g/L)</w:t>
            </w:r>
          </w:p>
        </w:tc>
      </w:tr>
      <w:tr w14:paraId="28237390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912" w:type="dxa"/>
            <w:vAlign w:val="center"/>
          </w:tcPr>
          <w:p w14:paraId="7FF27814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Raw feed</w:t>
            </w:r>
          </w:p>
        </w:tc>
        <w:tc>
          <w:tcPr>
            <w:tcW w:w="1515" w:type="dxa"/>
            <w:vAlign w:val="center"/>
          </w:tcPr>
          <w:p w14:paraId="58261475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0.065</w:t>
            </w:r>
          </w:p>
        </w:tc>
        <w:tc>
          <w:tcPr>
            <w:tcW w:w="1543" w:type="dxa"/>
            <w:vAlign w:val="center"/>
          </w:tcPr>
          <w:p w14:paraId="7E2C51B6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0.032</w:t>
            </w:r>
          </w:p>
        </w:tc>
        <w:tc>
          <w:tcPr>
            <w:tcW w:w="1543" w:type="dxa"/>
            <w:vAlign w:val="center"/>
          </w:tcPr>
          <w:p w14:paraId="63D9E148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0.254</w:t>
            </w:r>
          </w:p>
        </w:tc>
        <w:tc>
          <w:tcPr>
            <w:tcW w:w="1513" w:type="dxa"/>
            <w:vAlign w:val="center"/>
          </w:tcPr>
          <w:p w14:paraId="6A1E70F1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11.75</w:t>
            </w:r>
          </w:p>
        </w:tc>
      </w:tr>
      <w:tr w14:paraId="0E08475C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912" w:type="dxa"/>
            <w:vAlign w:val="center"/>
          </w:tcPr>
          <w:p w14:paraId="3B79CC7C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RO concentrate</w:t>
            </w:r>
          </w:p>
        </w:tc>
        <w:tc>
          <w:tcPr>
            <w:tcW w:w="1515" w:type="dxa"/>
            <w:vAlign w:val="center"/>
          </w:tcPr>
          <w:p w14:paraId="1E93417E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3.38</w:t>
            </w:r>
          </w:p>
        </w:tc>
        <w:tc>
          <w:tcPr>
            <w:tcW w:w="1543" w:type="dxa"/>
            <w:vAlign w:val="center"/>
          </w:tcPr>
          <w:p w14:paraId="717B2E85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0.17</w:t>
            </w:r>
          </w:p>
        </w:tc>
        <w:tc>
          <w:tcPr>
            <w:tcW w:w="1543" w:type="dxa"/>
            <w:vAlign w:val="center"/>
          </w:tcPr>
          <w:p w14:paraId="0BD3A4EC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0.28</w:t>
            </w:r>
          </w:p>
        </w:tc>
        <w:tc>
          <w:tcPr>
            <w:tcW w:w="1513" w:type="dxa"/>
            <w:vAlign w:val="center"/>
          </w:tcPr>
          <w:p w14:paraId="4CF7C86F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5.20</w:t>
            </w:r>
          </w:p>
        </w:tc>
      </w:tr>
      <w:tr w14:paraId="0210ACE1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912" w:type="dxa"/>
            <w:vAlign w:val="center"/>
          </w:tcPr>
          <w:p w14:paraId="36CBCEAA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NF permeate</w:t>
            </w:r>
          </w:p>
        </w:tc>
        <w:tc>
          <w:tcPr>
            <w:tcW w:w="1515" w:type="dxa"/>
            <w:vAlign w:val="center"/>
          </w:tcPr>
          <w:p w14:paraId="27D4F2CF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3.55</w:t>
            </w:r>
          </w:p>
        </w:tc>
        <w:tc>
          <w:tcPr>
            <w:tcW w:w="1543" w:type="dxa"/>
            <w:vAlign w:val="center"/>
          </w:tcPr>
          <w:p w14:paraId="5D8455B2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0.03</w:t>
            </w:r>
          </w:p>
        </w:tc>
        <w:tc>
          <w:tcPr>
            <w:tcW w:w="1543" w:type="dxa"/>
            <w:vAlign w:val="center"/>
          </w:tcPr>
          <w:p w14:paraId="738EEC9D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0.06</w:t>
            </w:r>
          </w:p>
        </w:tc>
        <w:tc>
          <w:tcPr>
            <w:tcW w:w="1513" w:type="dxa"/>
            <w:vAlign w:val="center"/>
          </w:tcPr>
          <w:p w14:paraId="04A897B5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4.80</w:t>
            </w:r>
          </w:p>
        </w:tc>
      </w:tr>
      <w:tr w14:paraId="6DB10128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912" w:type="dxa"/>
            <w:vAlign w:val="center"/>
          </w:tcPr>
          <w:p w14:paraId="2929AC94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HP-RO concentrate</w:t>
            </w:r>
          </w:p>
        </w:tc>
        <w:tc>
          <w:tcPr>
            <w:tcW w:w="1515" w:type="dxa"/>
            <w:vAlign w:val="center"/>
          </w:tcPr>
          <w:p w14:paraId="5E0BE446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9.70</w:t>
            </w:r>
          </w:p>
        </w:tc>
        <w:tc>
          <w:tcPr>
            <w:tcW w:w="1543" w:type="dxa"/>
            <w:vAlign w:val="center"/>
          </w:tcPr>
          <w:p w14:paraId="6313398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0.07</w:t>
            </w:r>
          </w:p>
        </w:tc>
        <w:tc>
          <w:tcPr>
            <w:tcW w:w="1543" w:type="dxa"/>
            <w:vAlign w:val="center"/>
          </w:tcPr>
          <w:p w14:paraId="492251C4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0.15</w:t>
            </w:r>
          </w:p>
        </w:tc>
        <w:tc>
          <w:tcPr>
            <w:tcW w:w="1513" w:type="dxa"/>
            <w:vAlign w:val="center"/>
          </w:tcPr>
          <w:p w14:paraId="5625BECF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3.50</w:t>
            </w:r>
          </w:p>
        </w:tc>
      </w:tr>
      <w:tr w14:paraId="33B90D60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2912" w:type="dxa"/>
            <w:vAlign w:val="center"/>
          </w:tcPr>
          <w:p w14:paraId="338D5CAD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Resin product</w:t>
            </w:r>
          </w:p>
        </w:tc>
        <w:tc>
          <w:tcPr>
            <w:tcW w:w="1515" w:type="dxa"/>
            <w:vAlign w:val="center"/>
          </w:tcPr>
          <w:p w14:paraId="359D5424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9.68</w:t>
            </w:r>
          </w:p>
        </w:tc>
        <w:tc>
          <w:tcPr>
            <w:tcW w:w="1543" w:type="dxa"/>
            <w:vAlign w:val="center"/>
          </w:tcPr>
          <w:p w14:paraId="311932DD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&lt;0.001</w:t>
            </w:r>
          </w:p>
        </w:tc>
        <w:tc>
          <w:tcPr>
            <w:tcW w:w="1543" w:type="dxa"/>
            <w:vAlign w:val="center"/>
          </w:tcPr>
          <w:p w14:paraId="4C387F4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&lt;0.001</w:t>
            </w:r>
          </w:p>
        </w:tc>
        <w:tc>
          <w:tcPr>
            <w:tcW w:w="1513" w:type="dxa"/>
            <w:vAlign w:val="center"/>
          </w:tcPr>
          <w:p w14:paraId="4480CBC6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2.80</w:t>
            </w:r>
          </w:p>
        </w:tc>
      </w:tr>
    </w:tbl>
    <w:p w14:paraId="3200AB2F">
      <w:pPr>
        <w:pStyle w:val="2"/>
        <w:spacing w:after="0"/>
        <w:rPr>
          <w:rFonts w:ascii="Times New Roman" w:hAnsi="Times New Roman" w:eastAsia="宋体" w:cs="Times New Roman"/>
          <w:b w:val="0"/>
          <w:i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ascii="Times New Roman" w:hAnsi="Times New Roman" w:eastAsia="宋体" w:cs="Times New Roman"/>
          <w:b w:val="0"/>
          <w:i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Table 5. Comparison with conventional lithium extraction processes</w:t>
      </w:r>
    </w:p>
    <w:tbl>
      <w:tblPr>
        <w:tblStyle w:val="3"/>
        <w:tblW w:w="5000" w:type="pct"/>
        <w:tblInd w:w="100" w:type="dxa"/>
        <w:tblBorders>
          <w:top w:val="single" w:color="1A365D" w:sz="12" w:space="0"/>
          <w:left w:val="none" w:color="auto" w:sz="0" w:space="0"/>
          <w:bottom w:val="single" w:color="1A365D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00" w:type="dxa"/>
          <w:bottom w:w="80" w:type="dxa"/>
          <w:right w:w="100" w:type="dxa"/>
        </w:tblCellMar>
      </w:tblPr>
      <w:tblGrid>
        <w:gridCol w:w="3175"/>
        <w:gridCol w:w="1669"/>
        <w:gridCol w:w="1831"/>
        <w:gridCol w:w="1831"/>
      </w:tblGrid>
      <w:tr w14:paraId="4744615A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60" w:hRule="atLeast"/>
          <w:tblHeader/>
        </w:trPr>
        <w:tc>
          <w:tcPr>
            <w:tcW w:w="3478" w:type="dxa"/>
            <w:tcBorders>
              <w:bottom w:val="single" w:color="1A365D" w:sz="6" w:space="0"/>
            </w:tcBorders>
            <w:vAlign w:val="center"/>
          </w:tcPr>
          <w:p w14:paraId="6A633D34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i/>
                <w:sz w:val="24"/>
                <w:szCs w:val="22"/>
                <w:lang w:val="en-US" w:eastAsia="zh-CN" w:bidi="ar-SA"/>
              </w:rPr>
              <w:t>Parameter</w:t>
            </w:r>
          </w:p>
        </w:tc>
        <w:tc>
          <w:tcPr>
            <w:tcW w:w="1791" w:type="dxa"/>
            <w:tcBorders>
              <w:bottom w:val="single" w:color="1A365D" w:sz="6" w:space="0"/>
            </w:tcBorders>
            <w:vAlign w:val="center"/>
          </w:tcPr>
          <w:p w14:paraId="0D1D6CB3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i/>
                <w:sz w:val="24"/>
                <w:szCs w:val="22"/>
                <w:lang w:val="en-US" w:eastAsia="zh-CN" w:bidi="ar-SA"/>
              </w:rPr>
              <w:t>This study</w:t>
            </w:r>
          </w:p>
        </w:tc>
        <w:tc>
          <w:tcPr>
            <w:tcW w:w="1877" w:type="dxa"/>
            <w:tcBorders>
              <w:bottom w:val="single" w:color="1A365D" w:sz="6" w:space="0"/>
            </w:tcBorders>
            <w:vAlign w:val="center"/>
          </w:tcPr>
          <w:p w14:paraId="1ABDB667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i/>
                <w:sz w:val="24"/>
                <w:szCs w:val="22"/>
                <w:lang w:val="en-US" w:eastAsia="zh-CN" w:bidi="ar-SA"/>
              </w:rPr>
              <w:t>Conventional process</w:t>
            </w:r>
          </w:p>
        </w:tc>
        <w:tc>
          <w:tcPr>
            <w:tcW w:w="1880" w:type="dxa"/>
            <w:tcBorders>
              <w:bottom w:val="single" w:color="1A365D" w:sz="6" w:space="0"/>
            </w:tcBorders>
            <w:vAlign w:val="center"/>
          </w:tcPr>
          <w:p w14:paraId="7EFA2761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i/>
                <w:sz w:val="24"/>
                <w:szCs w:val="22"/>
                <w:lang w:val="en-US" w:eastAsia="zh-CN" w:bidi="ar-SA"/>
              </w:rPr>
              <w:t>Improvement</w:t>
            </w:r>
          </w:p>
        </w:tc>
      </w:tr>
      <w:tr w14:paraId="65DA68BF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3478" w:type="dxa"/>
            <w:vAlign w:val="center"/>
          </w:tcPr>
          <w:p w14:paraId="70C0C6EC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Li recovery rate</w:t>
            </w:r>
          </w:p>
        </w:tc>
        <w:tc>
          <w:tcPr>
            <w:tcW w:w="1791" w:type="dxa"/>
            <w:vAlign w:val="center"/>
          </w:tcPr>
          <w:p w14:paraId="146EFAC2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87%</w:t>
            </w:r>
          </w:p>
        </w:tc>
        <w:tc>
          <w:tcPr>
            <w:tcW w:w="1877" w:type="dxa"/>
            <w:vAlign w:val="center"/>
          </w:tcPr>
          <w:p w14:paraId="4E62C18F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70-75%</w:t>
            </w:r>
          </w:p>
        </w:tc>
        <w:tc>
          <w:tcPr>
            <w:tcW w:w="1880" w:type="dxa"/>
            <w:vAlign w:val="center"/>
          </w:tcPr>
          <w:p w14:paraId="322A5810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+12-17%</w:t>
            </w:r>
          </w:p>
        </w:tc>
      </w:tr>
      <w:tr w14:paraId="4A98BEE3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3478" w:type="dxa"/>
            <w:vAlign w:val="center"/>
          </w:tcPr>
          <w:p w14:paraId="79B3BBE2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Daily production</w:t>
            </w:r>
          </w:p>
        </w:tc>
        <w:tc>
          <w:tcPr>
            <w:tcW w:w="1791" w:type="dxa"/>
            <w:vAlign w:val="center"/>
          </w:tcPr>
          <w:p w14:paraId="62905CC1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30.1 kg</w:t>
            </w:r>
          </w:p>
        </w:tc>
        <w:tc>
          <w:tcPr>
            <w:tcW w:w="1877" w:type="dxa"/>
            <w:vAlign w:val="center"/>
          </w:tcPr>
          <w:p w14:paraId="559AF03D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~10 kg</w:t>
            </w:r>
          </w:p>
        </w:tc>
        <w:tc>
          <w:tcPr>
            <w:tcW w:w="1880" w:type="dxa"/>
            <w:vAlign w:val="center"/>
          </w:tcPr>
          <w:p w14:paraId="48093DC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+200%</w:t>
            </w:r>
          </w:p>
        </w:tc>
      </w:tr>
      <w:tr w14:paraId="62044C15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3478" w:type="dxa"/>
            <w:vAlign w:val="center"/>
          </w:tcPr>
          <w:p w14:paraId="4AAD6D4B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Energy consumption</w:t>
            </w:r>
          </w:p>
        </w:tc>
        <w:tc>
          <w:tcPr>
            <w:tcW w:w="1791" w:type="dxa"/>
            <w:vAlign w:val="center"/>
          </w:tcPr>
          <w:p w14:paraId="176AFE81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Baseline</w:t>
            </w:r>
          </w:p>
        </w:tc>
        <w:tc>
          <w:tcPr>
            <w:tcW w:w="1877" w:type="dxa"/>
            <w:vAlign w:val="center"/>
          </w:tcPr>
          <w:p w14:paraId="529C8956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2x baseline</w:t>
            </w:r>
          </w:p>
        </w:tc>
        <w:tc>
          <w:tcPr>
            <w:tcW w:w="1880" w:type="dxa"/>
            <w:vAlign w:val="center"/>
          </w:tcPr>
          <w:p w14:paraId="7952656B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-50%</w:t>
            </w:r>
          </w:p>
        </w:tc>
      </w:tr>
      <w:tr w14:paraId="21147D40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3478" w:type="dxa"/>
            <w:vAlign w:val="center"/>
          </w:tcPr>
          <w:p w14:paraId="5A44FEDF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Operators required</w:t>
            </w:r>
          </w:p>
        </w:tc>
        <w:tc>
          <w:tcPr>
            <w:tcW w:w="1791" w:type="dxa"/>
            <w:vAlign w:val="center"/>
          </w:tcPr>
          <w:p w14:paraId="6F04BC46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6</w:t>
            </w:r>
          </w:p>
        </w:tc>
        <w:tc>
          <w:tcPr>
            <w:tcW w:w="1877" w:type="dxa"/>
            <w:vAlign w:val="center"/>
          </w:tcPr>
          <w:p w14:paraId="58141BCA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20+</w:t>
            </w:r>
          </w:p>
        </w:tc>
        <w:tc>
          <w:tcPr>
            <w:tcW w:w="1880" w:type="dxa"/>
            <w:vAlign w:val="center"/>
          </w:tcPr>
          <w:p w14:paraId="615478BE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-70%</w:t>
            </w:r>
          </w:p>
        </w:tc>
      </w:tr>
      <w:tr w14:paraId="43CB8D7B">
        <w:tblPrEx>
          <w:tblBorders>
            <w:top w:val="single" w:color="1A365D" w:sz="12" w:space="0"/>
            <w:left w:val="none" w:color="auto" w:sz="0" w:space="0"/>
            <w:bottom w:val="single" w:color="1A365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00" w:type="dxa"/>
            <w:bottom w:w="80" w:type="dxa"/>
            <w:right w:w="100" w:type="dxa"/>
          </w:tblCellMar>
        </w:tblPrEx>
        <w:trPr>
          <w:trHeight w:val="320" w:hRule="atLeast"/>
        </w:trPr>
        <w:tc>
          <w:tcPr>
            <w:tcW w:w="3478" w:type="dxa"/>
            <w:vAlign w:val="center"/>
          </w:tcPr>
          <w:p w14:paraId="28053277">
            <w:pPr>
              <w:spacing w:line="240" w:lineRule="auto"/>
              <w:jc w:val="left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Product purity</w:t>
            </w:r>
          </w:p>
        </w:tc>
        <w:tc>
          <w:tcPr>
            <w:tcW w:w="1791" w:type="dxa"/>
            <w:vAlign w:val="center"/>
          </w:tcPr>
          <w:p w14:paraId="1AC6BAB7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&gt;99.5%</w:t>
            </w:r>
          </w:p>
        </w:tc>
        <w:tc>
          <w:tcPr>
            <w:tcW w:w="1877" w:type="dxa"/>
            <w:vAlign w:val="center"/>
          </w:tcPr>
          <w:p w14:paraId="2F4A37F3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98-99%</w:t>
            </w:r>
          </w:p>
        </w:tc>
        <w:tc>
          <w:tcPr>
            <w:tcW w:w="1880" w:type="dxa"/>
            <w:vAlign w:val="center"/>
          </w:tcPr>
          <w:p w14:paraId="25195752">
            <w:pPr>
              <w:spacing w:line="240" w:lineRule="auto"/>
              <w:jc w:val="center"/>
            </w:pPr>
            <w:r>
              <w:rPr>
                <w:rFonts w:ascii="Times New Roman" w:hAnsi="Times New Roman" w:eastAsia="宋体" w:cs="Times New Roman"/>
                <w:sz w:val="20"/>
                <w:szCs w:val="22"/>
                <w:lang w:val="en-US" w:eastAsia="zh-CN" w:bidi="ar-SA"/>
              </w:rPr>
              <w:t>+0.5-1.5%</w:t>
            </w:r>
          </w:p>
        </w:tc>
      </w:tr>
    </w:tbl>
    <w:p w14:paraId="2832ED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20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480" w:lineRule="auto"/>
      <w:jc w:val="both"/>
    </w:pPr>
    <w:rPr>
      <w:rFonts w:ascii="Times New Roman" w:hAnsi="Times New Roman" w:eastAsia="宋体" w:cstheme="minorBidi"/>
      <w:color w:val="2D3748"/>
      <w:kern w:val="2"/>
      <w:sz w:val="24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pacing w:before="120" w:after="240"/>
      <w:jc w:val="center"/>
    </w:pPr>
    <w:rPr>
      <w:b/>
      <w:color w:val="4A5568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2026-05-02T02:22:23Z</dcterms:created>
  <dc:creator>Administrator</dc:creator>
  <cp:lastModifiedBy>董汶鑫</cp:lastModifiedBy>
  <dcterms:modified xsi:type="dcterms:W3CDTF">2026-05-02T03:08:29Z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eyJoZGlkIjoiNGE5OWE3MDE5ODM1NzYyOTEzMDI5OTA0MzA0YmY4ZmMiLCJ1c2VySWQiOiIyNzA5MjgzNTEifQ==</vt:lpwstr>
  </property>
  <property fmtid="{D5CDD505-2E9C-101B-9397-08002B2CF9AE}" pid="4" name="ICV">
    <vt:lpwstr>F80372A7E14942179F03E87FB1DECC01_12</vt:lpwstr>
  </property>
</Properties>
</file>