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13C2" w14:textId="77777777" w:rsidR="003E35FC" w:rsidRPr="00E84262" w:rsidRDefault="003E35FC" w:rsidP="00EB06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84262">
        <w:rPr>
          <w:rFonts w:ascii="Times New Roman" w:hAnsi="Times New Roman" w:cs="Times New Roman"/>
          <w:b/>
          <w:bCs/>
          <w:sz w:val="28"/>
          <w:szCs w:val="24"/>
        </w:rPr>
        <w:t>Supporting Information</w:t>
      </w:r>
    </w:p>
    <w:p w14:paraId="2A36E12A" w14:textId="77777777" w:rsidR="00761CC0" w:rsidRPr="00B4287D" w:rsidRDefault="00761CC0" w:rsidP="00761C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eading=h.p9i1c1om4um5" w:colFirst="0" w:colLast="0"/>
      <w:bookmarkEnd w:id="0"/>
      <w:r w:rsidRPr="00B428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Relative Stability of Chlorthalidone (CTD) Forms I and II: Integrated Experimental and Theoretical Insights into the Superior Thermodynamic Stability of CTD-I Driven by Intra- and Intermolecular Interactions</w:t>
      </w:r>
    </w:p>
    <w:p w14:paraId="0AE58867" w14:textId="77777777" w:rsidR="00EB06FB" w:rsidRPr="00B750BF" w:rsidRDefault="00EB06FB" w:rsidP="00EB06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B750BF">
        <w:rPr>
          <w:rFonts w:ascii="Times New Roman" w:eastAsia="Times New Roman" w:hAnsi="Times New Roman" w:cs="Times New Roman"/>
          <w:sz w:val="24"/>
          <w:szCs w:val="24"/>
          <w:lang w:val="pt-BR"/>
        </w:rPr>
        <w:t>Singaravel Nathiya</w:t>
      </w:r>
      <w:r w:rsidR="0093492F" w:rsidRPr="00B750BF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93492F" w:rsidRPr="00B750BF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#</w:t>
      </w:r>
      <w:r w:rsidRPr="00B750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750BF">
        <w:rPr>
          <w:rFonts w:ascii="Times New Roman" w:eastAsia="Times New Roman" w:hAnsi="Times New Roman" w:cs="Times New Roman"/>
          <w:sz w:val="24"/>
          <w:szCs w:val="24"/>
          <w:lang w:val="pt-BR"/>
        </w:rPr>
        <w:t>Jarede Da Silva Martins</w:t>
      </w:r>
      <w:r w:rsidR="0093492F" w:rsidRPr="00B750BF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93492F" w:rsidRPr="00B750BF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# </w:t>
      </w:r>
      <w:r w:rsidR="0093492F" w:rsidRPr="00B750BF">
        <w:rPr>
          <w:rFonts w:ascii="Times New Roman" w:eastAsia="Times New Roman" w:hAnsi="Times New Roman" w:cs="Times New Roman"/>
          <w:sz w:val="24"/>
          <w:szCs w:val="24"/>
          <w:lang w:val="pt-BR"/>
        </w:rPr>
        <w:t>Murugesan Panneerselvam</w:t>
      </w:r>
      <w:r w:rsidR="00582C19" w:rsidRPr="00B750BF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93492F" w:rsidRPr="00B750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750BF">
        <w:rPr>
          <w:rFonts w:ascii="Times New Roman" w:hAnsi="Times New Roman" w:cs="Times New Roman"/>
          <w:sz w:val="24"/>
          <w:szCs w:val="24"/>
          <w:lang w:val="pt-BR"/>
        </w:rPr>
        <w:t>Leandro M. Santos,</w:t>
      </w:r>
      <w:r w:rsidR="00582C19"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582C19" w:rsidRPr="00B750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750BF">
        <w:rPr>
          <w:rFonts w:ascii="Times New Roman" w:hAnsi="Times New Roman" w:cs="Times New Roman"/>
          <w:sz w:val="24"/>
          <w:szCs w:val="24"/>
          <w:lang w:val="pt-BR"/>
        </w:rPr>
        <w:t>Antônio C. Doriguetto</w:t>
      </w:r>
      <w:r w:rsidR="00582C19"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B750BF">
        <w:rPr>
          <w:rFonts w:ascii="Times New Roman" w:hAnsi="Times New Roman" w:cs="Times New Roman"/>
          <w:sz w:val="24"/>
          <w:szCs w:val="24"/>
          <w:lang w:val="pt-BR"/>
        </w:rPr>
        <w:t>*</w:t>
      </w:r>
      <w:r w:rsidR="0093492F" w:rsidRPr="00B750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82C19" w:rsidRPr="00B750BF">
        <w:rPr>
          <w:rFonts w:ascii="Times New Roman" w:hAnsi="Times New Roman" w:cs="Times New Roman"/>
          <w:sz w:val="24"/>
          <w:szCs w:val="24"/>
          <w:lang w:val="pt-BR"/>
        </w:rPr>
        <w:t>and Luciano T. Costa</w:t>
      </w:r>
      <w:r w:rsidR="00582C19"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1* </w:t>
      </w:r>
    </w:p>
    <w:p w14:paraId="22AE9828" w14:textId="77777777" w:rsidR="00582C19" w:rsidRPr="00B750BF" w:rsidRDefault="00582C19" w:rsidP="00582C19">
      <w:pPr>
        <w:spacing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pt-BR"/>
        </w:rPr>
      </w:pPr>
      <w:r w:rsidRPr="00B750B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pt-BR"/>
        </w:rPr>
        <w:t>1</w:t>
      </w:r>
      <w:r w:rsidRPr="00B750BF">
        <w:rPr>
          <w:rFonts w:ascii="Times New Roman" w:hAnsi="Times New Roman" w:cs="Times New Roman"/>
          <w:iCs/>
          <w:color w:val="000000" w:themeColor="text1"/>
          <w:sz w:val="24"/>
          <w:szCs w:val="24"/>
          <w:lang w:val="pt-BR"/>
        </w:rPr>
        <w:t>MolMod-CS - Instituto de Química, Universidade Federal Fluminense, Campos Valonginho s/n, Centro, Niterói 24020-14, Rio de Janeiro, Brazil.</w:t>
      </w:r>
    </w:p>
    <w:p w14:paraId="1F100DFA" w14:textId="77777777" w:rsidR="00582C19" w:rsidRPr="00B750BF" w:rsidRDefault="00582C19" w:rsidP="00EB06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750B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B750BF">
        <w:rPr>
          <w:rFonts w:ascii="Times New Roman" w:hAnsi="Times New Roman" w:cs="Times New Roman"/>
          <w:sz w:val="24"/>
          <w:szCs w:val="24"/>
          <w:lang w:val="pt-BR"/>
        </w:rPr>
        <w:t>Laboratório de Cristalografia, Universidade Federal de Alfenas, Rua Gabriel Monteiro da Silva, 700, 37130-000, Alfenas, MG, Brazil.</w:t>
      </w:r>
    </w:p>
    <w:p w14:paraId="45F4E252" w14:textId="77777777" w:rsidR="00E24BA5" w:rsidRDefault="00E24BA5" w:rsidP="00EB06F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50B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B750BF">
        <w:rPr>
          <w:rFonts w:ascii="Times New Roman" w:hAnsi="Times New Roman" w:cs="Times New Roman"/>
          <w:i/>
          <w:sz w:val="24"/>
          <w:szCs w:val="24"/>
        </w:rPr>
        <w:t>Contributed equally to this work</w:t>
      </w:r>
    </w:p>
    <w:p w14:paraId="5E9B4DF6" w14:textId="587DBBDF" w:rsidR="00EB13C6" w:rsidRPr="007855FC" w:rsidRDefault="000A0288" w:rsidP="007855FC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95902356"/>
      <w:r w:rsidRPr="009C5ACD">
        <w:rPr>
          <w:rFonts w:ascii="Times New Roman" w:hAnsi="Times New Roman" w:cs="Times New Roman"/>
          <w:bCs/>
          <w:sz w:val="24"/>
          <w:szCs w:val="24"/>
          <w:lang w:val="en-IN"/>
        </w:rPr>
        <w:t>*</w:t>
      </w:r>
      <w:r w:rsidRPr="009C5ACD">
        <w:rPr>
          <w:rFonts w:ascii="Times New Roman" w:hAnsi="Times New Roman" w:cs="Times New Roman"/>
          <w:bCs/>
          <w:i/>
          <w:iCs/>
          <w:sz w:val="24"/>
          <w:szCs w:val="24"/>
          <w:lang w:val="en-IN"/>
        </w:rPr>
        <w:t xml:space="preserve">Corresponding Authors: </w:t>
      </w:r>
      <w:r w:rsidRPr="009C5ACD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E-mail: </w:t>
      </w:r>
      <w:hyperlink r:id="rId6" w:history="1">
        <w:r w:rsidRPr="009C5ACD">
          <w:rPr>
            <w:rStyle w:val="Hyperlink"/>
            <w:rFonts w:ascii="Times New Roman" w:hAnsi="Times New Roman" w:cs="Times New Roman"/>
            <w:bCs/>
            <w:color w:val="0000FF"/>
            <w:sz w:val="24"/>
            <w:szCs w:val="24"/>
            <w:lang w:val="en-IN"/>
          </w:rPr>
          <w:t>ltcosta@id.uff.br</w:t>
        </w:r>
      </w:hyperlink>
      <w:r w:rsidRPr="009C5ACD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IN"/>
        </w:rPr>
        <w:t xml:space="preserve"> </w:t>
      </w:r>
      <w:r w:rsidRPr="009C5ACD">
        <w:rPr>
          <w:rFonts w:ascii="Times New Roman" w:hAnsi="Times New Roman" w:cs="Times New Roman"/>
          <w:bCs/>
          <w:color w:val="0000FF"/>
          <w:sz w:val="24"/>
          <w:szCs w:val="24"/>
          <w:lang w:val="en-IN"/>
        </w:rPr>
        <w:t>&amp;</w:t>
      </w:r>
      <w:r w:rsidR="007855FC">
        <w:rPr>
          <w:rFonts w:ascii="Times New Roman" w:hAnsi="Times New Roman" w:cs="Times New Roman"/>
          <w:bCs/>
          <w:color w:val="0000FF"/>
          <w:sz w:val="24"/>
          <w:szCs w:val="24"/>
          <w:lang w:val="en-IN"/>
        </w:rPr>
        <w:t xml:space="preserve"> </w:t>
      </w:r>
      <w:r w:rsidR="007855FC" w:rsidRPr="003D1A65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IN"/>
        </w:rPr>
        <w:t xml:space="preserve">doriguetto@unifal-mg.edu.br </w:t>
      </w:r>
      <w:bookmarkEnd w:id="1"/>
    </w:p>
    <w:p w14:paraId="4AF6EE3C" w14:textId="77777777" w:rsidR="00800E91" w:rsidRDefault="00800E91" w:rsidP="00984B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</w:pPr>
    </w:p>
    <w:p w14:paraId="070ABEF9" w14:textId="0995980D" w:rsidR="00710768" w:rsidRPr="00984B35" w:rsidRDefault="00E84262" w:rsidP="00984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B35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CONTENT CAPTIONS</w:t>
      </w:r>
    </w:p>
    <w:tbl>
      <w:tblPr>
        <w:tblStyle w:val="TableGrid"/>
        <w:tblW w:w="10163" w:type="dxa"/>
        <w:tblInd w:w="-5" w:type="dxa"/>
        <w:tblLook w:val="04A0" w:firstRow="1" w:lastRow="0" w:firstColumn="1" w:lastColumn="0" w:noHBand="0" w:noVBand="1"/>
      </w:tblPr>
      <w:tblGrid>
        <w:gridCol w:w="1380"/>
        <w:gridCol w:w="7552"/>
        <w:gridCol w:w="1231"/>
      </w:tblGrid>
      <w:tr w:rsidR="00E84262" w14:paraId="003DF9A8" w14:textId="77777777" w:rsidTr="00984B35">
        <w:trPr>
          <w:trHeight w:val="349"/>
        </w:trPr>
        <w:tc>
          <w:tcPr>
            <w:tcW w:w="8932" w:type="dxa"/>
            <w:gridSpan w:val="2"/>
            <w:shd w:val="clear" w:color="auto" w:fill="E7E6E6" w:themeFill="background2"/>
          </w:tcPr>
          <w:p w14:paraId="4A35014D" w14:textId="7733D720" w:rsidR="00E84262" w:rsidRPr="00E84262" w:rsidRDefault="00E84262" w:rsidP="00E842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Figures</w:t>
            </w:r>
          </w:p>
        </w:tc>
        <w:tc>
          <w:tcPr>
            <w:tcW w:w="1231" w:type="dxa"/>
            <w:shd w:val="clear" w:color="auto" w:fill="E7E6E6" w:themeFill="background2"/>
          </w:tcPr>
          <w:p w14:paraId="0FB079D1" w14:textId="1E037C03" w:rsidR="00E84262" w:rsidRPr="00E84262" w:rsidRDefault="00E84262" w:rsidP="00E842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E84262" w14:paraId="58ED83F8" w14:textId="77777777" w:rsidTr="00984B35">
        <w:trPr>
          <w:trHeight w:val="884"/>
        </w:trPr>
        <w:tc>
          <w:tcPr>
            <w:tcW w:w="1380" w:type="dxa"/>
          </w:tcPr>
          <w:p w14:paraId="649F5462" w14:textId="7BBEAC33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S1</w:t>
            </w:r>
          </w:p>
        </w:tc>
        <w:tc>
          <w:tcPr>
            <w:tcW w:w="7552" w:type="dxa"/>
          </w:tcPr>
          <w:p w14:paraId="35A4A247" w14:textId="0301BD37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sz w:val="24"/>
                <w:szCs w:val="24"/>
              </w:rPr>
              <w:t>Gas-phase optimized geometries of CTD-I and CTD-II, including their stable conformer energy differences (in kcal/mol) and possible intramolecular interactions for each conformer.</w:t>
            </w:r>
          </w:p>
        </w:tc>
        <w:tc>
          <w:tcPr>
            <w:tcW w:w="1231" w:type="dxa"/>
          </w:tcPr>
          <w:p w14:paraId="4F750FD7" w14:textId="74BB2654" w:rsidR="00E84262" w:rsidRDefault="00984B35" w:rsidP="00984B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</w:tr>
      <w:tr w:rsidR="00E84262" w14:paraId="00B5E1E0" w14:textId="77777777" w:rsidTr="00984B35">
        <w:trPr>
          <w:trHeight w:val="709"/>
        </w:trPr>
        <w:tc>
          <w:tcPr>
            <w:tcW w:w="1380" w:type="dxa"/>
          </w:tcPr>
          <w:p w14:paraId="3BD04679" w14:textId="6BE7FAAA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S</w:t>
            </w:r>
            <w:r w:rsidR="00056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52" w:type="dxa"/>
          </w:tcPr>
          <w:p w14:paraId="5452547E" w14:textId="44AC9433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sz w:val="24"/>
                <w:szCs w:val="24"/>
              </w:rPr>
              <w:t>Peaks of the Raman spectra in the region related to breathing of the rings for CTD-I (A) and CTD-II (B).</w:t>
            </w:r>
          </w:p>
        </w:tc>
        <w:tc>
          <w:tcPr>
            <w:tcW w:w="1231" w:type="dxa"/>
          </w:tcPr>
          <w:p w14:paraId="402C5B43" w14:textId="523B2E3E" w:rsidR="00E84262" w:rsidRDefault="00984B35" w:rsidP="00984B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562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262" w14:paraId="1CC49820" w14:textId="77777777" w:rsidTr="00984B35">
        <w:trPr>
          <w:trHeight w:val="709"/>
        </w:trPr>
        <w:tc>
          <w:tcPr>
            <w:tcW w:w="1380" w:type="dxa"/>
          </w:tcPr>
          <w:p w14:paraId="5CA6FB41" w14:textId="22428E86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S</w:t>
            </w:r>
            <w:r w:rsidR="00056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52" w:type="dxa"/>
          </w:tcPr>
          <w:p w14:paraId="56348343" w14:textId="0E2687C9" w:rsidR="00E84262" w:rsidRPr="00984B35" w:rsidRDefault="00984B35" w:rsidP="0098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B35">
              <w:rPr>
                <w:rFonts w:ascii="Times New Roman" w:hAnsi="Times New Roman" w:cs="Times New Roman"/>
                <w:sz w:val="24"/>
                <w:szCs w:val="24"/>
              </w:rPr>
              <w:t xml:space="preserve">Packing structures of CTD-I (A) and CTD-II (B) along with the possible interactions.  </w:t>
            </w:r>
          </w:p>
        </w:tc>
        <w:tc>
          <w:tcPr>
            <w:tcW w:w="1231" w:type="dxa"/>
          </w:tcPr>
          <w:p w14:paraId="0D01E541" w14:textId="4DC000E8" w:rsidR="00E84262" w:rsidRDefault="00984B35" w:rsidP="00984B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56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474CC95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D938A8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5F7EA4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8A2BDA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C10E9C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5A23EE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213037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435DCA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71BD83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802E18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66D51B" w14:textId="77777777" w:rsidR="00710768" w:rsidRDefault="00710768" w:rsidP="00984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A2DC6" w14:textId="77777777" w:rsidR="00645ACD" w:rsidRDefault="00645ACD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8ACAEB" w14:textId="77777777" w:rsidR="00710768" w:rsidRDefault="00710768" w:rsidP="00EB06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975684" w14:textId="77777777" w:rsidR="00D55F4E" w:rsidRDefault="00D55F4E" w:rsidP="00645ACD">
      <w:pPr>
        <w:rPr>
          <w:rFonts w:ascii="Times New Roman" w:hAnsi="Times New Roman" w:cs="Times New Roman"/>
          <w:b/>
          <w:sz w:val="20"/>
          <w:szCs w:val="20"/>
        </w:rPr>
      </w:pPr>
      <w:r w:rsidRPr="00D55F4E">
        <w:rPr>
          <w:noProof/>
        </w:rPr>
        <w:drawing>
          <wp:inline distT="0" distB="0" distL="0" distR="0" wp14:anchorId="3A140211" wp14:editId="2CA00EA2">
            <wp:extent cx="5943600" cy="329376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EC1D2" w14:textId="77777777" w:rsidR="00645ACD" w:rsidRPr="00984B35" w:rsidRDefault="00645ACD" w:rsidP="001F34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B35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="00246595" w:rsidRPr="00984B35">
        <w:rPr>
          <w:rFonts w:ascii="Times New Roman" w:hAnsi="Times New Roman" w:cs="Times New Roman"/>
          <w:sz w:val="24"/>
          <w:szCs w:val="24"/>
        </w:rPr>
        <w:t xml:space="preserve">Gas-phase optimized geometries of CTD-I and CTD-II, including their stable conformer energy differences (in kcal/mol) and possible intramolecular interactions for each conformer. </w:t>
      </w:r>
    </w:p>
    <w:p w14:paraId="46BE7426" w14:textId="77777777" w:rsidR="00D076A9" w:rsidRDefault="00D076A9" w:rsidP="00710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BAD5D" w14:textId="77777777" w:rsidR="008A4BB5" w:rsidRDefault="008A4BB5" w:rsidP="00710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69571" w14:textId="77777777" w:rsidR="002C179A" w:rsidRDefault="002C179A" w:rsidP="00710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FBC90" w14:textId="77777777" w:rsidR="002C179A" w:rsidRDefault="002C179A" w:rsidP="002C179A">
      <w:pPr>
        <w:jc w:val="center"/>
        <w:rPr>
          <w:rFonts w:ascii="Arno Pro" w:hAnsi="Arno Pro"/>
        </w:rPr>
      </w:pPr>
      <w:r>
        <w:rPr>
          <w:rFonts w:ascii="Arno Pro" w:hAnsi="Arno Pro"/>
          <w:noProof/>
        </w:rPr>
        <w:lastRenderedPageBreak/>
        <w:drawing>
          <wp:inline distT="0" distB="0" distL="0" distR="0" wp14:anchorId="64744CA2" wp14:editId="5CACE05B">
            <wp:extent cx="5952773" cy="7315200"/>
            <wp:effectExtent l="0" t="0" r="0" b="0"/>
            <wp:docPr id="4" name="Picture 4" descr="ctdI-ctdII-hbond-ra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tdI-ctdII-hbond-rama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73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18FBE" w14:textId="41638140" w:rsidR="002C179A" w:rsidRPr="00984B35" w:rsidRDefault="002C179A" w:rsidP="002C179A">
      <w:pPr>
        <w:rPr>
          <w:rFonts w:ascii="Times New Roman" w:hAnsi="Times New Roman" w:cs="Times New Roman"/>
          <w:sz w:val="24"/>
          <w:szCs w:val="24"/>
        </w:rPr>
      </w:pPr>
      <w:r w:rsidRPr="00984B3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F467B" w:rsidRPr="00984B35">
        <w:rPr>
          <w:rFonts w:ascii="Times New Roman" w:hAnsi="Times New Roman" w:cs="Times New Roman"/>
          <w:b/>
          <w:sz w:val="24"/>
          <w:szCs w:val="24"/>
        </w:rPr>
        <w:t>S</w:t>
      </w:r>
      <w:r w:rsidR="0005623D">
        <w:rPr>
          <w:rFonts w:ascii="Times New Roman" w:hAnsi="Times New Roman" w:cs="Times New Roman"/>
          <w:b/>
          <w:sz w:val="24"/>
          <w:szCs w:val="24"/>
        </w:rPr>
        <w:t>2</w:t>
      </w:r>
      <w:r w:rsidRPr="00984B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4B35">
        <w:rPr>
          <w:rFonts w:ascii="Times New Roman" w:hAnsi="Times New Roman" w:cs="Times New Roman"/>
          <w:sz w:val="24"/>
          <w:szCs w:val="24"/>
        </w:rPr>
        <w:t>Peaks of the Raman spectra in the region related to brea</w:t>
      </w:r>
      <w:r w:rsidR="001A16E8" w:rsidRPr="00984B35">
        <w:rPr>
          <w:rFonts w:ascii="Times New Roman" w:hAnsi="Times New Roman" w:cs="Times New Roman"/>
          <w:sz w:val="24"/>
          <w:szCs w:val="24"/>
        </w:rPr>
        <w:t>thing of the rings for CTD-</w:t>
      </w:r>
      <w:r w:rsidRPr="00984B35">
        <w:rPr>
          <w:rFonts w:ascii="Times New Roman" w:hAnsi="Times New Roman" w:cs="Times New Roman"/>
          <w:sz w:val="24"/>
          <w:szCs w:val="24"/>
        </w:rPr>
        <w:t xml:space="preserve">I (A) and </w:t>
      </w:r>
      <w:r w:rsidR="001A16E8" w:rsidRPr="00984B35">
        <w:rPr>
          <w:rFonts w:ascii="Times New Roman" w:hAnsi="Times New Roman" w:cs="Times New Roman"/>
          <w:sz w:val="24"/>
          <w:szCs w:val="24"/>
        </w:rPr>
        <w:t xml:space="preserve">CTD-II </w:t>
      </w:r>
      <w:r w:rsidRPr="00984B35">
        <w:rPr>
          <w:rFonts w:ascii="Times New Roman" w:hAnsi="Times New Roman" w:cs="Times New Roman"/>
          <w:sz w:val="24"/>
          <w:szCs w:val="24"/>
        </w:rPr>
        <w:t>(B).</w:t>
      </w:r>
    </w:p>
    <w:p w14:paraId="21F4450A" w14:textId="77777777" w:rsidR="000F467B" w:rsidRPr="00984B35" w:rsidRDefault="000F467B" w:rsidP="000F4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B3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F27E669" wp14:editId="68BF44CD">
            <wp:extent cx="5921259" cy="64008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59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96261" w14:textId="5077DB43" w:rsidR="000F467B" w:rsidRPr="00984B35" w:rsidRDefault="000F467B" w:rsidP="000F467B">
      <w:pPr>
        <w:rPr>
          <w:rFonts w:ascii="Times New Roman" w:hAnsi="Times New Roman" w:cs="Times New Roman"/>
          <w:sz w:val="24"/>
          <w:szCs w:val="24"/>
        </w:rPr>
      </w:pPr>
      <w:r w:rsidRPr="00984B35">
        <w:rPr>
          <w:rFonts w:ascii="Times New Roman" w:hAnsi="Times New Roman" w:cs="Times New Roman"/>
          <w:b/>
          <w:sz w:val="24"/>
          <w:szCs w:val="24"/>
        </w:rPr>
        <w:t>Figure S</w:t>
      </w:r>
      <w:r w:rsidR="0005623D">
        <w:rPr>
          <w:rFonts w:ascii="Times New Roman" w:hAnsi="Times New Roman" w:cs="Times New Roman"/>
          <w:b/>
          <w:sz w:val="24"/>
          <w:szCs w:val="24"/>
        </w:rPr>
        <w:t>3</w:t>
      </w:r>
      <w:r w:rsidRPr="00984B35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Hlk195902121"/>
      <w:r w:rsidRPr="00984B35">
        <w:rPr>
          <w:rFonts w:ascii="Times New Roman" w:hAnsi="Times New Roman" w:cs="Times New Roman"/>
          <w:sz w:val="24"/>
          <w:szCs w:val="24"/>
        </w:rPr>
        <w:t xml:space="preserve">Packing structures of CTD-I (A) and CTD-II (B) along with the possible interactions.  </w:t>
      </w:r>
      <w:bookmarkEnd w:id="2"/>
    </w:p>
    <w:p w14:paraId="0A10039A" w14:textId="77777777" w:rsidR="000F467B" w:rsidRPr="002C179A" w:rsidRDefault="000F467B" w:rsidP="002C179A">
      <w:pPr>
        <w:rPr>
          <w:rFonts w:ascii="Times New Roman" w:hAnsi="Times New Roman" w:cs="Times New Roman"/>
          <w:sz w:val="20"/>
          <w:szCs w:val="24"/>
        </w:rPr>
      </w:pPr>
    </w:p>
    <w:p w14:paraId="2366CEB0" w14:textId="77777777" w:rsidR="002C179A" w:rsidRPr="002C179A" w:rsidRDefault="002C179A" w:rsidP="00710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179A" w:rsidRPr="002C179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4183" w14:textId="77777777" w:rsidR="00A9135F" w:rsidRDefault="00A9135F" w:rsidP="00E84262">
      <w:pPr>
        <w:spacing w:after="0" w:line="240" w:lineRule="auto"/>
      </w:pPr>
      <w:r>
        <w:separator/>
      </w:r>
    </w:p>
  </w:endnote>
  <w:endnote w:type="continuationSeparator" w:id="0">
    <w:p w14:paraId="12DCF40C" w14:textId="77777777" w:rsidR="00A9135F" w:rsidRDefault="00A9135F" w:rsidP="00E8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no Pro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94268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45BB7" w14:textId="2DBEE9DF" w:rsidR="00E84262" w:rsidRPr="00E84262" w:rsidRDefault="00E84262">
        <w:pPr>
          <w:pStyle w:val="Footer"/>
          <w:jc w:val="center"/>
          <w:rPr>
            <w:rFonts w:ascii="Times New Roman" w:hAnsi="Times New Roman" w:cs="Times New Roman"/>
          </w:rPr>
        </w:pPr>
        <w:r w:rsidRPr="00E84262">
          <w:rPr>
            <w:rFonts w:ascii="Times New Roman" w:hAnsi="Times New Roman" w:cs="Times New Roman"/>
          </w:rPr>
          <w:t>S</w:t>
        </w:r>
        <w:r w:rsidRPr="00E84262">
          <w:rPr>
            <w:rFonts w:ascii="Times New Roman" w:hAnsi="Times New Roman" w:cs="Times New Roman"/>
          </w:rPr>
          <w:fldChar w:fldCharType="begin"/>
        </w:r>
        <w:r w:rsidRPr="00E84262">
          <w:rPr>
            <w:rFonts w:ascii="Times New Roman" w:hAnsi="Times New Roman" w:cs="Times New Roman"/>
          </w:rPr>
          <w:instrText xml:space="preserve"> PAGE   \* MERGEFORMAT </w:instrText>
        </w:r>
        <w:r w:rsidRPr="00E84262">
          <w:rPr>
            <w:rFonts w:ascii="Times New Roman" w:hAnsi="Times New Roman" w:cs="Times New Roman"/>
          </w:rPr>
          <w:fldChar w:fldCharType="separate"/>
        </w:r>
        <w:r w:rsidRPr="00E84262">
          <w:rPr>
            <w:rFonts w:ascii="Times New Roman" w:hAnsi="Times New Roman" w:cs="Times New Roman"/>
            <w:noProof/>
          </w:rPr>
          <w:t>2</w:t>
        </w:r>
        <w:r w:rsidRPr="00E8426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49BC3E" w14:textId="77777777" w:rsidR="00E84262" w:rsidRDefault="00E84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9DE37" w14:textId="77777777" w:rsidR="00A9135F" w:rsidRDefault="00A9135F" w:rsidP="00E84262">
      <w:pPr>
        <w:spacing w:after="0" w:line="240" w:lineRule="auto"/>
      </w:pPr>
      <w:r>
        <w:separator/>
      </w:r>
    </w:p>
  </w:footnote>
  <w:footnote w:type="continuationSeparator" w:id="0">
    <w:p w14:paraId="12C07272" w14:textId="77777777" w:rsidR="00A9135F" w:rsidRDefault="00A9135F" w:rsidP="00E84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965"/>
    <w:rsid w:val="000042B0"/>
    <w:rsid w:val="00024A44"/>
    <w:rsid w:val="00027FD3"/>
    <w:rsid w:val="000460E5"/>
    <w:rsid w:val="0005623D"/>
    <w:rsid w:val="00097356"/>
    <w:rsid w:val="000A0288"/>
    <w:rsid w:val="000B3DEB"/>
    <w:rsid w:val="000D7790"/>
    <w:rsid w:val="000E0149"/>
    <w:rsid w:val="000E41AE"/>
    <w:rsid w:val="000F0F94"/>
    <w:rsid w:val="000F467B"/>
    <w:rsid w:val="001029DA"/>
    <w:rsid w:val="001116CC"/>
    <w:rsid w:val="00136F33"/>
    <w:rsid w:val="001370D1"/>
    <w:rsid w:val="00154C69"/>
    <w:rsid w:val="00157251"/>
    <w:rsid w:val="001714EF"/>
    <w:rsid w:val="00173448"/>
    <w:rsid w:val="00173A05"/>
    <w:rsid w:val="00174AEF"/>
    <w:rsid w:val="001A16E8"/>
    <w:rsid w:val="001D64DE"/>
    <w:rsid w:val="001F348F"/>
    <w:rsid w:val="00213A9C"/>
    <w:rsid w:val="00217456"/>
    <w:rsid w:val="00242E4A"/>
    <w:rsid w:val="002447AE"/>
    <w:rsid w:val="00245065"/>
    <w:rsid w:val="00246595"/>
    <w:rsid w:val="002931FE"/>
    <w:rsid w:val="002A2C4E"/>
    <w:rsid w:val="002C179A"/>
    <w:rsid w:val="002C7FF5"/>
    <w:rsid w:val="002D6AED"/>
    <w:rsid w:val="00313A89"/>
    <w:rsid w:val="003249E2"/>
    <w:rsid w:val="00325907"/>
    <w:rsid w:val="00326524"/>
    <w:rsid w:val="00341B8B"/>
    <w:rsid w:val="00351CB0"/>
    <w:rsid w:val="003560C3"/>
    <w:rsid w:val="003745DC"/>
    <w:rsid w:val="00393F20"/>
    <w:rsid w:val="003E35FC"/>
    <w:rsid w:val="003E3863"/>
    <w:rsid w:val="00405ACA"/>
    <w:rsid w:val="004338E2"/>
    <w:rsid w:val="00437762"/>
    <w:rsid w:val="004549E4"/>
    <w:rsid w:val="0045651A"/>
    <w:rsid w:val="00460DED"/>
    <w:rsid w:val="004870D0"/>
    <w:rsid w:val="0049244E"/>
    <w:rsid w:val="00492761"/>
    <w:rsid w:val="004A60E4"/>
    <w:rsid w:val="004A6769"/>
    <w:rsid w:val="004B77AC"/>
    <w:rsid w:val="00501856"/>
    <w:rsid w:val="00531C43"/>
    <w:rsid w:val="005344F7"/>
    <w:rsid w:val="00582C19"/>
    <w:rsid w:val="005C48C9"/>
    <w:rsid w:val="005C75F5"/>
    <w:rsid w:val="006072B2"/>
    <w:rsid w:val="00611D4A"/>
    <w:rsid w:val="00620745"/>
    <w:rsid w:val="00645ACD"/>
    <w:rsid w:val="0068184C"/>
    <w:rsid w:val="006C33DF"/>
    <w:rsid w:val="006D54DF"/>
    <w:rsid w:val="00710768"/>
    <w:rsid w:val="007562FD"/>
    <w:rsid w:val="00761CC0"/>
    <w:rsid w:val="007658A9"/>
    <w:rsid w:val="00767FA7"/>
    <w:rsid w:val="007855FC"/>
    <w:rsid w:val="00794CE1"/>
    <w:rsid w:val="00797040"/>
    <w:rsid w:val="00797560"/>
    <w:rsid w:val="007B1E8C"/>
    <w:rsid w:val="007B2C69"/>
    <w:rsid w:val="007C0F63"/>
    <w:rsid w:val="007D35A0"/>
    <w:rsid w:val="007F7AAB"/>
    <w:rsid w:val="00800E91"/>
    <w:rsid w:val="00854B49"/>
    <w:rsid w:val="00893FF1"/>
    <w:rsid w:val="008A4BB5"/>
    <w:rsid w:val="008D03A8"/>
    <w:rsid w:val="008F7089"/>
    <w:rsid w:val="009340C8"/>
    <w:rsid w:val="0093492F"/>
    <w:rsid w:val="00943944"/>
    <w:rsid w:val="009557A8"/>
    <w:rsid w:val="00955CEE"/>
    <w:rsid w:val="00961E16"/>
    <w:rsid w:val="00984B35"/>
    <w:rsid w:val="00995DEC"/>
    <w:rsid w:val="009B58F7"/>
    <w:rsid w:val="009C5ACD"/>
    <w:rsid w:val="009E0091"/>
    <w:rsid w:val="009E7AFD"/>
    <w:rsid w:val="009F0AFD"/>
    <w:rsid w:val="009F4E04"/>
    <w:rsid w:val="00A14606"/>
    <w:rsid w:val="00A63EF6"/>
    <w:rsid w:val="00A76F37"/>
    <w:rsid w:val="00A9135F"/>
    <w:rsid w:val="00A9789B"/>
    <w:rsid w:val="00AB3E93"/>
    <w:rsid w:val="00B1768E"/>
    <w:rsid w:val="00B31A28"/>
    <w:rsid w:val="00B72A4A"/>
    <w:rsid w:val="00B750BF"/>
    <w:rsid w:val="00B84273"/>
    <w:rsid w:val="00BA356B"/>
    <w:rsid w:val="00BB0B48"/>
    <w:rsid w:val="00BB63D3"/>
    <w:rsid w:val="00BB63E7"/>
    <w:rsid w:val="00C11C21"/>
    <w:rsid w:val="00C30BA1"/>
    <w:rsid w:val="00C937EE"/>
    <w:rsid w:val="00CE2A51"/>
    <w:rsid w:val="00CE3896"/>
    <w:rsid w:val="00CF38A2"/>
    <w:rsid w:val="00CF76DF"/>
    <w:rsid w:val="00D036FF"/>
    <w:rsid w:val="00D076A9"/>
    <w:rsid w:val="00D23F51"/>
    <w:rsid w:val="00D44320"/>
    <w:rsid w:val="00D55F4E"/>
    <w:rsid w:val="00D70C49"/>
    <w:rsid w:val="00D8502F"/>
    <w:rsid w:val="00DA2293"/>
    <w:rsid w:val="00DC3371"/>
    <w:rsid w:val="00E0743F"/>
    <w:rsid w:val="00E100E2"/>
    <w:rsid w:val="00E24BA5"/>
    <w:rsid w:val="00E2722A"/>
    <w:rsid w:val="00E36965"/>
    <w:rsid w:val="00E84262"/>
    <w:rsid w:val="00EA585B"/>
    <w:rsid w:val="00EB06FB"/>
    <w:rsid w:val="00EB13C6"/>
    <w:rsid w:val="00ED16B4"/>
    <w:rsid w:val="00ED3729"/>
    <w:rsid w:val="00F36CD7"/>
    <w:rsid w:val="00F60697"/>
    <w:rsid w:val="00F8794D"/>
    <w:rsid w:val="00FA6334"/>
    <w:rsid w:val="00FB1E1E"/>
    <w:rsid w:val="00FE4923"/>
    <w:rsid w:val="00FF08E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7239"/>
  <w15:chartTrackingRefBased/>
  <w15:docId w15:val="{28E1D56C-A608-4829-9209-8922BC41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06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1C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qFormat/>
    <w:rsid w:val="00460DED"/>
    <w:pPr>
      <w:widowControl w:val="0"/>
      <w:suppressAutoHyphens/>
      <w:spacing w:after="200" w:line="240" w:lineRule="auto"/>
    </w:pPr>
    <w:rPr>
      <w:rFonts w:ascii="Liberation Serif" w:eastAsia="Droid Sans" w:hAnsi="Liberation Serif" w:cs="FreeSans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4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4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262"/>
  </w:style>
  <w:style w:type="paragraph" w:styleId="Footer">
    <w:name w:val="footer"/>
    <w:basedOn w:val="Normal"/>
    <w:link w:val="FooterChar"/>
    <w:uiPriority w:val="99"/>
    <w:unhideWhenUsed/>
    <w:rsid w:val="00E84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262"/>
  </w:style>
  <w:style w:type="character" w:styleId="Hyperlink">
    <w:name w:val="Hyperlink"/>
    <w:basedOn w:val="DefaultParagraphFont"/>
    <w:uiPriority w:val="99"/>
    <w:unhideWhenUsed/>
    <w:rsid w:val="000A02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1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costa@id.uff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Nathiya s</cp:lastModifiedBy>
  <cp:revision>3</cp:revision>
  <cp:lastPrinted>2024-12-21T23:09:00Z</cp:lastPrinted>
  <dcterms:created xsi:type="dcterms:W3CDTF">2026-05-25T19:54:00Z</dcterms:created>
  <dcterms:modified xsi:type="dcterms:W3CDTF">2026-05-29T19:56:00Z</dcterms:modified>
</cp:coreProperties>
</file>