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Supplementary Information</w:t>
      </w:r>
    </w:p>
    <w:p>
      <w:pPr>
        <w:spacing w:after="200"/>
        <w:jc w:val="center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Two Discourses of the “Special Relationship”: A Comparative Linguistic and Political Discourse Analysis of English-Language Royal and Populist Speech — King Charles III’s State Visit to the United States, 28 April 2026</w:t>
      </w:r>
    </w:p>
    <w:p>
      <w:pPr>
        <w:spacing w:after="200" w:line="276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This Supplementary Information accompanies the article and is intended for publication with it. It provides the full statistical detail underlying the summarised Table 2 in the main text (Section S1), together with the coding and count documentation that allows every reported frequency to be reconstructed (Sections S2–S3) and the primary-source transcripts used (Section S4). It contains no information identifying the author.</w:t>
      </w:r>
    </w:p>
    <w:p>
      <w:pPr>
        <w:pStyle w:val="Heading1"/>
        <w:spacing w:after="160" w:before="32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S1. Full lexical statistics (Table S1)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Table S1 reports the complete item-by-item statistics summarised as Table 2 in the main text: raw counts, normalised frequencies per 1,000 tokens, the log-likelihood keyness statistic (G²), the Benjamini–Hochberg FDR-adjusted significance band, and the Log Ratio effect size with its 95% confidence interval. Sub-corpus sizes are Charles (Speeches B + D) = 5,010 tokens and Trump (Speeches A + C) = 2,729 tokens.</w:t>
      </w:r>
    </w:p>
    <w:p>
      <w:pPr>
        <w:spacing w:after="80" w:before="120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Table S1. Key lexical items by sub-corpus, with raw counts, normalised frequencies (per 1,000 tokens), keyness, FDR-adjusted significance, and Log Ratio (95% CI).</w:t>
      </w:r>
    </w:p>
    <w:tbl>
      <w:tblPr>
        <w:tblW w:type="dxa" w:w="8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80"/>
        <w:gridCol w:w="760"/>
        <w:gridCol w:w="740"/>
        <w:gridCol w:w="760"/>
        <w:gridCol w:w="740"/>
        <w:gridCol w:w="720"/>
        <w:gridCol w:w="980"/>
        <w:gridCol w:w="1660"/>
      </w:tblGrid>
      <w:tr>
        <w:trPr>
          <w:tblHeader/>
        </w:trPr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Item / cluster</w:t>
            </w:r>
          </w:p>
        </w:tc>
        <w:tc>
          <w:tcPr>
            <w:tcW w:type="dxa" w:w="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C raw</w:t>
            </w:r>
          </w:p>
        </w:tc>
        <w:tc>
          <w:tcPr>
            <w:tcW w:type="dxa" w:w="7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C/1k</w:t>
            </w:r>
          </w:p>
        </w:tc>
        <w:tc>
          <w:tcPr>
            <w:tcW w:type="dxa" w:w="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 raw</w:t>
            </w:r>
          </w:p>
        </w:tc>
        <w:tc>
          <w:tcPr>
            <w:tcW w:type="dxa" w:w="7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T/1k</w:t>
            </w:r>
          </w:p>
        </w:tc>
        <w:tc>
          <w:tcPr>
            <w:tcW w:type="dxa" w:w="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G²</w:t>
            </w:r>
          </w:p>
        </w:tc>
        <w:tc>
          <w:tcPr>
            <w:tcW w:type="dxa" w:w="9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q (BH)</w:t>
            </w:r>
          </w:p>
        </w:tc>
        <w:tc>
          <w:tcPr>
            <w:tcW w:type="dxa" w:w="1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Log Ratio [95% CI]</w:t>
            </w:r>
          </w:p>
        </w:tc>
      </w:tr>
      <w:tr>
        <w:trPr>
          <w:tblHeader w:val="false"/>
        </w:trPr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alliance / allies / allied</w:t>
            </w:r>
          </w:p>
        </w:tc>
        <w:tc>
          <w:tcPr>
            <w:tcW w:type="dxa" w:w="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27</w:t>
            </w:r>
          </w:p>
        </w:tc>
        <w:tc>
          <w:tcPr>
            <w:tcW w:type="dxa" w:w="7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5.4</w:t>
            </w:r>
          </w:p>
        </w:tc>
        <w:tc>
          <w:tcPr>
            <w:tcW w:type="dxa" w:w="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</w:t>
            </w:r>
          </w:p>
        </w:tc>
        <w:tc>
          <w:tcPr>
            <w:tcW w:type="dxa" w:w="7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0.4</w:t>
            </w:r>
          </w:p>
        </w:tc>
        <w:tc>
          <w:tcPr>
            <w:tcW w:type="dxa" w:w="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16.9</w:t>
            </w:r>
          </w:p>
        </w:tc>
        <w:tc>
          <w:tcPr>
            <w:tcW w:type="dxa" w:w="9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&lt;.001</w:t>
            </w:r>
          </w:p>
        </w:tc>
        <w:tc>
          <w:tcPr>
            <w:tcW w:type="dxa" w:w="1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+3.88 [1.00, 6.76]</w:t>
            </w:r>
          </w:p>
        </w:tc>
      </w:tr>
      <w:tr>
        <w:trPr>
          <w:tblHeader w:val="false"/>
        </w:trPr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partnership / partners</w:t>
            </w:r>
          </w:p>
        </w:tc>
        <w:tc>
          <w:tcPr>
            <w:tcW w:type="dxa" w:w="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23</w:t>
            </w:r>
          </w:p>
        </w:tc>
        <w:tc>
          <w:tcPr>
            <w:tcW w:type="dxa" w:w="7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4.6</w:t>
            </w:r>
          </w:p>
        </w:tc>
        <w:tc>
          <w:tcPr>
            <w:tcW w:type="dxa" w:w="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</w:t>
            </w:r>
          </w:p>
        </w:tc>
        <w:tc>
          <w:tcPr>
            <w:tcW w:type="dxa" w:w="7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</w:t>
            </w:r>
          </w:p>
        </w:tc>
        <w:tc>
          <w:tcPr>
            <w:tcW w:type="dxa" w:w="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20.0</w:t>
            </w:r>
          </w:p>
        </w:tc>
        <w:tc>
          <w:tcPr>
            <w:tcW w:type="dxa" w:w="9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&lt;.001</w:t>
            </w:r>
          </w:p>
        </w:tc>
        <w:tc>
          <w:tcPr>
            <w:tcW w:type="dxa" w:w="1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+4.65 [0.60, 8.69]†</w:t>
            </w:r>
          </w:p>
        </w:tc>
      </w:tr>
      <w:tr>
        <w:trPr>
          <w:tblHeader w:val="false"/>
        </w:trPr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NATO / AUKUS</w:t>
            </w:r>
          </w:p>
        </w:tc>
        <w:tc>
          <w:tcPr>
            <w:tcW w:type="dxa" w:w="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27</w:t>
            </w:r>
          </w:p>
        </w:tc>
        <w:tc>
          <w:tcPr>
            <w:tcW w:type="dxa" w:w="7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5.4</w:t>
            </w:r>
          </w:p>
        </w:tc>
        <w:tc>
          <w:tcPr>
            <w:tcW w:type="dxa" w:w="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</w:t>
            </w:r>
          </w:p>
        </w:tc>
        <w:tc>
          <w:tcPr>
            <w:tcW w:type="dxa" w:w="7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</w:t>
            </w:r>
          </w:p>
        </w:tc>
        <w:tc>
          <w:tcPr>
            <w:tcW w:type="dxa" w:w="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23.5</w:t>
            </w:r>
          </w:p>
        </w:tc>
        <w:tc>
          <w:tcPr>
            <w:tcW w:type="dxa" w:w="9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&lt;.001</w:t>
            </w:r>
          </w:p>
        </w:tc>
        <w:tc>
          <w:tcPr>
            <w:tcW w:type="dxa" w:w="1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+4.88 [0.84, 8.91]†</w:t>
            </w:r>
          </w:p>
        </w:tc>
      </w:tr>
      <w:tr>
        <w:trPr>
          <w:tblHeader w:val="false"/>
        </w:trPr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Commonwealth</w:t>
            </w:r>
          </w:p>
        </w:tc>
        <w:tc>
          <w:tcPr>
            <w:tcW w:type="dxa" w:w="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7</w:t>
            </w:r>
          </w:p>
        </w:tc>
        <w:tc>
          <w:tcPr>
            <w:tcW w:type="dxa" w:w="7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1.4</w:t>
            </w:r>
          </w:p>
        </w:tc>
        <w:tc>
          <w:tcPr>
            <w:tcW w:type="dxa" w:w="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type="dxa" w:w="7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0.0</w:t>
            </w:r>
          </w:p>
        </w:tc>
        <w:tc>
          <w:tcPr>
            <w:tcW w:type="dxa" w:w="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6.1</w:t>
            </w:r>
          </w:p>
        </w:tc>
        <w:tc>
          <w:tcPr>
            <w:tcW w:type="dxa" w:w="9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i/>
                <w:iCs/>
                <w:sz w:val="18"/>
                <w:szCs w:val="18"/>
              </w:rPr>
              <w:t xml:space="preserve">.062 n.s.</w:t>
            </w:r>
          </w:p>
        </w:tc>
        <w:tc>
          <w:tcPr>
            <w:tcW w:type="dxa" w:w="1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i/>
                <w:iCs/>
                <w:sz w:val="18"/>
                <w:szCs w:val="18"/>
              </w:rPr>
              <w:t xml:space="preserve">+2.93 [−1.21, 7.07]†</w:t>
            </w:r>
          </w:p>
        </w:tc>
      </w:tr>
      <w:tr>
        <w:trPr>
          <w:tblHeader w:val="false"/>
        </w:trPr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constitution / constit’l / law</w:t>
            </w:r>
          </w:p>
        </w:tc>
        <w:tc>
          <w:tcPr>
            <w:tcW w:type="dxa" w:w="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18</w:t>
            </w:r>
          </w:p>
        </w:tc>
        <w:tc>
          <w:tcPr>
            <w:tcW w:type="dxa" w:w="7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3.6</w:t>
            </w:r>
          </w:p>
        </w:tc>
        <w:tc>
          <w:tcPr>
            <w:tcW w:type="dxa" w:w="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</w:t>
            </w:r>
          </w:p>
        </w:tc>
        <w:tc>
          <w:tcPr>
            <w:tcW w:type="dxa" w:w="7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0.7</w:t>
            </w:r>
          </w:p>
        </w:tc>
        <w:tc>
          <w:tcPr>
            <w:tcW w:type="dxa" w:w="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6.8</w:t>
            </w:r>
          </w:p>
        </w:tc>
        <w:tc>
          <w:tcPr>
            <w:tcW w:type="dxa" w:w="9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&lt;.05</w:t>
            </w:r>
          </w:p>
        </w:tc>
        <w:tc>
          <w:tcPr>
            <w:tcW w:type="dxa" w:w="1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+2.29 [0.19, 4.40]</w:t>
            </w:r>
          </w:p>
        </w:tc>
      </w:tr>
      <w:tr>
        <w:trPr>
          <w:tblHeader w:val="false"/>
        </w:trPr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checks and balances</w:t>
            </w:r>
          </w:p>
        </w:tc>
        <w:tc>
          <w:tcPr>
            <w:tcW w:type="dxa" w:w="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5</w:t>
            </w:r>
          </w:p>
        </w:tc>
        <w:tc>
          <w:tcPr>
            <w:tcW w:type="dxa" w:w="7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1.0</w:t>
            </w:r>
          </w:p>
        </w:tc>
        <w:tc>
          <w:tcPr>
            <w:tcW w:type="dxa" w:w="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type="dxa" w:w="7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0.0</w:t>
            </w:r>
          </w:p>
        </w:tc>
        <w:tc>
          <w:tcPr>
            <w:tcW w:type="dxa" w:w="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4.3</w:t>
            </w:r>
          </w:p>
        </w:tc>
        <w:tc>
          <w:tcPr>
            <w:tcW w:type="dxa" w:w="9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i/>
                <w:iCs/>
                <w:sz w:val="18"/>
                <w:szCs w:val="18"/>
              </w:rPr>
              <w:t xml:space="preserve">.169 n.s.</w:t>
            </w:r>
          </w:p>
        </w:tc>
        <w:tc>
          <w:tcPr>
            <w:tcW w:type="dxa" w:w="1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i/>
                <w:iCs/>
                <w:sz w:val="18"/>
                <w:szCs w:val="18"/>
              </w:rPr>
              <w:t xml:space="preserve">+2.45 [−1.75, 6.64]†</w:t>
            </w:r>
          </w:p>
        </w:tc>
      </w:tr>
      <w:tr>
        <w:trPr>
          <w:tblHeader w:val="false"/>
        </w:trPr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multilateral / institutions</w:t>
            </w:r>
          </w:p>
        </w:tc>
        <w:tc>
          <w:tcPr>
            <w:tcW w:type="dxa" w:w="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8</w:t>
            </w:r>
          </w:p>
        </w:tc>
        <w:tc>
          <w:tcPr>
            <w:tcW w:type="dxa" w:w="7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1.6</w:t>
            </w:r>
          </w:p>
        </w:tc>
        <w:tc>
          <w:tcPr>
            <w:tcW w:type="dxa" w:w="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type="dxa" w:w="7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0.0</w:t>
            </w:r>
          </w:p>
        </w:tc>
        <w:tc>
          <w:tcPr>
            <w:tcW w:type="dxa" w:w="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7.0</w:t>
            </w:r>
          </w:p>
        </w:tc>
        <w:tc>
          <w:tcPr>
            <w:tcW w:type="dxa" w:w="9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i/>
                <w:iCs/>
                <w:sz w:val="18"/>
                <w:szCs w:val="18"/>
              </w:rPr>
              <w:t xml:space="preserve">.062 n.s.</w:t>
            </w:r>
          </w:p>
        </w:tc>
        <w:tc>
          <w:tcPr>
            <w:tcW w:type="dxa" w:w="1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i/>
                <w:iCs/>
                <w:sz w:val="18"/>
                <w:szCs w:val="18"/>
              </w:rPr>
              <w:t xml:space="preserve">+3.12 [−1.00, 7.25]†</w:t>
            </w:r>
          </w:p>
        </w:tc>
      </w:tr>
      <w:tr>
        <w:trPr>
          <w:tblHeader w:val="false"/>
        </w:trPr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blood / veins / hearts beat</w:t>
            </w:r>
          </w:p>
        </w:tc>
        <w:tc>
          <w:tcPr>
            <w:tcW w:type="dxa" w:w="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</w:t>
            </w:r>
          </w:p>
        </w:tc>
        <w:tc>
          <w:tcPr>
            <w:tcW w:type="dxa" w:w="7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</w:t>
            </w:r>
          </w:p>
        </w:tc>
        <w:tc>
          <w:tcPr>
            <w:tcW w:type="dxa" w:w="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15</w:t>
            </w:r>
          </w:p>
        </w:tc>
        <w:tc>
          <w:tcPr>
            <w:tcW w:type="dxa" w:w="7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5.5</w:t>
            </w:r>
          </w:p>
        </w:tc>
        <w:tc>
          <w:tcPr>
            <w:tcW w:type="dxa" w:w="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31.3</w:t>
            </w:r>
          </w:p>
        </w:tc>
        <w:tc>
          <w:tcPr>
            <w:tcW w:type="dxa" w:w="9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&lt;.001</w:t>
            </w:r>
          </w:p>
        </w:tc>
        <w:tc>
          <w:tcPr>
            <w:tcW w:type="dxa" w:w="1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−5.78 [−9.85, −1.72]†</w:t>
            </w:r>
          </w:p>
        </w:tc>
      </w:tr>
      <w:tr>
        <w:trPr>
          <w:tblHeader w:val="false"/>
        </w:trPr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heritage / inheritance / ancestors</w:t>
            </w:r>
          </w:p>
        </w:tc>
        <w:tc>
          <w:tcPr>
            <w:tcW w:type="dxa" w:w="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</w:t>
            </w:r>
          </w:p>
        </w:tc>
        <w:tc>
          <w:tcPr>
            <w:tcW w:type="dxa" w:w="7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</w:t>
            </w:r>
          </w:p>
        </w:tc>
        <w:tc>
          <w:tcPr>
            <w:tcW w:type="dxa" w:w="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23</w:t>
            </w:r>
          </w:p>
        </w:tc>
        <w:tc>
          <w:tcPr>
            <w:tcW w:type="dxa" w:w="7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8.4</w:t>
            </w:r>
          </w:p>
        </w:tc>
        <w:tc>
          <w:tcPr>
            <w:tcW w:type="dxa" w:w="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32.0</w:t>
            </w:r>
          </w:p>
        </w:tc>
        <w:tc>
          <w:tcPr>
            <w:tcW w:type="dxa" w:w="9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&lt;.001</w:t>
            </w:r>
          </w:p>
        </w:tc>
        <w:tc>
          <w:tcPr>
            <w:tcW w:type="dxa" w:w="1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−3.82 [−5.55, −2.08]</w:t>
            </w:r>
          </w:p>
        </w:tc>
      </w:tr>
      <w:tr>
        <w:trPr>
          <w:tblHeader w:val="false"/>
        </w:trPr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mother country / Anglo-Saxon</w:t>
            </w:r>
          </w:p>
        </w:tc>
        <w:tc>
          <w:tcPr>
            <w:tcW w:type="dxa" w:w="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</w:t>
            </w:r>
          </w:p>
        </w:tc>
        <w:tc>
          <w:tcPr>
            <w:tcW w:type="dxa" w:w="7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</w:t>
            </w:r>
          </w:p>
        </w:tc>
        <w:tc>
          <w:tcPr>
            <w:tcW w:type="dxa" w:w="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7</w:t>
            </w:r>
          </w:p>
        </w:tc>
        <w:tc>
          <w:tcPr>
            <w:tcW w:type="dxa" w:w="7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2.6</w:t>
            </w:r>
          </w:p>
        </w:tc>
        <w:tc>
          <w:tcPr>
            <w:tcW w:type="dxa" w:w="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14.6</w:t>
            </w:r>
          </w:p>
        </w:tc>
        <w:tc>
          <w:tcPr>
            <w:tcW w:type="dxa" w:w="9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&lt;.01</w:t>
            </w:r>
          </w:p>
        </w:tc>
        <w:tc>
          <w:tcPr>
            <w:tcW w:type="dxa" w:w="1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−4.68 [−8.82, −0.54]†</w:t>
            </w:r>
          </w:p>
        </w:tc>
      </w:tr>
      <w:tr>
        <w:trPr>
          <w:tblHeader w:val="false"/>
        </w:trPr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greatest / great</w:t>
            </w:r>
          </w:p>
        </w:tc>
        <w:tc>
          <w:tcPr>
            <w:tcW w:type="dxa" w:w="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7</w:t>
            </w:r>
          </w:p>
        </w:tc>
        <w:tc>
          <w:tcPr>
            <w:tcW w:type="dxa" w:w="7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1.4</w:t>
            </w:r>
          </w:p>
        </w:tc>
        <w:tc>
          <w:tcPr>
            <w:tcW w:type="dxa" w:w="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26</w:t>
            </w:r>
          </w:p>
        </w:tc>
        <w:tc>
          <w:tcPr>
            <w:tcW w:type="dxa" w:w="7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9.5</w:t>
            </w:r>
          </w:p>
        </w:tc>
        <w:tc>
          <w:tcPr>
            <w:tcW w:type="dxa" w:w="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26.2</w:t>
            </w:r>
          </w:p>
        </w:tc>
        <w:tc>
          <w:tcPr>
            <w:tcW w:type="dxa" w:w="9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&lt;.001</w:t>
            </w:r>
          </w:p>
        </w:tc>
        <w:tc>
          <w:tcPr>
            <w:tcW w:type="dxa" w:w="1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−2.77 [−3.97, −1.57]</w:t>
            </w:r>
          </w:p>
        </w:tc>
      </w:tr>
      <w:tr>
        <w:trPr>
          <w:tblHeader w:val="false"/>
        </w:trPr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tremendous / fantastic / unbreakable</w:t>
            </w:r>
          </w:p>
        </w:tc>
        <w:tc>
          <w:tcPr>
            <w:tcW w:type="dxa" w:w="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</w:t>
            </w:r>
          </w:p>
        </w:tc>
        <w:tc>
          <w:tcPr>
            <w:tcW w:type="dxa" w:w="7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</w:t>
            </w:r>
          </w:p>
        </w:tc>
        <w:tc>
          <w:tcPr>
            <w:tcW w:type="dxa" w:w="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18</w:t>
            </w:r>
          </w:p>
        </w:tc>
        <w:tc>
          <w:tcPr>
            <w:tcW w:type="dxa" w:w="7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6.6</w:t>
            </w:r>
          </w:p>
        </w:tc>
        <w:tc>
          <w:tcPr>
            <w:tcW w:type="dxa" w:w="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37.5</w:t>
            </w:r>
          </w:p>
        </w:tc>
        <w:tc>
          <w:tcPr>
            <w:tcW w:type="dxa" w:w="9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&lt;.001</w:t>
            </w:r>
          </w:p>
        </w:tc>
        <w:tc>
          <w:tcPr>
            <w:tcW w:type="dxa" w:w="1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−6.05 [−10.10, −1.99]†</w:t>
            </w:r>
          </w:p>
        </w:tc>
      </w:tr>
      <w:tr>
        <w:trPr>
          <w:tblHeader w:val="false"/>
        </w:trPr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eternal / forever / priceless</w:t>
            </w:r>
          </w:p>
        </w:tc>
        <w:tc>
          <w:tcPr>
            <w:tcW w:type="dxa" w:w="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</w:t>
            </w:r>
          </w:p>
        </w:tc>
        <w:tc>
          <w:tcPr>
            <w:tcW w:type="dxa" w:w="7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0.2</w:t>
            </w:r>
          </w:p>
        </w:tc>
        <w:tc>
          <w:tcPr>
            <w:tcW w:type="dxa" w:w="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15</w:t>
            </w:r>
          </w:p>
        </w:tc>
        <w:tc>
          <w:tcPr>
            <w:tcW w:type="dxa" w:w="7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5.5</w:t>
            </w:r>
          </w:p>
        </w:tc>
        <w:tc>
          <w:tcPr>
            <w:tcW w:type="dxa" w:w="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24.7</w:t>
            </w:r>
          </w:p>
        </w:tc>
        <w:tc>
          <w:tcPr>
            <w:tcW w:type="dxa" w:w="9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&lt;.001</w:t>
            </w:r>
          </w:p>
        </w:tc>
        <w:tc>
          <w:tcPr>
            <w:tcW w:type="dxa" w:w="1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−4.78 [−7.70, −1.86]</w:t>
            </w:r>
          </w:p>
        </w:tc>
      </w:tr>
    </w:tbl>
    <w:p>
      <w:pPr>
        <w:spacing w:after="200" w:before="60"/>
      </w:pPr>
      <w:r>
        <w:rPr>
          <w:rFonts w:ascii="Times New Roman" w:cs="Times New Roman" w:eastAsia="Times New Roman" w:hAnsi="Times New Roman"/>
          <w:i/>
          <w:iCs/>
          <w:color w:val="444444"/>
          <w:sz w:val="18"/>
          <w:szCs w:val="18"/>
        </w:rPr>
        <w:t xml:space="preserve">Note. G² = log-likelihood (1 df); critical values 3.84 (p &lt; .05), 6.63 (p &lt; .01), 10.83 (p &lt; .001), 15.13 (p &lt; .0001). q (BH) = Benjamini–Hochberg FDR-adjusted significance band; “n.s.” = not significant after correction. Positive Log Ratio favours Charles, negative favours Trump; one unit = one doubling of the relative rate. † = a +0.5 smoothing constant was applied to a zero cell, so the Log Ratio and its interval are estimates. Fisher’s exact test agreed with G² on every item. A significance test is not a substitute for interpretive significance: in so small a corpus an item may carry interpretive weight without reaching significance, and a significant item may be driven by a single dense passage — hence the dispersion note and the exclusion of the three n.s. items from the argument in the main text.</w:t>
      </w:r>
    </w:p>
    <w:p>
      <w:pPr>
        <w:pStyle w:val="Heading1"/>
        <w:spacing w:after="160" w:before="32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S2. Coding manual (summary)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Tokenisation. A token is a whitespace-and-punctuation-delimited orthographic word; stage directions, audience-reaction markers, and bracketed editorial insertions are excluded. The same rule set was applied uniformly to all four as-delivered texts.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Lexical fields. Content words were assigned to semantic fields by hand; clusters group morphological variants and near-synonyms fixed before significance testing to avoid post-hoc selection.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Pronouns. First- and second-person pronominal tokens were annotated for form and, for first-person plural, for referential scope (inclusive Anglo-American; multilateral; British-only; American-ancestral; other/ambiguous).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Modality. Modal verbs and adjuncts were classified as epistemic or deontic; the central tested contrast is aggregate epistemic hedging versus categorical/absolute marking.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Speech acts. Each illocutionary unit was coded once into one of Searle’s (1969) five categories by two independent coders (overall κ = 0.79; Krippendorff’s α = 0.78). The veiled-directive binary judgement (κ = 0.71) used two formal criteria: declarative mood and independently judged high contextual illocutionary force; audience response was recorded separately as weak corroborating evidence only.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Metaphor. Metaphorically used words were identified using the Pragglejaz Group’s (2007) MIP protocol by two analysts, with disagreements resolved by discussion.</w:t>
      </w:r>
    </w:p>
    <w:p>
      <w:pPr>
        <w:pStyle w:val="Heading1"/>
        <w:spacing w:after="160" w:before="32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S3. Count documentation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Sub-corpus sizes: Charles = Speech B (3,512 tokens) + Speech D (1,498) = 5,010; Trump = Speech A (1,486) + Speech C (1,243) = 2,729. Dispersion is recorded as presence in one or both of the relevant speaker’s two speeches; every FDR-significant item occurs in both speeches except mother country/Anglo-Saxon and the eternal/forever cluster (Speech A only).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Aggregate modality test: epistemic hedges Charles 25 (5.0/1,000) vs Trump 2 (0.7/1,000); categorical markers Charles 2 (0.4) vs Trump 14 (5.1); log-likelihood G² = 17.8, p &lt; .001; Fisher p &lt; .001.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Coded illocutionary units: Charles n = 271; Trump n = 122.</w:t>
      </w:r>
    </w:p>
    <w:p>
      <w:pPr>
        <w:pStyle w:val="Heading1"/>
        <w:spacing w:after="160" w:before="32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S4. Primary-source transcripts</w:t>
      </w:r>
    </w:p>
    <w:p>
      <w:pPr>
        <w:pStyle w:val="ListParagraph"/>
        <w:numPr>
          <w:ilvl w:val="0"/>
          <w:numId w:val="2"/>
        </w:numPr>
        <w:spacing w:after="100" w:line="276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Speech A — Trump, Welcoming remarks, State Arrival Ceremony, 28 April 2026 (The White House; cross-checked against Associated Press and CBS News).</w:t>
      </w:r>
    </w:p>
    <w:p>
      <w:pPr>
        <w:pStyle w:val="ListParagraph"/>
        <w:numPr>
          <w:ilvl w:val="0"/>
          <w:numId w:val="2"/>
        </w:numPr>
        <w:spacing w:after="100" w:line="276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Speech B — King Charles III, Address to a Joint Meeting of Congress, 28 April 2026 (Royal.uk; Congressional Record, Vol. 172, No. 74; C-SPAN video).</w:t>
      </w:r>
    </w:p>
    <w:p>
      <w:pPr>
        <w:pStyle w:val="ListParagraph"/>
        <w:numPr>
          <w:ilvl w:val="0"/>
          <w:numId w:val="2"/>
        </w:numPr>
        <w:spacing w:after="100" w:line="276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Speech C — Trump, Toast at the State Dinner, 28 April 2026 (Roll Call/Factba.se).</w:t>
      </w:r>
    </w:p>
    <w:p>
      <w:pPr>
        <w:pStyle w:val="ListParagraph"/>
        <w:numPr>
          <w:ilvl w:val="0"/>
          <w:numId w:val="2"/>
        </w:numPr>
        <w:spacing w:after="100" w:line="276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Speech D — King Charles III, Toast at the State Dinner, 28 April 2026 (Royal.uk; full text also published by ABC News).</w:t>
      </w:r>
    </w:p>
    <w:p>
      <w:pPr>
        <w:spacing w:after="200" w:before="60"/>
      </w:pPr>
      <w:r>
        <w:rPr>
          <w:rFonts w:ascii="Times New Roman" w:cs="Times New Roman" w:eastAsia="Times New Roman" w:hAnsi="Times New Roman"/>
          <w:i/>
          <w:iCs/>
          <w:color w:val="444444"/>
          <w:sz w:val="18"/>
          <w:szCs w:val="18"/>
        </w:rPr>
        <w:t xml:space="preserve">Note. Stable URLs and access dates appear in the reference list of the main article. The annotated corpus files (tokenised texts, tags, annotations, codings, and per-item counts) constitute the data deposit referenced in the Data availability statement; the repository entry will not identify the author.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color w:val="999999"/>
        <w:sz w:val="16"/>
        <w:szCs w:val="16"/>
      </w:rPr>
      <w:t xml:space="preserve">S</w:t>
    </w:r>
    <w:r>
      <w:rPr>
        <w:rFonts w:ascii="Times New Roman" w:cs="Times New Roman" w:eastAsia="Times New Roman" w:hAnsi="Times New Roman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Times New Roman" w:cs="Times New Roman" w:eastAsia="Times New Roman" w:hAnsi="Times New Roman"/>
        <w:color w:val="999999"/>
        <w:sz w:val="16"/>
        <w:szCs w:val="16"/>
      </w:rPr>
      <w:t xml:space="preserve">Supplementary Information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Times New Roman" w:cs="Times New Roman" w:eastAsia="Times New Roman" w:hAnsi="Times New Roman"/>
      <w:b/>
      <w:bCs/>
      <w:color w:val="1A1A1A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Times New Roman" w:cs="Times New Roman" w:eastAsia="Times New Roman" w:hAnsi="Times New Roman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2026-06-04T11:26:09.318Z</dcterms:created>
  <dcterms:modified xsi:type="dcterms:W3CDTF">2026-06-04T11:26:09.329Z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