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9F61" w14:textId="77777777" w:rsidR="00B53A43" w:rsidRDefault="00B53A43">
      <w:pPr>
        <w:spacing w:after="80"/>
      </w:pPr>
    </w:p>
    <w:p w14:paraId="490F35BD" w14:textId="77777777" w:rsidR="00B53A43" w:rsidRDefault="00B53A43">
      <w:pPr>
        <w:spacing w:after="80"/>
      </w:pPr>
    </w:p>
    <w:p w14:paraId="678D63E8" w14:textId="77777777" w:rsidR="00B53A43" w:rsidRDefault="00000000">
      <w:pPr>
        <w:spacing w:after="160"/>
      </w:pPr>
      <w:r>
        <w:rPr>
          <w:b/>
          <w:bCs/>
          <w:color w:val="1B3A6B"/>
          <w:sz w:val="32"/>
          <w:szCs w:val="32"/>
        </w:rPr>
        <w:t>Appendix 1</w:t>
      </w:r>
    </w:p>
    <w:p w14:paraId="28E68501" w14:textId="49F6B590" w:rsidR="00B53A43" w:rsidRDefault="00000000" w:rsidP="00991936">
      <w:pPr>
        <w:pBdr>
          <w:bottom w:val="single" w:sz="8" w:space="1" w:color="1B3A6B"/>
        </w:pBdr>
        <w:spacing w:after="240"/>
      </w:pPr>
      <w:r>
        <w:rPr>
          <w:b/>
          <w:bCs/>
          <w:color w:val="1B3A6B"/>
          <w:sz w:val="28"/>
          <w:szCs w:val="28"/>
        </w:rPr>
        <w:t xml:space="preserve">Comparative Legal Analysis of Pharmaceutical IP and Trade Provisions in CAFTA-DR, </w:t>
      </w:r>
      <w:proofErr w:type="spellStart"/>
      <w:r>
        <w:rPr>
          <w:b/>
          <w:bCs/>
          <w:color w:val="1B3A6B"/>
          <w:sz w:val="28"/>
          <w:szCs w:val="28"/>
        </w:rPr>
        <w:t>EU-CARIFORUM-EPA</w:t>
      </w:r>
      <w:proofErr w:type="spellEnd"/>
      <w:r>
        <w:rPr>
          <w:b/>
          <w:bCs/>
          <w:color w:val="1B3A6B"/>
          <w:sz w:val="28"/>
          <w:szCs w:val="28"/>
        </w:rPr>
        <w:t>, and the EU-CA Association Agreemen</w:t>
      </w:r>
      <w:r w:rsidR="00991936">
        <w:rPr>
          <w:b/>
          <w:bCs/>
          <w:color w:val="1B3A6B"/>
          <w:sz w:val="28"/>
          <w:szCs w:val="28"/>
        </w:rPr>
        <w:t>t</w:t>
      </w:r>
    </w:p>
    <w:p w14:paraId="2E8948D0" w14:textId="77777777" w:rsidR="00B53A43" w:rsidRDefault="00B53A43">
      <w:pPr>
        <w:spacing w:after="80"/>
      </w:pPr>
    </w:p>
    <w:p w14:paraId="63BB180C" w14:textId="77777777" w:rsidR="00B53A43" w:rsidRDefault="00B53A43">
      <w:pPr>
        <w:spacing w:after="80"/>
      </w:pPr>
    </w:p>
    <w:p w14:paraId="1B965EF3" w14:textId="77777777" w:rsidR="00B53A43" w:rsidRDefault="00B53A43">
      <w:pPr>
        <w:sectPr w:rsidR="00B53A43">
          <w:pgSz w:w="11906" w:h="16838"/>
          <w:pgMar w:top="1440" w:right="1440" w:bottom="1440" w:left="1440" w:header="708" w:footer="708" w:gutter="0"/>
          <w:cols w:space="720"/>
          <w:docGrid w:linePitch="360"/>
        </w:sectPr>
      </w:pPr>
    </w:p>
    <w:tbl>
      <w:tblPr>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90"/>
        <w:gridCol w:w="3010"/>
        <w:gridCol w:w="2800"/>
        <w:gridCol w:w="2800"/>
        <w:gridCol w:w="4530"/>
      </w:tblGrid>
      <w:tr w:rsidR="00B53A43" w14:paraId="70A693F9" w14:textId="77777777" w:rsidTr="009D60A7">
        <w:tblPrEx>
          <w:tblCellMar>
            <w:top w:w="0" w:type="dxa"/>
            <w:bottom w:w="0" w:type="dxa"/>
          </w:tblCellMar>
        </w:tblPrEx>
        <w:trPr>
          <w:tblHeader/>
        </w:trPr>
        <w:tc>
          <w:tcPr>
            <w:tcW w:w="1890" w:type="dxa"/>
            <w:tcBorders>
              <w:top w:val="none" w:sz="0" w:space="0" w:color="FFFFFF"/>
              <w:left w:val="none" w:sz="0" w:space="0" w:color="FFFFFF"/>
              <w:bottom w:val="none" w:sz="0" w:space="0" w:color="FFFFFF"/>
              <w:right w:val="none" w:sz="0" w:space="0" w:color="FFFFFF"/>
            </w:tcBorders>
            <w:shd w:val="clear" w:color="auto" w:fill="1B3A6B"/>
            <w:tcMar>
              <w:top w:w="100" w:type="dxa"/>
              <w:left w:w="140" w:type="dxa"/>
              <w:bottom w:w="100" w:type="dxa"/>
              <w:right w:w="140" w:type="dxa"/>
            </w:tcMar>
            <w:vAlign w:val="center"/>
          </w:tcPr>
          <w:p w14:paraId="72C55AE7" w14:textId="77777777" w:rsidR="00B53A43" w:rsidRDefault="00000000">
            <w:r>
              <w:rPr>
                <w:b/>
                <w:bCs/>
                <w:color w:val="FFFFFF"/>
                <w:sz w:val="20"/>
                <w:szCs w:val="20"/>
              </w:rPr>
              <w:lastRenderedPageBreak/>
              <w:t>Provision Category</w:t>
            </w:r>
          </w:p>
        </w:tc>
        <w:tc>
          <w:tcPr>
            <w:tcW w:w="3010" w:type="dxa"/>
            <w:tcBorders>
              <w:top w:val="none" w:sz="0" w:space="0" w:color="FFFFFF"/>
              <w:left w:val="none" w:sz="0" w:space="0" w:color="FFFFFF"/>
              <w:bottom w:val="none" w:sz="0" w:space="0" w:color="FFFFFF"/>
              <w:right w:val="none" w:sz="0" w:space="0" w:color="FFFFFF"/>
            </w:tcBorders>
            <w:shd w:val="clear" w:color="auto" w:fill="1B3A6B"/>
            <w:tcMar>
              <w:top w:w="100" w:type="dxa"/>
              <w:left w:w="140" w:type="dxa"/>
              <w:bottom w:w="100" w:type="dxa"/>
              <w:right w:w="140" w:type="dxa"/>
            </w:tcMar>
            <w:vAlign w:val="center"/>
          </w:tcPr>
          <w:p w14:paraId="183D4CD4" w14:textId="77777777" w:rsidR="00B53A43" w:rsidRDefault="00000000">
            <w:r>
              <w:rPr>
                <w:b/>
                <w:bCs/>
                <w:color w:val="FFFFFF"/>
                <w:sz w:val="20"/>
                <w:szCs w:val="20"/>
              </w:rPr>
              <w:t>CAFTA-DR (2004) Relevant Articles</w:t>
            </w:r>
          </w:p>
        </w:tc>
        <w:tc>
          <w:tcPr>
            <w:tcW w:w="2800" w:type="dxa"/>
            <w:tcBorders>
              <w:top w:val="none" w:sz="0" w:space="0" w:color="FFFFFF"/>
              <w:left w:val="none" w:sz="0" w:space="0" w:color="FFFFFF"/>
              <w:bottom w:val="none" w:sz="0" w:space="0" w:color="FFFFFF"/>
              <w:right w:val="none" w:sz="0" w:space="0" w:color="FFFFFF"/>
            </w:tcBorders>
            <w:shd w:val="clear" w:color="auto" w:fill="1B3A6B"/>
            <w:tcMar>
              <w:top w:w="100" w:type="dxa"/>
              <w:left w:w="140" w:type="dxa"/>
              <w:bottom w:w="100" w:type="dxa"/>
              <w:right w:w="140" w:type="dxa"/>
            </w:tcMar>
            <w:vAlign w:val="center"/>
          </w:tcPr>
          <w:p w14:paraId="02B90CB4" w14:textId="77777777" w:rsidR="00B53A43" w:rsidRDefault="00000000">
            <w:proofErr w:type="spellStart"/>
            <w:r>
              <w:rPr>
                <w:b/>
                <w:bCs/>
                <w:color w:val="FFFFFF"/>
                <w:sz w:val="20"/>
                <w:szCs w:val="20"/>
              </w:rPr>
              <w:t>EU-CARIFORUM-EPA</w:t>
            </w:r>
            <w:proofErr w:type="spellEnd"/>
            <w:r>
              <w:rPr>
                <w:b/>
                <w:bCs/>
                <w:color w:val="FFFFFF"/>
                <w:sz w:val="20"/>
                <w:szCs w:val="20"/>
              </w:rPr>
              <w:t xml:space="preserve"> (2008) Relevant Articles</w:t>
            </w:r>
          </w:p>
        </w:tc>
        <w:tc>
          <w:tcPr>
            <w:tcW w:w="2800" w:type="dxa"/>
            <w:tcBorders>
              <w:top w:val="none" w:sz="0" w:space="0" w:color="FFFFFF"/>
              <w:left w:val="none" w:sz="0" w:space="0" w:color="FFFFFF"/>
              <w:bottom w:val="none" w:sz="0" w:space="0" w:color="FFFFFF"/>
              <w:right w:val="none" w:sz="0" w:space="0" w:color="FFFFFF"/>
            </w:tcBorders>
            <w:shd w:val="clear" w:color="auto" w:fill="1B3A6B"/>
            <w:tcMar>
              <w:top w:w="100" w:type="dxa"/>
              <w:left w:w="140" w:type="dxa"/>
              <w:bottom w:w="100" w:type="dxa"/>
              <w:right w:w="140" w:type="dxa"/>
            </w:tcMar>
            <w:vAlign w:val="center"/>
          </w:tcPr>
          <w:p w14:paraId="102904E6" w14:textId="77777777" w:rsidR="00B53A43" w:rsidRDefault="00000000">
            <w:r>
              <w:rPr>
                <w:b/>
                <w:bCs/>
                <w:color w:val="FFFFFF"/>
                <w:sz w:val="20"/>
                <w:szCs w:val="20"/>
              </w:rPr>
              <w:t>EU-CA Association Agreement (2012) Relevant Articles</w:t>
            </w:r>
          </w:p>
        </w:tc>
        <w:tc>
          <w:tcPr>
            <w:tcW w:w="4530" w:type="dxa"/>
            <w:tcBorders>
              <w:top w:val="none" w:sz="0" w:space="0" w:color="FFFFFF"/>
              <w:left w:val="none" w:sz="0" w:space="0" w:color="FFFFFF"/>
              <w:bottom w:val="none" w:sz="0" w:space="0" w:color="FFFFFF"/>
              <w:right w:val="none" w:sz="0" w:space="0" w:color="FFFFFF"/>
            </w:tcBorders>
            <w:shd w:val="clear" w:color="auto" w:fill="1B3A6B"/>
            <w:tcMar>
              <w:top w:w="100" w:type="dxa"/>
              <w:left w:w="140" w:type="dxa"/>
              <w:bottom w:w="100" w:type="dxa"/>
              <w:right w:w="140" w:type="dxa"/>
            </w:tcMar>
            <w:vAlign w:val="center"/>
          </w:tcPr>
          <w:p w14:paraId="10ADA52E" w14:textId="137266A1" w:rsidR="00B53A43" w:rsidRDefault="00000000">
            <w:r>
              <w:rPr>
                <w:b/>
                <w:bCs/>
                <w:color w:val="FFFFFF"/>
                <w:sz w:val="20"/>
                <w:szCs w:val="20"/>
              </w:rPr>
              <w:t>Access and Pricing Implications</w:t>
            </w:r>
            <w:r>
              <w:rPr>
                <w:i/>
                <w:iCs/>
                <w:color w:val="DDDDDD"/>
                <w:sz w:val="20"/>
                <w:szCs w:val="20"/>
              </w:rPr>
              <w:t xml:space="preserve"> </w:t>
            </w:r>
          </w:p>
        </w:tc>
      </w:tr>
      <w:tr w:rsidR="00B53A43" w14:paraId="04221449" w14:textId="77777777" w:rsidTr="009D60A7">
        <w:tblPrEx>
          <w:tblCellMar>
            <w:top w:w="0" w:type="dxa"/>
            <w:bottom w:w="0" w:type="dxa"/>
          </w:tblCellMar>
        </w:tblPrEx>
        <w:tc>
          <w:tcPr>
            <w:tcW w:w="189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4187B57D" w14:textId="77777777" w:rsidR="00B53A43" w:rsidRDefault="00000000">
            <w:pPr>
              <w:spacing w:line="252" w:lineRule="auto"/>
            </w:pPr>
            <w:r>
              <w:rPr>
                <w:b/>
                <w:bCs/>
                <w:sz w:val="20"/>
                <w:szCs w:val="20"/>
              </w:rPr>
              <w:t>1. CUSTOMS DUTIES AND TARIFF ELIMINATION</w:t>
            </w:r>
          </w:p>
        </w:tc>
        <w:tc>
          <w:tcPr>
            <w:tcW w:w="301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0E4A43D2" w14:textId="77777777" w:rsidR="00B53A43" w:rsidRDefault="00000000">
            <w:pPr>
              <w:spacing w:after="80" w:line="252" w:lineRule="auto"/>
            </w:pPr>
            <w:r>
              <w:rPr>
                <w:b/>
                <w:bCs/>
                <w:sz w:val="20"/>
                <w:szCs w:val="20"/>
              </w:rPr>
              <w:t>Art. 3.3</w:t>
            </w:r>
          </w:p>
          <w:p w14:paraId="521886BC" w14:textId="77777777" w:rsidR="00B53A43" w:rsidRDefault="00000000">
            <w:pPr>
              <w:spacing w:after="80" w:line="252" w:lineRule="auto"/>
            </w:pPr>
            <w:r>
              <w:rPr>
                <w:sz w:val="20"/>
                <w:szCs w:val="20"/>
              </w:rPr>
              <w:t>"No Party may increase any existing customs duty, or adopt any new customs duty, on an originating good. Each Party shall progressively eliminate its customs duties on originating goods in accordance with Annex 3.3.1."</w:t>
            </w:r>
          </w:p>
          <w:p w14:paraId="11F5C406" w14:textId="77777777" w:rsidR="00B53A43" w:rsidRDefault="00000000">
            <w:pPr>
              <w:spacing w:after="80" w:line="252" w:lineRule="auto"/>
            </w:pPr>
            <w:r>
              <w:rPr>
                <w:b/>
                <w:bCs/>
                <w:sz w:val="20"/>
                <w:szCs w:val="20"/>
              </w:rPr>
              <w:t xml:space="preserve">Tariff rate on insulin: </w:t>
            </w:r>
            <w:r>
              <w:rPr>
                <w:sz w:val="20"/>
                <w:szCs w:val="20"/>
              </w:rPr>
              <w:t>0% duty; 0% VAT/GST.</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1C6DD8F9" w14:textId="77777777" w:rsidR="00B53A43" w:rsidRDefault="00000000">
            <w:pPr>
              <w:spacing w:after="80" w:line="252" w:lineRule="auto"/>
            </w:pPr>
            <w:r>
              <w:rPr>
                <w:b/>
                <w:bCs/>
                <w:sz w:val="20"/>
                <w:szCs w:val="20"/>
              </w:rPr>
              <w:t>Art. 16</w:t>
            </w:r>
          </w:p>
          <w:p w14:paraId="3D29842D" w14:textId="77777777" w:rsidR="00B53A43" w:rsidRDefault="00000000">
            <w:pPr>
              <w:spacing w:after="80" w:line="252" w:lineRule="auto"/>
            </w:pPr>
            <w:r>
              <w:rPr>
                <w:sz w:val="20"/>
                <w:szCs w:val="20"/>
              </w:rPr>
              <w:t xml:space="preserve">"Products originating in the EC Party shall, on their importation into the </w:t>
            </w:r>
            <w:proofErr w:type="spellStart"/>
            <w:r>
              <w:rPr>
                <w:sz w:val="20"/>
                <w:szCs w:val="20"/>
              </w:rPr>
              <w:t>CARIFORUM</w:t>
            </w:r>
            <w:proofErr w:type="spellEnd"/>
            <w:r>
              <w:rPr>
                <w:sz w:val="20"/>
                <w:szCs w:val="20"/>
              </w:rPr>
              <w:t xml:space="preserve"> States, be exempt from all customs duties within the meaning of Article 11 other than those listed in Annex III."</w:t>
            </w:r>
          </w:p>
          <w:p w14:paraId="7CC08344" w14:textId="77777777" w:rsidR="00B53A43" w:rsidRDefault="00000000">
            <w:pPr>
              <w:spacing w:after="80" w:line="252" w:lineRule="auto"/>
            </w:pPr>
            <w:r>
              <w:rPr>
                <w:b/>
                <w:bCs/>
                <w:sz w:val="20"/>
                <w:szCs w:val="20"/>
              </w:rPr>
              <w:t xml:space="preserve">Tariff rate on insulin: </w:t>
            </w:r>
            <w:r>
              <w:rPr>
                <w:sz w:val="20"/>
                <w:szCs w:val="20"/>
              </w:rPr>
              <w:t>0% duty; 0% VAT/GST.</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0078CE81" w14:textId="77777777" w:rsidR="00B53A43" w:rsidRDefault="00000000">
            <w:pPr>
              <w:spacing w:after="80" w:line="252" w:lineRule="auto"/>
            </w:pPr>
            <w:r>
              <w:rPr>
                <w:b/>
                <w:bCs/>
                <w:sz w:val="20"/>
                <w:szCs w:val="20"/>
              </w:rPr>
              <w:t>Art. 83</w:t>
            </w:r>
          </w:p>
          <w:p w14:paraId="3596D5A6" w14:textId="77777777" w:rsidR="00B53A43" w:rsidRDefault="00000000">
            <w:pPr>
              <w:spacing w:after="80" w:line="252" w:lineRule="auto"/>
            </w:pPr>
            <w:r>
              <w:rPr>
                <w:sz w:val="20"/>
                <w:szCs w:val="20"/>
              </w:rPr>
              <w:t>"Each Party shall eliminate customs duties on goods originating in the other Party in accordance with the Schedules set out in Annex I. For the purposes of this Chapter, 'originating' means qualifying under the rules of origin set out in Annex II."</w:t>
            </w:r>
          </w:p>
          <w:p w14:paraId="768F1047" w14:textId="77777777" w:rsidR="00B53A43" w:rsidRDefault="00000000">
            <w:pPr>
              <w:spacing w:after="80" w:line="252" w:lineRule="auto"/>
            </w:pPr>
            <w:r>
              <w:rPr>
                <w:b/>
                <w:bCs/>
                <w:sz w:val="20"/>
                <w:szCs w:val="20"/>
              </w:rPr>
              <w:t xml:space="preserve">Tariff rate on insulin: </w:t>
            </w:r>
            <w:r>
              <w:rPr>
                <w:sz w:val="20"/>
                <w:szCs w:val="20"/>
              </w:rPr>
              <w:t>0% duty; 0% VAT/GST.</w:t>
            </w:r>
          </w:p>
        </w:tc>
        <w:tc>
          <w:tcPr>
            <w:tcW w:w="453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69706A54" w14:textId="51D69884" w:rsidR="00B53A43" w:rsidRDefault="00000000">
            <w:pPr>
              <w:spacing w:after="60" w:line="252" w:lineRule="auto"/>
            </w:pPr>
            <w:r>
              <w:rPr>
                <w:i/>
                <w:iCs/>
                <w:color w:val="1A6B1A"/>
                <w:sz w:val="20"/>
                <w:szCs w:val="20"/>
              </w:rPr>
              <w:t>Positive provision: reduces the landed cost of imported insulin for all three trading partners.</w:t>
            </w:r>
          </w:p>
          <w:p w14:paraId="18ABFFFF" w14:textId="77777777" w:rsidR="00B53A43" w:rsidRDefault="00000000">
            <w:pPr>
              <w:spacing w:after="80" w:line="252" w:lineRule="auto"/>
            </w:pPr>
            <w:r>
              <w:rPr>
                <w:sz w:val="20"/>
                <w:szCs w:val="20"/>
              </w:rPr>
              <w:t>All three FTAs eliminate import duties and VAT/GST on insulin products, against a 2018 global average tariff of 3.34% (OEC, 2020). This directly reduces the financial barrier at importation.</w:t>
            </w:r>
          </w:p>
          <w:p w14:paraId="19888732" w14:textId="77777777" w:rsidR="00B53A43" w:rsidRDefault="00000000">
            <w:pPr>
              <w:spacing w:after="80" w:line="252" w:lineRule="auto"/>
            </w:pPr>
            <w:r>
              <w:rPr>
                <w:b/>
                <w:bCs/>
                <w:sz w:val="20"/>
                <w:szCs w:val="20"/>
              </w:rPr>
              <w:t xml:space="preserve">Structural limitation: </w:t>
            </w:r>
            <w:r>
              <w:rPr>
                <w:sz w:val="20"/>
                <w:szCs w:val="20"/>
              </w:rPr>
              <w:t xml:space="preserve">The benefit accrues primarily to originator manufacturers (Eli Lilly, Novo </w:t>
            </w:r>
            <w:proofErr w:type="spellStart"/>
            <w:r>
              <w:rPr>
                <w:sz w:val="20"/>
                <w:szCs w:val="20"/>
              </w:rPr>
              <w:t>Nordisk</w:t>
            </w:r>
            <w:proofErr w:type="spellEnd"/>
            <w:r>
              <w:rPr>
                <w:sz w:val="20"/>
                <w:szCs w:val="20"/>
              </w:rPr>
              <w:t xml:space="preserve">, </w:t>
            </w:r>
            <w:proofErr w:type="spellStart"/>
            <w:r>
              <w:rPr>
                <w:sz w:val="20"/>
                <w:szCs w:val="20"/>
              </w:rPr>
              <w:t>Sanofi</w:t>
            </w:r>
            <w:proofErr w:type="spellEnd"/>
            <w:r>
              <w:rPr>
                <w:sz w:val="20"/>
                <w:szCs w:val="20"/>
              </w:rPr>
              <w:t>) as the region lacks domestic generic/</w:t>
            </w:r>
            <w:proofErr w:type="spellStart"/>
            <w:r>
              <w:rPr>
                <w:sz w:val="20"/>
                <w:szCs w:val="20"/>
              </w:rPr>
              <w:t>biosimilar</w:t>
            </w:r>
            <w:proofErr w:type="spellEnd"/>
            <w:r>
              <w:rPr>
                <w:sz w:val="20"/>
                <w:szCs w:val="20"/>
              </w:rPr>
              <w:t xml:space="preserve"> producers. Tariff elimination reduces costs without increasing market competition.</w:t>
            </w:r>
          </w:p>
          <w:p w14:paraId="25B74D6D" w14:textId="77777777" w:rsidR="00B53A43" w:rsidRDefault="00000000">
            <w:pPr>
              <w:spacing w:after="80" w:line="252" w:lineRule="auto"/>
            </w:pPr>
            <w:r>
              <w:rPr>
                <w:b/>
                <w:bCs/>
                <w:sz w:val="20"/>
                <w:szCs w:val="20"/>
              </w:rPr>
              <w:t xml:space="preserve">Policy note: </w:t>
            </w:r>
            <w:r>
              <w:rPr>
                <w:sz w:val="20"/>
                <w:szCs w:val="20"/>
              </w:rPr>
              <w:t>This provision is the only one in the three FTAs with an unambiguously positive direct effect on insulin affordability.</w:t>
            </w:r>
          </w:p>
        </w:tc>
      </w:tr>
      <w:tr w:rsidR="00B53A43" w14:paraId="2167C6C7" w14:textId="77777777" w:rsidTr="009D60A7">
        <w:tblPrEx>
          <w:tblCellMar>
            <w:top w:w="0" w:type="dxa"/>
            <w:bottom w:w="0" w:type="dxa"/>
          </w:tblCellMar>
        </w:tblPrEx>
        <w:tc>
          <w:tcPr>
            <w:tcW w:w="189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2A70E526" w14:textId="77777777" w:rsidR="00B53A43" w:rsidRDefault="00000000">
            <w:pPr>
              <w:spacing w:line="252" w:lineRule="auto"/>
            </w:pPr>
            <w:r>
              <w:rPr>
                <w:b/>
                <w:bCs/>
                <w:sz w:val="20"/>
                <w:szCs w:val="20"/>
              </w:rPr>
              <w:t>2A. INTELLECTUAL PROPERTY RIGHTS — General Obligations and Patent Framework</w:t>
            </w:r>
          </w:p>
        </w:tc>
        <w:tc>
          <w:tcPr>
            <w:tcW w:w="301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4813B839" w14:textId="77777777" w:rsidR="00B53A43" w:rsidRDefault="00000000">
            <w:pPr>
              <w:spacing w:after="80" w:line="252" w:lineRule="auto"/>
            </w:pPr>
            <w:r>
              <w:rPr>
                <w:b/>
                <w:bCs/>
                <w:sz w:val="20"/>
                <w:szCs w:val="20"/>
              </w:rPr>
              <w:t>Art. 15.1(7)</w:t>
            </w:r>
          </w:p>
          <w:p w14:paraId="378F3F3F" w14:textId="77777777" w:rsidR="00B53A43" w:rsidRDefault="00000000">
            <w:pPr>
              <w:spacing w:after="80" w:line="252" w:lineRule="auto"/>
            </w:pPr>
            <w:r>
              <w:rPr>
                <w:sz w:val="20"/>
                <w:szCs w:val="20"/>
              </w:rPr>
              <w:t>"The Parties affirm their existing rights and obligations under the TRIPS Agreement and intellectual property agreements concluded under the auspices of WIPO."</w:t>
            </w:r>
          </w:p>
        </w:tc>
        <w:tc>
          <w:tcPr>
            <w:tcW w:w="280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0D7A13E1" w14:textId="77777777" w:rsidR="00B53A43" w:rsidRDefault="00000000">
            <w:pPr>
              <w:spacing w:after="80" w:line="252" w:lineRule="auto"/>
            </w:pPr>
            <w:r>
              <w:rPr>
                <w:b/>
                <w:bCs/>
                <w:sz w:val="20"/>
                <w:szCs w:val="20"/>
              </w:rPr>
              <w:t>Art. 131</w:t>
            </w:r>
          </w:p>
          <w:p w14:paraId="1F5956DD" w14:textId="77777777" w:rsidR="00B53A43" w:rsidRDefault="00000000">
            <w:pPr>
              <w:spacing w:after="80" w:line="252" w:lineRule="auto"/>
            </w:pPr>
            <w:r>
              <w:rPr>
                <w:sz w:val="20"/>
                <w:szCs w:val="20"/>
              </w:rPr>
              <w:t>"The protection and enforcement of intellectual property plays a key role in fostering creativity, innovation and competitiveness, and [the Parties] are determined to ensure increasing levels of protection appropriate to their levels of development."</w:t>
            </w:r>
          </w:p>
          <w:p w14:paraId="416611A2" w14:textId="77777777" w:rsidR="00B53A43" w:rsidRDefault="00000000">
            <w:pPr>
              <w:spacing w:after="80" w:line="252" w:lineRule="auto"/>
            </w:pPr>
            <w:r>
              <w:rPr>
                <w:b/>
                <w:bCs/>
                <w:sz w:val="20"/>
                <w:szCs w:val="20"/>
              </w:rPr>
              <w:t>Art. 142</w:t>
            </w:r>
          </w:p>
          <w:p w14:paraId="03BF5A48" w14:textId="77777777" w:rsidR="00B53A43" w:rsidRDefault="00000000">
            <w:pPr>
              <w:spacing w:after="80" w:line="252" w:lineRule="auto"/>
            </w:pPr>
            <w:r>
              <w:rPr>
                <w:sz w:val="20"/>
                <w:szCs w:val="20"/>
              </w:rPr>
              <w:t xml:space="preserve">"Parties shall take measures to prevent or </w:t>
            </w:r>
            <w:r>
              <w:rPr>
                <w:sz w:val="20"/>
                <w:szCs w:val="20"/>
              </w:rPr>
              <w:lastRenderedPageBreak/>
              <w:t xml:space="preserve">control licensing practices... that constitute an abuse of intellectual property rights... or an abuse of obvious information asymmetries in the negotiation of </w:t>
            </w:r>
            <w:proofErr w:type="spellStart"/>
            <w:r>
              <w:rPr>
                <w:sz w:val="20"/>
                <w:szCs w:val="20"/>
              </w:rPr>
              <w:t>licences</w:t>
            </w:r>
            <w:proofErr w:type="spellEnd"/>
            <w:r>
              <w:rPr>
                <w:sz w:val="20"/>
                <w:szCs w:val="20"/>
              </w:rPr>
              <w:t>."</w:t>
            </w:r>
          </w:p>
        </w:tc>
        <w:tc>
          <w:tcPr>
            <w:tcW w:w="280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5EF73B3F" w14:textId="77777777" w:rsidR="00B53A43" w:rsidRDefault="00000000">
            <w:pPr>
              <w:spacing w:after="80" w:line="252" w:lineRule="auto"/>
            </w:pPr>
            <w:r>
              <w:rPr>
                <w:b/>
                <w:bCs/>
                <w:sz w:val="20"/>
                <w:szCs w:val="20"/>
              </w:rPr>
              <w:lastRenderedPageBreak/>
              <w:t>Art. 229</w:t>
            </w:r>
          </w:p>
          <w:p w14:paraId="4DA8B77A" w14:textId="77777777" w:rsidR="00B53A43" w:rsidRDefault="00000000">
            <w:pPr>
              <w:spacing w:after="80" w:line="252" w:lineRule="auto"/>
            </w:pPr>
            <w:r>
              <w:rPr>
                <w:sz w:val="20"/>
                <w:szCs w:val="20"/>
              </w:rPr>
              <w:t>"The Parties shall ensure adequate and effective implementation of international treaties dealing with intellectual property, including TRIPS."</w:t>
            </w:r>
          </w:p>
          <w:p w14:paraId="5C93AA1F" w14:textId="77777777" w:rsidR="00B53A43" w:rsidRDefault="00000000">
            <w:pPr>
              <w:spacing w:after="80" w:line="252" w:lineRule="auto"/>
            </w:pPr>
            <w:r>
              <w:rPr>
                <w:b/>
                <w:bCs/>
                <w:sz w:val="20"/>
                <w:szCs w:val="20"/>
              </w:rPr>
              <w:t>Art. 231</w:t>
            </w:r>
          </w:p>
          <w:p w14:paraId="27F24932" w14:textId="77777777" w:rsidR="00B53A43" w:rsidRDefault="00000000">
            <w:pPr>
              <w:spacing w:after="80" w:line="252" w:lineRule="auto"/>
            </w:pPr>
            <w:r>
              <w:rPr>
                <w:sz w:val="20"/>
                <w:szCs w:val="20"/>
              </w:rPr>
              <w:t xml:space="preserve">"The Parties shall take measures to prevent or control licensing practices or conditions... that constitute an abuse of </w:t>
            </w:r>
            <w:r>
              <w:rPr>
                <w:sz w:val="20"/>
                <w:szCs w:val="20"/>
              </w:rPr>
              <w:lastRenderedPageBreak/>
              <w:t>intellectual property rights by right holders."</w:t>
            </w:r>
          </w:p>
        </w:tc>
        <w:tc>
          <w:tcPr>
            <w:tcW w:w="453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14EEC627" w14:textId="657E93F8" w:rsidR="00B53A43" w:rsidRDefault="00000000">
            <w:pPr>
              <w:spacing w:after="60" w:line="252" w:lineRule="auto"/>
            </w:pPr>
            <w:r>
              <w:rPr>
                <w:i/>
                <w:iCs/>
                <w:color w:val="8B0000"/>
                <w:sz w:val="20"/>
                <w:szCs w:val="20"/>
              </w:rPr>
              <w:lastRenderedPageBreak/>
              <w:t>All three FTAs require implementation of TRIPS standards as a baseline, then add TRIPS-plus obligations (see rows 2B–2E below). The general patent framework creates legal infrastructure for the layered IP exclusivity documented in the insulin market.</w:t>
            </w:r>
          </w:p>
          <w:p w14:paraId="2734887B" w14:textId="77777777" w:rsidR="00B53A43" w:rsidRDefault="00000000">
            <w:pPr>
              <w:spacing w:after="80" w:line="252" w:lineRule="auto"/>
            </w:pPr>
            <w:r>
              <w:rPr>
                <w:b/>
                <w:bCs/>
                <w:sz w:val="20"/>
                <w:szCs w:val="20"/>
              </w:rPr>
              <w:t xml:space="preserve">Note on Art. 142 / Art. 231: </w:t>
            </w:r>
            <w:r>
              <w:rPr>
                <w:sz w:val="20"/>
                <w:szCs w:val="20"/>
              </w:rPr>
              <w:t xml:space="preserve">Both the </w:t>
            </w:r>
            <w:proofErr w:type="spellStart"/>
            <w:r>
              <w:rPr>
                <w:sz w:val="20"/>
                <w:szCs w:val="20"/>
              </w:rPr>
              <w:t>EU-CARIFORUM-EPA</w:t>
            </w:r>
            <w:proofErr w:type="spellEnd"/>
            <w:r>
              <w:rPr>
                <w:sz w:val="20"/>
                <w:szCs w:val="20"/>
              </w:rPr>
              <w:t xml:space="preserve"> and EU-CA AA include provisions allowing parties to prevent abusive IP licensing practices. These provisions could, in principle, be used by LMIC governments to challenge restrictive insulin licensing conditions, though their practical invocation remains rare.</w:t>
            </w:r>
          </w:p>
          <w:p w14:paraId="2564A702" w14:textId="77777777" w:rsidR="00B53A43" w:rsidRDefault="00000000">
            <w:pPr>
              <w:spacing w:after="80" w:line="252" w:lineRule="auto"/>
            </w:pPr>
            <w:r>
              <w:rPr>
                <w:b/>
                <w:bCs/>
                <w:sz w:val="20"/>
                <w:szCs w:val="20"/>
              </w:rPr>
              <w:lastRenderedPageBreak/>
              <w:t xml:space="preserve">TRIPS baseline: </w:t>
            </w:r>
            <w:r>
              <w:rPr>
                <w:sz w:val="20"/>
                <w:szCs w:val="20"/>
              </w:rPr>
              <w:t xml:space="preserve">20-year patent term; Art. 31 compulsory licensing; Art. 31bis for import of generics produced under compulsory </w:t>
            </w:r>
            <w:proofErr w:type="spellStart"/>
            <w:r>
              <w:rPr>
                <w:sz w:val="20"/>
                <w:szCs w:val="20"/>
              </w:rPr>
              <w:t>licence</w:t>
            </w:r>
            <w:proofErr w:type="spellEnd"/>
            <w:r>
              <w:rPr>
                <w:sz w:val="20"/>
                <w:szCs w:val="20"/>
              </w:rPr>
              <w:t xml:space="preserve"> in third countries.</w:t>
            </w:r>
          </w:p>
        </w:tc>
      </w:tr>
      <w:tr w:rsidR="00B53A43" w14:paraId="2CA0CB07" w14:textId="77777777" w:rsidTr="009D60A7">
        <w:tblPrEx>
          <w:tblCellMar>
            <w:top w:w="0" w:type="dxa"/>
            <w:bottom w:w="0" w:type="dxa"/>
          </w:tblCellMar>
        </w:tblPrEx>
        <w:tc>
          <w:tcPr>
            <w:tcW w:w="189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25418BF9" w14:textId="77777777" w:rsidR="00B53A43" w:rsidRDefault="00000000">
            <w:pPr>
              <w:spacing w:line="252" w:lineRule="auto"/>
            </w:pPr>
            <w:r>
              <w:rPr>
                <w:b/>
                <w:bCs/>
                <w:sz w:val="20"/>
                <w:szCs w:val="20"/>
              </w:rPr>
              <w:lastRenderedPageBreak/>
              <w:t>2B. TRIPS EXCEPTIONS AND DOHA DECLARATION RECOGNITION</w:t>
            </w:r>
          </w:p>
        </w:tc>
        <w:tc>
          <w:tcPr>
            <w:tcW w:w="301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5EA39477" w14:textId="77777777" w:rsidR="00B53A43" w:rsidRDefault="00000000">
            <w:pPr>
              <w:spacing w:after="80" w:line="252" w:lineRule="auto"/>
            </w:pPr>
            <w:r>
              <w:rPr>
                <w:b/>
                <w:bCs/>
                <w:sz w:val="20"/>
                <w:szCs w:val="20"/>
              </w:rPr>
              <w:t>Art. 10.7 (Investment Chapter)</w:t>
            </w:r>
          </w:p>
          <w:p w14:paraId="44837E3C" w14:textId="77777777" w:rsidR="00B53A43" w:rsidRDefault="00000000">
            <w:pPr>
              <w:spacing w:after="80" w:line="252" w:lineRule="auto"/>
            </w:pPr>
            <w:r>
              <w:rPr>
                <w:sz w:val="20"/>
                <w:szCs w:val="20"/>
              </w:rPr>
              <w:t>"This Article does not apply to the issuance of compulsory licenses granted in relation to intellectual property rights in accordance with the TRIPS Agreement... to the extent that such issuance... is consistent with Chapter Fifteen."</w:t>
            </w:r>
          </w:p>
          <w:p w14:paraId="038E97F2" w14:textId="33F7B3FA" w:rsidR="00B53A43" w:rsidRDefault="00000000">
            <w:pPr>
              <w:spacing w:after="80" w:line="252" w:lineRule="auto"/>
            </w:pPr>
            <w:r>
              <w:rPr>
                <w:b/>
                <w:bCs/>
                <w:sz w:val="20"/>
                <w:szCs w:val="20"/>
              </w:rPr>
              <w:t xml:space="preserve">Note: </w:t>
            </w:r>
            <w:r>
              <w:rPr>
                <w:sz w:val="20"/>
                <w:szCs w:val="20"/>
              </w:rPr>
              <w:t>The carve-out is conditional on consistency with Chapter 15 IP obligations — which themselves impose TRIPS-plus standards. This narrows the practical scope of the exception.</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1067D1B8" w14:textId="77777777" w:rsidR="00B53A43" w:rsidRDefault="00000000">
            <w:pPr>
              <w:spacing w:after="80" w:line="252" w:lineRule="auto"/>
            </w:pPr>
            <w:r>
              <w:rPr>
                <w:b/>
                <w:bCs/>
                <w:sz w:val="20"/>
                <w:szCs w:val="20"/>
              </w:rPr>
              <w:t>Art. 147B</w:t>
            </w:r>
          </w:p>
          <w:p w14:paraId="79E53929" w14:textId="77777777" w:rsidR="00B53A43" w:rsidRDefault="00000000">
            <w:pPr>
              <w:spacing w:after="80" w:line="252" w:lineRule="auto"/>
            </w:pPr>
            <w:r>
              <w:rPr>
                <w:sz w:val="20"/>
                <w:szCs w:val="20"/>
              </w:rPr>
              <w:t xml:space="preserve">"The EC Party and the Signatory </w:t>
            </w:r>
            <w:proofErr w:type="spellStart"/>
            <w:r>
              <w:rPr>
                <w:sz w:val="20"/>
                <w:szCs w:val="20"/>
              </w:rPr>
              <w:t>CARIFORUM</w:t>
            </w:r>
            <w:proofErr w:type="spellEnd"/>
            <w:r>
              <w:rPr>
                <w:sz w:val="20"/>
                <w:szCs w:val="20"/>
              </w:rPr>
              <w:t xml:space="preserve"> States </w:t>
            </w:r>
            <w:proofErr w:type="spellStart"/>
            <w:r>
              <w:rPr>
                <w:sz w:val="20"/>
                <w:szCs w:val="20"/>
              </w:rPr>
              <w:t>recognise</w:t>
            </w:r>
            <w:proofErr w:type="spellEnd"/>
            <w:r>
              <w:rPr>
                <w:sz w:val="20"/>
                <w:szCs w:val="20"/>
              </w:rPr>
              <w:t xml:space="preserve"> the importance of the Doha Declaration on the TRIPS Agreement and Public Health (14 November 2001) and the Decision of the WTO General Council of 30 August 2003 on paragraph 6 of the Doha Declaration, and agree to take the necessary steps to accept the Protocol amending the TRIPS Agreement (Geneva, 6 December 2005)."</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69CED85F" w14:textId="77777777" w:rsidR="00B53A43" w:rsidRDefault="00000000">
            <w:pPr>
              <w:spacing w:after="80" w:line="252" w:lineRule="auto"/>
            </w:pPr>
            <w:r>
              <w:rPr>
                <w:b/>
                <w:bCs/>
                <w:sz w:val="20"/>
                <w:szCs w:val="20"/>
              </w:rPr>
              <w:t>Art. 229(2A)</w:t>
            </w:r>
          </w:p>
          <w:p w14:paraId="3F4FA5BB" w14:textId="77777777" w:rsidR="00B53A43" w:rsidRDefault="00000000">
            <w:pPr>
              <w:spacing w:after="80" w:line="252" w:lineRule="auto"/>
            </w:pPr>
            <w:r>
              <w:rPr>
                <w:sz w:val="20"/>
                <w:szCs w:val="20"/>
              </w:rPr>
              <w:t xml:space="preserve">"The Parties </w:t>
            </w:r>
            <w:proofErr w:type="spellStart"/>
            <w:r>
              <w:rPr>
                <w:sz w:val="20"/>
                <w:szCs w:val="20"/>
              </w:rPr>
              <w:t>recognise</w:t>
            </w:r>
            <w:proofErr w:type="spellEnd"/>
            <w:r>
              <w:rPr>
                <w:sz w:val="20"/>
                <w:szCs w:val="20"/>
              </w:rPr>
              <w:t xml:space="preserve"> the importance of the Doha Declaration on the TRIPS Agreement and Public Health adopted on 14 November 2001. In interpreting and implementing the rights and obligations under this Title, the Parties shall ensure consistency with this Declaration."</w:t>
            </w:r>
          </w:p>
        </w:tc>
        <w:tc>
          <w:tcPr>
            <w:tcW w:w="453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6D95BC04" w14:textId="3A4E5222" w:rsidR="00B53A43" w:rsidRDefault="00000000">
            <w:pPr>
              <w:spacing w:after="60" w:line="252" w:lineRule="auto"/>
            </w:pPr>
            <w:r>
              <w:rPr>
                <w:i/>
                <w:iCs/>
                <w:color w:val="8B0000"/>
                <w:sz w:val="20"/>
                <w:szCs w:val="20"/>
              </w:rPr>
              <w:t>The TRIPS flexibility provisions in these FTAs are structurally weaker than they appear.</w:t>
            </w:r>
          </w:p>
          <w:p w14:paraId="245AD16D" w14:textId="77777777" w:rsidR="00B53A43" w:rsidRDefault="00000000">
            <w:pPr>
              <w:spacing w:after="80" w:line="252" w:lineRule="auto"/>
            </w:pPr>
            <w:r>
              <w:rPr>
                <w:b/>
                <w:bCs/>
                <w:sz w:val="20"/>
                <w:szCs w:val="20"/>
              </w:rPr>
              <w:t xml:space="preserve">CAFTA-DR: </w:t>
            </w:r>
            <w:r>
              <w:rPr>
                <w:sz w:val="20"/>
                <w:szCs w:val="20"/>
              </w:rPr>
              <w:t xml:space="preserve">The compulsory licensing exception in Art. 10.7 is conditional on consistency with Chapter 15, which imposes TRIPS-plus data exclusivity and patent restoration obligations. This creates a circularity that can prevent full use of compulsory licensing — for example, a compulsory </w:t>
            </w:r>
            <w:proofErr w:type="spellStart"/>
            <w:r>
              <w:rPr>
                <w:sz w:val="20"/>
                <w:szCs w:val="20"/>
              </w:rPr>
              <w:t>licence</w:t>
            </w:r>
            <w:proofErr w:type="spellEnd"/>
            <w:r>
              <w:rPr>
                <w:sz w:val="20"/>
                <w:szCs w:val="20"/>
              </w:rPr>
              <w:t xml:space="preserve"> on a patent does not override data exclusivity, which is a separate </w:t>
            </w:r>
            <w:proofErr w:type="spellStart"/>
            <w:r>
              <w:rPr>
                <w:sz w:val="20"/>
                <w:szCs w:val="20"/>
              </w:rPr>
              <w:t>sui</w:t>
            </w:r>
            <w:proofErr w:type="spellEnd"/>
            <w:r>
              <w:rPr>
                <w:sz w:val="20"/>
                <w:szCs w:val="20"/>
              </w:rPr>
              <w:t xml:space="preserve"> </w:t>
            </w:r>
            <w:proofErr w:type="spellStart"/>
            <w:r>
              <w:rPr>
                <w:sz w:val="20"/>
                <w:szCs w:val="20"/>
              </w:rPr>
              <w:t>generis</w:t>
            </w:r>
            <w:proofErr w:type="spellEnd"/>
            <w:r>
              <w:rPr>
                <w:sz w:val="20"/>
                <w:szCs w:val="20"/>
              </w:rPr>
              <w:t xml:space="preserve"> right.</w:t>
            </w:r>
          </w:p>
          <w:p w14:paraId="4B2112B2" w14:textId="77777777" w:rsidR="00B53A43" w:rsidRDefault="00000000">
            <w:pPr>
              <w:spacing w:after="80" w:line="252" w:lineRule="auto"/>
            </w:pPr>
            <w:proofErr w:type="spellStart"/>
            <w:r>
              <w:rPr>
                <w:b/>
                <w:bCs/>
                <w:sz w:val="20"/>
                <w:szCs w:val="20"/>
              </w:rPr>
              <w:t>EU-CARIFORUM-EPA</w:t>
            </w:r>
            <w:proofErr w:type="spellEnd"/>
            <w:r>
              <w:rPr>
                <w:b/>
                <w:bCs/>
                <w:sz w:val="20"/>
                <w:szCs w:val="20"/>
              </w:rPr>
              <w:t xml:space="preserve"> and EU-CA AA: </w:t>
            </w:r>
            <w:r>
              <w:rPr>
                <w:sz w:val="20"/>
                <w:szCs w:val="20"/>
              </w:rPr>
              <w:t xml:space="preserve">Both explicitly </w:t>
            </w:r>
            <w:proofErr w:type="spellStart"/>
            <w:r>
              <w:rPr>
                <w:sz w:val="20"/>
                <w:szCs w:val="20"/>
              </w:rPr>
              <w:t>recognise</w:t>
            </w:r>
            <w:proofErr w:type="spellEnd"/>
            <w:r>
              <w:rPr>
                <w:sz w:val="20"/>
                <w:szCs w:val="20"/>
              </w:rPr>
              <w:t xml:space="preserve"> the Doha Declaration, providing a stronger textual basis for invoking TRIPS flexibilities. However, as documented in the main study, ISDS mechanisms (see row 4) create practical deterrents to their use.</w:t>
            </w:r>
          </w:p>
          <w:p w14:paraId="4ED7172C" w14:textId="77777777" w:rsidR="00B53A43" w:rsidRDefault="00000000">
            <w:pPr>
              <w:spacing w:after="80" w:line="252" w:lineRule="auto"/>
            </w:pPr>
            <w:r>
              <w:rPr>
                <w:b/>
                <w:bCs/>
                <w:sz w:val="20"/>
                <w:szCs w:val="20"/>
              </w:rPr>
              <w:t xml:space="preserve">Key gap: </w:t>
            </w:r>
            <w:r>
              <w:rPr>
                <w:sz w:val="20"/>
                <w:szCs w:val="20"/>
              </w:rPr>
              <w:t>None of the three FTAs provide that data exclusivity must yield to compulsory licensing, leaving a structural interaction between these instruments unaddressed.</w:t>
            </w:r>
          </w:p>
        </w:tc>
      </w:tr>
      <w:tr w:rsidR="00B53A43" w14:paraId="119E1C0B" w14:textId="77777777" w:rsidTr="009D60A7">
        <w:tblPrEx>
          <w:tblCellMar>
            <w:top w:w="0" w:type="dxa"/>
            <w:bottom w:w="0" w:type="dxa"/>
          </w:tblCellMar>
        </w:tblPrEx>
        <w:tc>
          <w:tcPr>
            <w:tcW w:w="189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2F998F6E" w14:textId="77777777" w:rsidR="00B53A43" w:rsidRDefault="00000000">
            <w:pPr>
              <w:spacing w:line="252" w:lineRule="auto"/>
            </w:pPr>
            <w:r>
              <w:rPr>
                <w:b/>
                <w:bCs/>
                <w:sz w:val="20"/>
                <w:szCs w:val="20"/>
              </w:rPr>
              <w:lastRenderedPageBreak/>
              <w:t>2C. TRADEMARK PROTECTION (including non-traditional marks)</w:t>
            </w:r>
          </w:p>
        </w:tc>
        <w:tc>
          <w:tcPr>
            <w:tcW w:w="301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3120382B" w14:textId="77777777" w:rsidR="00B53A43" w:rsidRDefault="00000000">
            <w:pPr>
              <w:spacing w:after="80" w:line="252" w:lineRule="auto"/>
            </w:pPr>
            <w:r>
              <w:rPr>
                <w:b/>
                <w:bCs/>
                <w:sz w:val="20"/>
                <w:szCs w:val="20"/>
              </w:rPr>
              <w:t>Art. 15.2(1) — Scope</w:t>
            </w:r>
          </w:p>
          <w:p w14:paraId="3C178EDB" w14:textId="77777777" w:rsidR="00B53A43" w:rsidRDefault="00000000">
            <w:pPr>
              <w:spacing w:after="80" w:line="252" w:lineRule="auto"/>
            </w:pPr>
            <w:r>
              <w:rPr>
                <w:sz w:val="20"/>
                <w:szCs w:val="20"/>
              </w:rPr>
              <w:t>"Trademarks shall include collective, certification, and sound marks, and may include geographical indications and scent marks."</w:t>
            </w:r>
          </w:p>
          <w:p w14:paraId="6ED03B1A" w14:textId="77777777" w:rsidR="00B53A43" w:rsidRDefault="00000000">
            <w:pPr>
              <w:spacing w:after="80" w:line="252" w:lineRule="auto"/>
            </w:pPr>
            <w:r>
              <w:rPr>
                <w:b/>
                <w:bCs/>
                <w:sz w:val="20"/>
                <w:szCs w:val="20"/>
              </w:rPr>
              <w:t>Art. 15.2(3) — Exclusive rights</w:t>
            </w:r>
          </w:p>
          <w:p w14:paraId="45784297" w14:textId="77777777" w:rsidR="00B53A43" w:rsidRDefault="00000000">
            <w:pPr>
              <w:spacing w:after="80" w:line="252" w:lineRule="auto"/>
            </w:pPr>
            <w:r>
              <w:rPr>
                <w:sz w:val="20"/>
                <w:szCs w:val="20"/>
              </w:rPr>
              <w:t>"The owner of a registered trademark shall have the exclusive right to prevent all third parties not having the owner's consent from using... identical or similar signs... where such use would result in a likelihood of confusion."</w:t>
            </w:r>
          </w:p>
          <w:p w14:paraId="319F7525" w14:textId="77777777" w:rsidR="00B53A43" w:rsidRDefault="00000000">
            <w:pPr>
              <w:spacing w:after="80" w:line="252" w:lineRule="auto"/>
            </w:pPr>
            <w:r>
              <w:rPr>
                <w:b/>
                <w:bCs/>
                <w:sz w:val="20"/>
                <w:szCs w:val="20"/>
              </w:rPr>
              <w:t>Art. 15.2(9) — Duration</w:t>
            </w:r>
          </w:p>
          <w:p w14:paraId="4D5DE18F" w14:textId="77777777" w:rsidR="00B53A43" w:rsidRDefault="00000000">
            <w:pPr>
              <w:spacing w:after="80" w:line="252" w:lineRule="auto"/>
            </w:pPr>
            <w:r>
              <w:rPr>
                <w:sz w:val="20"/>
                <w:szCs w:val="20"/>
              </w:rPr>
              <w:t>"Initial registration and each renewal of registration of a trademark shall be for a term of no less than ten years."</w:t>
            </w:r>
          </w:p>
          <w:p w14:paraId="25A311FA" w14:textId="77777777" w:rsidR="00B53A43" w:rsidRDefault="00000000">
            <w:pPr>
              <w:spacing w:after="80" w:line="252" w:lineRule="auto"/>
            </w:pPr>
            <w:r>
              <w:rPr>
                <w:b/>
                <w:bCs/>
                <w:sz w:val="20"/>
                <w:szCs w:val="20"/>
              </w:rPr>
              <w:t>Effect: renewable indefinitely; no maximum term.</w:t>
            </w:r>
          </w:p>
        </w:tc>
        <w:tc>
          <w:tcPr>
            <w:tcW w:w="280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7BF5744A" w14:textId="77777777" w:rsidR="00B53A43" w:rsidRDefault="00000000">
            <w:pPr>
              <w:spacing w:after="80" w:line="252" w:lineRule="auto"/>
            </w:pPr>
            <w:r>
              <w:rPr>
                <w:b/>
                <w:bCs/>
                <w:sz w:val="20"/>
                <w:szCs w:val="20"/>
              </w:rPr>
              <w:t>Art. 144 — Registration system</w:t>
            </w:r>
          </w:p>
          <w:p w14:paraId="127B3E3C" w14:textId="77777777" w:rsidR="00B53A43" w:rsidRDefault="00000000">
            <w:pPr>
              <w:spacing w:after="80" w:line="252" w:lineRule="auto"/>
            </w:pPr>
            <w:r>
              <w:rPr>
                <w:sz w:val="20"/>
                <w:szCs w:val="20"/>
              </w:rPr>
              <w:t>Requires a formal trademark registration system with written decisions, opportunity to contest, and publicly available electronic databases of applications and registrations.</w:t>
            </w:r>
          </w:p>
          <w:p w14:paraId="1D0F474F" w14:textId="77777777" w:rsidR="00B53A43" w:rsidRDefault="00000000">
            <w:pPr>
              <w:spacing w:after="80" w:line="252" w:lineRule="auto"/>
            </w:pPr>
            <w:r>
              <w:rPr>
                <w:b/>
                <w:bCs/>
                <w:sz w:val="20"/>
                <w:szCs w:val="20"/>
              </w:rPr>
              <w:t>Art. 146E — Duration</w:t>
            </w:r>
          </w:p>
          <w:p w14:paraId="6E2F6E6C" w14:textId="77777777" w:rsidR="00B53A43" w:rsidRDefault="00000000">
            <w:pPr>
              <w:spacing w:after="80" w:line="252" w:lineRule="auto"/>
            </w:pPr>
            <w:r>
              <w:rPr>
                <w:sz w:val="20"/>
                <w:szCs w:val="20"/>
              </w:rPr>
              <w:t>"Initial duration... at least five years. At the request of the right holder, registration shall be renewed for one or more periods of five years each, but not exceeding 25 years from the date of filing."</w:t>
            </w:r>
          </w:p>
          <w:p w14:paraId="2CAC2570" w14:textId="77777777" w:rsidR="00B53A43" w:rsidRDefault="00000000">
            <w:pPr>
              <w:spacing w:after="80" w:line="252" w:lineRule="auto"/>
            </w:pPr>
            <w:r>
              <w:rPr>
                <w:b/>
                <w:bCs/>
                <w:sz w:val="20"/>
                <w:szCs w:val="20"/>
              </w:rPr>
              <w:t>Art. 146 and 146F — Industrial designs</w:t>
            </w:r>
          </w:p>
          <w:p w14:paraId="63250B6F" w14:textId="77777777" w:rsidR="00B53A43" w:rsidRDefault="00000000">
            <w:pPr>
              <w:spacing w:after="80" w:line="252" w:lineRule="auto"/>
            </w:pPr>
            <w:r>
              <w:rPr>
                <w:sz w:val="20"/>
                <w:szCs w:val="20"/>
              </w:rPr>
              <w:t>Protection of independently created designs that are new or original; design rights also eligible for copyright protection from date of creation.</w:t>
            </w:r>
          </w:p>
        </w:tc>
        <w:tc>
          <w:tcPr>
            <w:tcW w:w="280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1F3481AF" w14:textId="77777777" w:rsidR="00B53A43" w:rsidRDefault="00000000">
            <w:pPr>
              <w:spacing w:after="80" w:line="252" w:lineRule="auto"/>
            </w:pPr>
            <w:r>
              <w:rPr>
                <w:b/>
                <w:bCs/>
                <w:sz w:val="20"/>
                <w:szCs w:val="20"/>
              </w:rPr>
              <w:t>Art. 239 — Registration system</w:t>
            </w:r>
          </w:p>
          <w:p w14:paraId="3C5FE0AE" w14:textId="77777777" w:rsidR="00B53A43" w:rsidRDefault="00000000">
            <w:pPr>
              <w:spacing w:after="80" w:line="252" w:lineRule="auto"/>
            </w:pPr>
            <w:r>
              <w:rPr>
                <w:sz w:val="20"/>
                <w:szCs w:val="20"/>
              </w:rPr>
              <w:t>Requires trademark registration system with written reasoned decisions, right of appeal, and opposition procedure.</w:t>
            </w:r>
          </w:p>
          <w:p w14:paraId="453B3F57" w14:textId="77777777" w:rsidR="00B53A43" w:rsidRDefault="00000000">
            <w:pPr>
              <w:spacing w:after="80" w:line="252" w:lineRule="auto"/>
            </w:pPr>
            <w:r>
              <w:rPr>
                <w:b/>
                <w:bCs/>
                <w:sz w:val="20"/>
                <w:szCs w:val="20"/>
              </w:rPr>
              <w:t>Art. 252–253 — Industrial designs</w:t>
            </w:r>
          </w:p>
          <w:p w14:paraId="0CF9B511" w14:textId="77777777" w:rsidR="00B53A43" w:rsidRDefault="00000000">
            <w:pPr>
              <w:spacing w:after="80" w:line="252" w:lineRule="auto"/>
            </w:pPr>
            <w:r>
              <w:rPr>
                <w:sz w:val="20"/>
                <w:szCs w:val="20"/>
              </w:rPr>
              <w:t>Protection for new or original designs; limited exceptions permitted where they do not unreasonably conflict with normal exploitation.</w:t>
            </w:r>
          </w:p>
          <w:p w14:paraId="62A3F316" w14:textId="77777777" w:rsidR="00B53A43" w:rsidRDefault="00000000">
            <w:pPr>
              <w:spacing w:after="80" w:line="252" w:lineRule="auto"/>
            </w:pPr>
            <w:r>
              <w:rPr>
                <w:b/>
                <w:bCs/>
                <w:sz w:val="20"/>
                <w:szCs w:val="20"/>
              </w:rPr>
              <w:t>Art. 255 — Duration</w:t>
            </w:r>
          </w:p>
          <w:p w14:paraId="46B18FBF" w14:textId="77777777" w:rsidR="00B53A43" w:rsidRDefault="00000000">
            <w:pPr>
              <w:spacing w:after="80" w:line="252" w:lineRule="auto"/>
            </w:pPr>
            <w:r>
              <w:rPr>
                <w:sz w:val="20"/>
                <w:szCs w:val="20"/>
              </w:rPr>
              <w:t>"Duration... at least ten years. The right holder may have the term renewed for one or more periods of five years each, up to the maximum term of protection established in each Party's legislation."</w:t>
            </w:r>
          </w:p>
          <w:p w14:paraId="24E47CC9" w14:textId="77777777" w:rsidR="00B53A43" w:rsidRDefault="00000000">
            <w:pPr>
              <w:spacing w:after="80" w:line="252" w:lineRule="auto"/>
            </w:pPr>
            <w:r>
              <w:rPr>
                <w:b/>
                <w:bCs/>
                <w:sz w:val="20"/>
                <w:szCs w:val="20"/>
              </w:rPr>
              <w:t>Art. 257 — Cross-protection</w:t>
            </w:r>
          </w:p>
          <w:p w14:paraId="6C940229" w14:textId="77777777" w:rsidR="00B53A43" w:rsidRDefault="00000000">
            <w:pPr>
              <w:spacing w:after="80" w:line="252" w:lineRule="auto"/>
            </w:pPr>
            <w:r>
              <w:rPr>
                <w:sz w:val="20"/>
                <w:szCs w:val="20"/>
              </w:rPr>
              <w:t>Design rights may also be eligible for copyright protection from date of creation.</w:t>
            </w:r>
          </w:p>
        </w:tc>
        <w:tc>
          <w:tcPr>
            <w:tcW w:w="453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0523C241" w14:textId="68BAB005" w:rsidR="00B53A43" w:rsidRDefault="00000000">
            <w:pPr>
              <w:spacing w:after="60" w:line="252" w:lineRule="auto"/>
            </w:pPr>
            <w:r>
              <w:rPr>
                <w:i/>
                <w:iCs/>
                <w:color w:val="8B0000"/>
                <w:sz w:val="20"/>
                <w:szCs w:val="20"/>
              </w:rPr>
              <w:t xml:space="preserve">Non-traditional trademark provisions present an emerging and </w:t>
            </w:r>
            <w:proofErr w:type="spellStart"/>
            <w:r>
              <w:rPr>
                <w:i/>
                <w:iCs/>
                <w:color w:val="8B0000"/>
                <w:sz w:val="20"/>
                <w:szCs w:val="20"/>
              </w:rPr>
              <w:t>underappreciated</w:t>
            </w:r>
            <w:proofErr w:type="spellEnd"/>
            <w:r>
              <w:rPr>
                <w:i/>
                <w:iCs/>
                <w:color w:val="8B0000"/>
                <w:sz w:val="20"/>
                <w:szCs w:val="20"/>
              </w:rPr>
              <w:t xml:space="preserve"> barrier to insulin access in the region.</w:t>
            </w:r>
          </w:p>
          <w:p w14:paraId="47DFE58B" w14:textId="77777777" w:rsidR="00B53A43" w:rsidRDefault="00000000">
            <w:pPr>
              <w:spacing w:after="80" w:line="252" w:lineRule="auto"/>
            </w:pPr>
            <w:r>
              <w:rPr>
                <w:b/>
                <w:bCs/>
                <w:sz w:val="20"/>
                <w:szCs w:val="20"/>
              </w:rPr>
              <w:t xml:space="preserve">Duration comparison: </w:t>
            </w:r>
            <w:r>
              <w:rPr>
                <w:sz w:val="20"/>
                <w:szCs w:val="20"/>
              </w:rPr>
              <w:t xml:space="preserve">CAFTA-DR provides unlimited renewable 10-year terms (de facto perpetual). </w:t>
            </w:r>
            <w:proofErr w:type="spellStart"/>
            <w:r>
              <w:rPr>
                <w:sz w:val="20"/>
                <w:szCs w:val="20"/>
              </w:rPr>
              <w:t>EU-CARIFORUM-EPA</w:t>
            </w:r>
            <w:proofErr w:type="spellEnd"/>
            <w:r>
              <w:rPr>
                <w:sz w:val="20"/>
                <w:szCs w:val="20"/>
              </w:rPr>
              <w:t xml:space="preserve"> caps at 25 years from filing. EU-CA AA provides at least 10 years with renewable terms up to national legislative maximum — effectively unlimited in most jurisdictions. Unlike patents, trademark protection has no fixed endpoint and can be renewed in perpetuity as long as the mark remains in commercial use.</w:t>
            </w:r>
          </w:p>
          <w:p w14:paraId="7375EC98" w14:textId="77777777" w:rsidR="00B53A43" w:rsidRDefault="00000000">
            <w:pPr>
              <w:spacing w:after="80" w:line="252" w:lineRule="auto"/>
            </w:pPr>
            <w:r>
              <w:rPr>
                <w:b/>
                <w:bCs/>
                <w:sz w:val="20"/>
                <w:szCs w:val="20"/>
              </w:rPr>
              <w:t xml:space="preserve">Non-traditional marks and insulin delivery: </w:t>
            </w:r>
            <w:r>
              <w:rPr>
                <w:sz w:val="20"/>
                <w:szCs w:val="20"/>
              </w:rPr>
              <w:t xml:space="preserve">CAFTA-DR explicitly covers sound marks and scent marks; all three FTAs cover shapes and distinctive visual features through industrial design provisions. Modern insulin delivery systems (pens, auto-injectors, patch pumps, connected devices) incorporate multiple potentially </w:t>
            </w:r>
            <w:proofErr w:type="spellStart"/>
            <w:r>
              <w:rPr>
                <w:sz w:val="20"/>
                <w:szCs w:val="20"/>
              </w:rPr>
              <w:t>trademarkable</w:t>
            </w:r>
            <w:proofErr w:type="spellEnd"/>
            <w:r>
              <w:rPr>
                <w:sz w:val="20"/>
                <w:szCs w:val="20"/>
              </w:rPr>
              <w:t xml:space="preserve"> features: auditory click of dose confirmation, haptic resistance of plunger, visual display interface, distinctive pen body shape. If these are trademarked, </w:t>
            </w:r>
            <w:proofErr w:type="spellStart"/>
            <w:r>
              <w:rPr>
                <w:sz w:val="20"/>
                <w:szCs w:val="20"/>
              </w:rPr>
              <w:t>biosimilar</w:t>
            </w:r>
            <w:proofErr w:type="spellEnd"/>
            <w:r>
              <w:rPr>
                <w:sz w:val="20"/>
                <w:szCs w:val="20"/>
              </w:rPr>
              <w:t xml:space="preserve"> manufacturers face infringement risk when designing equivalent devices.</w:t>
            </w:r>
          </w:p>
          <w:p w14:paraId="111C9C1F" w14:textId="0C1E917B" w:rsidR="00B53A43" w:rsidRDefault="00000000">
            <w:pPr>
              <w:spacing w:after="80" w:line="252" w:lineRule="auto"/>
            </w:pPr>
            <w:r>
              <w:rPr>
                <w:b/>
                <w:bCs/>
                <w:sz w:val="20"/>
                <w:szCs w:val="20"/>
              </w:rPr>
              <w:t xml:space="preserve">Unlike patents: </w:t>
            </w:r>
            <w:r>
              <w:rPr>
                <w:sz w:val="20"/>
                <w:szCs w:val="20"/>
              </w:rPr>
              <w:t xml:space="preserve">trademark protection provides no corresponding public domain contribution and is not subject to a public health exception analogous to the Doha Declaration compulsory </w:t>
            </w:r>
            <w:r>
              <w:rPr>
                <w:sz w:val="20"/>
                <w:szCs w:val="20"/>
              </w:rPr>
              <w:lastRenderedPageBreak/>
              <w:t>licensing provision. This gap in the governance framework is unaddressed in all three FTAs.</w:t>
            </w:r>
          </w:p>
        </w:tc>
      </w:tr>
      <w:tr w:rsidR="00B53A43" w14:paraId="54EFF864" w14:textId="77777777" w:rsidTr="009D60A7">
        <w:tblPrEx>
          <w:tblCellMar>
            <w:top w:w="0" w:type="dxa"/>
            <w:bottom w:w="0" w:type="dxa"/>
          </w:tblCellMar>
        </w:tblPrEx>
        <w:tc>
          <w:tcPr>
            <w:tcW w:w="189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79A6901C" w14:textId="77777777" w:rsidR="00B53A43" w:rsidRDefault="00000000">
            <w:pPr>
              <w:spacing w:line="252" w:lineRule="auto"/>
            </w:pPr>
            <w:r>
              <w:rPr>
                <w:b/>
                <w:bCs/>
                <w:sz w:val="20"/>
                <w:szCs w:val="20"/>
              </w:rPr>
              <w:lastRenderedPageBreak/>
              <w:t>2D. DATA EXCLUSIVITY (</w:t>
            </w:r>
            <w:proofErr w:type="spellStart"/>
            <w:r>
              <w:rPr>
                <w:b/>
                <w:bCs/>
                <w:sz w:val="20"/>
                <w:szCs w:val="20"/>
              </w:rPr>
              <w:t>sui</w:t>
            </w:r>
            <w:proofErr w:type="spellEnd"/>
            <w:r>
              <w:rPr>
                <w:b/>
                <w:bCs/>
                <w:sz w:val="20"/>
                <w:szCs w:val="20"/>
              </w:rPr>
              <w:t xml:space="preserve"> </w:t>
            </w:r>
            <w:proofErr w:type="spellStart"/>
            <w:r>
              <w:rPr>
                <w:b/>
                <w:bCs/>
                <w:sz w:val="20"/>
                <w:szCs w:val="20"/>
              </w:rPr>
              <w:t>generis</w:t>
            </w:r>
            <w:proofErr w:type="spellEnd"/>
            <w:r>
              <w:rPr>
                <w:b/>
                <w:bCs/>
                <w:sz w:val="20"/>
                <w:szCs w:val="20"/>
              </w:rPr>
              <w:t xml:space="preserve"> right)</w:t>
            </w:r>
          </w:p>
        </w:tc>
        <w:tc>
          <w:tcPr>
            <w:tcW w:w="301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05F37245" w14:textId="77777777" w:rsidR="00B53A43" w:rsidRDefault="00000000">
            <w:pPr>
              <w:spacing w:after="80" w:line="252" w:lineRule="auto"/>
            </w:pPr>
            <w:r>
              <w:rPr>
                <w:b/>
                <w:bCs/>
                <w:sz w:val="20"/>
                <w:szCs w:val="20"/>
              </w:rPr>
              <w:t>Art. 15.10(1A) — Core data exclusivity obligation</w:t>
            </w:r>
          </w:p>
          <w:p w14:paraId="67736A5A" w14:textId="77777777" w:rsidR="00B53A43" w:rsidRDefault="00000000">
            <w:pPr>
              <w:spacing w:after="80" w:line="252" w:lineRule="auto"/>
            </w:pPr>
            <w:r>
              <w:rPr>
                <w:sz w:val="20"/>
                <w:szCs w:val="20"/>
              </w:rPr>
              <w:t>"If a Party requires... the submission of undisclosed data concerning safety or efficacy, the Party shall not permit third persons, without the consent of the person who provided the information, to market a product on the basis of (1) the information, or (2) the approval granted to the person who submitted the information for at least five years for pharmaceutical products... from the date of approval in the Party."</w:t>
            </w:r>
          </w:p>
          <w:p w14:paraId="51C3DBC1" w14:textId="77777777" w:rsidR="00B53A43" w:rsidRDefault="00000000">
            <w:pPr>
              <w:spacing w:after="80" w:line="252" w:lineRule="auto"/>
            </w:pPr>
            <w:r>
              <w:rPr>
                <w:b/>
                <w:bCs/>
                <w:sz w:val="20"/>
                <w:szCs w:val="20"/>
              </w:rPr>
              <w:t>Art. 15.10(1B) — Third-country data bar</w:t>
            </w:r>
          </w:p>
          <w:p w14:paraId="61D26BE1" w14:textId="77777777" w:rsidR="00B53A43" w:rsidRDefault="00000000">
            <w:pPr>
              <w:spacing w:after="80" w:line="252" w:lineRule="auto"/>
            </w:pPr>
            <w:r>
              <w:rPr>
                <w:sz w:val="20"/>
                <w:szCs w:val="20"/>
              </w:rPr>
              <w:t xml:space="preserve">"If a Party permits third persons to submit evidence concerning the safety or efficacy of a product previously approved in another territory... the Party shall not permit third persons, without the consent of the person who previously </w:t>
            </w:r>
            <w:r>
              <w:rPr>
                <w:sz w:val="20"/>
                <w:szCs w:val="20"/>
              </w:rPr>
              <w:lastRenderedPageBreak/>
              <w:t>obtained such approval, to obtain authorization... on the basis of (1) evidence of prior marketing approval in the other territory, or (2) information concerning safety or efficacy previously submitted... for at least five years."</w:t>
            </w:r>
          </w:p>
          <w:p w14:paraId="60817EBD" w14:textId="77777777" w:rsidR="00B53A43" w:rsidRDefault="00000000">
            <w:pPr>
              <w:spacing w:after="80" w:line="252" w:lineRule="auto"/>
            </w:pPr>
            <w:r>
              <w:rPr>
                <w:b/>
                <w:bCs/>
                <w:sz w:val="20"/>
                <w:szCs w:val="20"/>
              </w:rPr>
              <w:t>Art. 15.10(1D) — Public domain bar</w:t>
            </w:r>
          </w:p>
          <w:p w14:paraId="62E7F6FE" w14:textId="77777777" w:rsidR="00B53A43" w:rsidRDefault="00000000">
            <w:pPr>
              <w:spacing w:after="80" w:line="252" w:lineRule="auto"/>
            </w:pPr>
            <w:r>
              <w:rPr>
                <w:sz w:val="20"/>
                <w:szCs w:val="20"/>
              </w:rPr>
              <w:t>"No Party may consider information accessible within the public domain as undisclosed data." [But:] "if any undisclosed information... is disclosed by such entity, the Party is still required to protect such information from unfair commercial use."</w:t>
            </w:r>
          </w:p>
          <w:p w14:paraId="77FB6269" w14:textId="77777777" w:rsidR="00B53A43" w:rsidRDefault="00000000">
            <w:pPr>
              <w:spacing w:after="80" w:line="252" w:lineRule="auto"/>
            </w:pPr>
            <w:r>
              <w:rPr>
                <w:b/>
                <w:bCs/>
                <w:sz w:val="20"/>
                <w:szCs w:val="20"/>
              </w:rPr>
              <w:t>Art. 15.10(2) — Patent linkage</w:t>
            </w:r>
          </w:p>
          <w:p w14:paraId="01FB44D1" w14:textId="77777777" w:rsidR="00B53A43" w:rsidRDefault="00000000">
            <w:pPr>
              <w:spacing w:after="80" w:line="252" w:lineRule="auto"/>
            </w:pPr>
            <w:r>
              <w:rPr>
                <w:sz w:val="20"/>
                <w:szCs w:val="20"/>
              </w:rPr>
              <w:t xml:space="preserve">"[The Party] shall implement measures in its marketing approval process to prevent such other persons from marketing a product covered by a patent claiming the previously approved product or its approved use during the term of that patent, unless by </w:t>
            </w:r>
            <w:r>
              <w:rPr>
                <w:sz w:val="20"/>
                <w:szCs w:val="20"/>
              </w:rPr>
              <w:lastRenderedPageBreak/>
              <w:t>consent or acquiescence of the patent owner."</w:t>
            </w:r>
          </w:p>
          <w:p w14:paraId="1F8BC458" w14:textId="77777777" w:rsidR="00B53A43" w:rsidRDefault="00000000">
            <w:pPr>
              <w:spacing w:after="80" w:line="252" w:lineRule="auto"/>
            </w:pPr>
            <w:r>
              <w:rPr>
                <w:b/>
                <w:bCs/>
                <w:sz w:val="20"/>
                <w:szCs w:val="20"/>
              </w:rPr>
              <w:t xml:space="preserve">Art. 15.9(5) — </w:t>
            </w:r>
            <w:proofErr w:type="spellStart"/>
            <w:r>
              <w:rPr>
                <w:b/>
                <w:bCs/>
                <w:sz w:val="20"/>
                <w:szCs w:val="20"/>
              </w:rPr>
              <w:t>Bolar</w:t>
            </w:r>
            <w:proofErr w:type="spellEnd"/>
            <w:r>
              <w:rPr>
                <w:b/>
                <w:bCs/>
                <w:sz w:val="20"/>
                <w:szCs w:val="20"/>
              </w:rPr>
              <w:t xml:space="preserve"> exception scope</w:t>
            </w:r>
          </w:p>
          <w:p w14:paraId="4FF82336" w14:textId="77777777" w:rsidR="00B53A43" w:rsidRDefault="00000000">
            <w:pPr>
              <w:spacing w:after="80" w:line="252" w:lineRule="auto"/>
            </w:pPr>
            <w:r>
              <w:rPr>
                <w:sz w:val="20"/>
                <w:szCs w:val="20"/>
              </w:rPr>
              <w:t>Permits third-party use of patented subject matter to generate information for marketing approval, but only for purposes of meeting approval requirements — not for commercial production before patent expiry.</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7D6BA4C8" w14:textId="77777777" w:rsidR="00B53A43" w:rsidRDefault="00000000">
            <w:pPr>
              <w:spacing w:after="80" w:line="252" w:lineRule="auto"/>
            </w:pPr>
            <w:r>
              <w:rPr>
                <w:b/>
                <w:bCs/>
                <w:sz w:val="20"/>
                <w:szCs w:val="20"/>
              </w:rPr>
              <w:lastRenderedPageBreak/>
              <w:t>Art. 148A — Patent-eligible subject matter</w:t>
            </w:r>
          </w:p>
          <w:p w14:paraId="259D8884" w14:textId="77777777" w:rsidR="00B53A43" w:rsidRDefault="00000000">
            <w:pPr>
              <w:spacing w:after="80" w:line="252" w:lineRule="auto"/>
            </w:pPr>
            <w:r>
              <w:rPr>
                <w:sz w:val="20"/>
                <w:szCs w:val="20"/>
              </w:rPr>
              <w:t>"Parties may provide protection for any products or processes in any fields of technology, provided they are new, involve some degree of non-obviousness and are capable of industrial application."</w:t>
            </w:r>
          </w:p>
          <w:p w14:paraId="278AED2C" w14:textId="77777777" w:rsidR="00B53A43" w:rsidRDefault="00000000">
            <w:pPr>
              <w:spacing w:after="80" w:line="252" w:lineRule="auto"/>
            </w:pPr>
            <w:r>
              <w:rPr>
                <w:b/>
                <w:bCs/>
                <w:sz w:val="20"/>
                <w:szCs w:val="20"/>
              </w:rPr>
              <w:t>Art. 148B — Data protection duration</w:t>
            </w:r>
          </w:p>
          <w:p w14:paraId="17B973D3" w14:textId="77777777" w:rsidR="00B53A43" w:rsidRDefault="00000000">
            <w:pPr>
              <w:spacing w:after="80" w:line="252" w:lineRule="auto"/>
            </w:pPr>
            <w:r>
              <w:rPr>
                <w:sz w:val="20"/>
                <w:szCs w:val="20"/>
              </w:rPr>
              <w:t>"The term of protection available shall not end before five years, nor exceed 10 years, counted from the filing date, or where priority is claimed, from the priority date."</w:t>
            </w:r>
          </w:p>
          <w:p w14:paraId="409D1A07" w14:textId="77777777" w:rsidR="00B53A43" w:rsidRDefault="00000000">
            <w:pPr>
              <w:spacing w:after="80" w:line="252" w:lineRule="auto"/>
            </w:pPr>
            <w:r>
              <w:rPr>
                <w:b/>
                <w:bCs/>
                <w:sz w:val="20"/>
                <w:szCs w:val="20"/>
              </w:rPr>
              <w:t xml:space="preserve">Note: </w:t>
            </w:r>
            <w:proofErr w:type="spellStart"/>
            <w:r>
              <w:rPr>
                <w:sz w:val="20"/>
                <w:szCs w:val="20"/>
              </w:rPr>
              <w:t>EU-CARIFORUM-EPA</w:t>
            </w:r>
            <w:proofErr w:type="spellEnd"/>
            <w:r>
              <w:rPr>
                <w:sz w:val="20"/>
                <w:szCs w:val="20"/>
              </w:rPr>
              <w:t xml:space="preserve"> provides a floor (5 years) and a ceiling (10 years) for data protection, unlike CAFTA-DR which sets only a floor. The absence of an explicit public domain bar is also notable.</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65FC571B" w14:textId="77777777" w:rsidR="00B53A43" w:rsidRDefault="00000000">
            <w:pPr>
              <w:spacing w:after="80" w:line="252" w:lineRule="auto"/>
            </w:pPr>
            <w:r>
              <w:rPr>
                <w:b/>
                <w:bCs/>
                <w:sz w:val="20"/>
                <w:szCs w:val="20"/>
              </w:rPr>
              <w:t>Art. 256 — Design invalidation grounds (relevant by analogy)</w:t>
            </w:r>
          </w:p>
          <w:p w14:paraId="1CA69B79" w14:textId="77777777" w:rsidR="00B53A43" w:rsidRDefault="00000000">
            <w:pPr>
              <w:spacing w:after="80" w:line="252" w:lineRule="auto"/>
            </w:pPr>
            <w:r>
              <w:rPr>
                <w:sz w:val="20"/>
                <w:szCs w:val="20"/>
              </w:rPr>
              <w:t>A design may be refused or invalidated if in conflict with a prior design, or if a distinctive sign is used in a subsequent design where the right holder of the sign has the right to prohibit such use.</w:t>
            </w:r>
          </w:p>
          <w:p w14:paraId="3EA743AE" w14:textId="77777777" w:rsidR="00B53A43" w:rsidRDefault="00000000">
            <w:pPr>
              <w:spacing w:after="80" w:line="252" w:lineRule="auto"/>
            </w:pPr>
            <w:r>
              <w:rPr>
                <w:b/>
                <w:bCs/>
                <w:sz w:val="20"/>
                <w:szCs w:val="20"/>
              </w:rPr>
              <w:t xml:space="preserve">Note: </w:t>
            </w:r>
            <w:r>
              <w:rPr>
                <w:sz w:val="20"/>
                <w:szCs w:val="20"/>
              </w:rPr>
              <w:t>The EU-CA AA does not contain a standalone data exclusivity article equivalent to CAFTA-DR Art. 15.10, but its general IP provisions and the design right framework can interact with regulatory exclusivity regimes at the national level. The absence of explicit data exclusivity provisions does not preclude LMIC parties from implementing such regimes voluntarily under domestic law.</w:t>
            </w:r>
          </w:p>
        </w:tc>
        <w:tc>
          <w:tcPr>
            <w:tcW w:w="453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31DC3212" w14:textId="5402D02D" w:rsidR="00B53A43" w:rsidRDefault="00000000">
            <w:pPr>
              <w:spacing w:after="60" w:line="252" w:lineRule="auto"/>
            </w:pPr>
            <w:r>
              <w:rPr>
                <w:i/>
                <w:iCs/>
                <w:color w:val="8B0000"/>
                <w:sz w:val="20"/>
                <w:szCs w:val="20"/>
              </w:rPr>
              <w:t>Data exclusivity is the most directly access-limiting pharmaceutical IP provision in the three FTAs.</w:t>
            </w:r>
          </w:p>
          <w:p w14:paraId="6779976E" w14:textId="77777777" w:rsidR="00B53A43" w:rsidRDefault="00000000">
            <w:pPr>
              <w:spacing w:after="80" w:line="252" w:lineRule="auto"/>
            </w:pPr>
            <w:r>
              <w:rPr>
                <w:b/>
                <w:bCs/>
                <w:sz w:val="20"/>
                <w:szCs w:val="20"/>
              </w:rPr>
              <w:t xml:space="preserve">Legal character: </w:t>
            </w:r>
            <w:r>
              <w:rPr>
                <w:sz w:val="20"/>
                <w:szCs w:val="20"/>
              </w:rPr>
              <w:t xml:space="preserve">Data exclusivity is a </w:t>
            </w:r>
            <w:proofErr w:type="spellStart"/>
            <w:r>
              <w:rPr>
                <w:sz w:val="20"/>
                <w:szCs w:val="20"/>
              </w:rPr>
              <w:t>sui</w:t>
            </w:r>
            <w:proofErr w:type="spellEnd"/>
            <w:r>
              <w:rPr>
                <w:sz w:val="20"/>
                <w:szCs w:val="20"/>
              </w:rPr>
              <w:t xml:space="preserve"> </w:t>
            </w:r>
            <w:proofErr w:type="spellStart"/>
            <w:r>
              <w:rPr>
                <w:sz w:val="20"/>
                <w:szCs w:val="20"/>
              </w:rPr>
              <w:t>generis</w:t>
            </w:r>
            <w:proofErr w:type="spellEnd"/>
            <w:r>
              <w:rPr>
                <w:sz w:val="20"/>
                <w:szCs w:val="20"/>
              </w:rPr>
              <w:t xml:space="preserve"> right, legally independent of patent status. It applies regardless of whether a patent exists, is in force, or has expired. It cannot be overcome by compulsory licensing, which affects only patent rights. This means that even a successful compulsory </w:t>
            </w:r>
            <w:proofErr w:type="spellStart"/>
            <w:r>
              <w:rPr>
                <w:sz w:val="20"/>
                <w:szCs w:val="20"/>
              </w:rPr>
              <w:t>licence</w:t>
            </w:r>
            <w:proofErr w:type="spellEnd"/>
            <w:r>
              <w:rPr>
                <w:sz w:val="20"/>
                <w:szCs w:val="20"/>
              </w:rPr>
              <w:t xml:space="preserve"> application for a patented insulin formulation may be nullified in practice if data exclusivity independently prevents the generic manufacturer from obtaining regulatory approval.</w:t>
            </w:r>
          </w:p>
          <w:p w14:paraId="3EB34E52" w14:textId="77777777" w:rsidR="00B53A43" w:rsidRDefault="00000000">
            <w:pPr>
              <w:spacing w:after="80" w:line="252" w:lineRule="auto"/>
            </w:pPr>
            <w:r>
              <w:rPr>
                <w:b/>
                <w:bCs/>
                <w:sz w:val="20"/>
                <w:szCs w:val="20"/>
              </w:rPr>
              <w:t xml:space="preserve">CAFTA-DR is the most restrictive: </w:t>
            </w:r>
            <w:r>
              <w:rPr>
                <w:sz w:val="20"/>
                <w:szCs w:val="20"/>
              </w:rPr>
              <w:t>it contains three interlocking data barriers: (i) the core 5-year exclusivity on undisclosed data (Art. 15.10.1A); (ii) a bar on using third-country regulatory approvals as a reference basis (Art. 15.10.1B); and (iii) a patent linkage requirement tying generic approval to originator patent status (Art. 15.10.2). Together, these provisions prevent generic approval by: reference to originator data; reference to publicly available third-country data; and any regulatory pathway while an originator patent remains in force.</w:t>
            </w:r>
          </w:p>
          <w:p w14:paraId="7FD08730" w14:textId="77777777" w:rsidR="00B53A43" w:rsidRDefault="00000000">
            <w:pPr>
              <w:spacing w:after="80" w:line="252" w:lineRule="auto"/>
            </w:pPr>
            <w:r>
              <w:rPr>
                <w:b/>
                <w:bCs/>
                <w:sz w:val="20"/>
                <w:szCs w:val="20"/>
              </w:rPr>
              <w:t xml:space="preserve">For </w:t>
            </w:r>
            <w:proofErr w:type="spellStart"/>
            <w:r>
              <w:rPr>
                <w:b/>
                <w:bCs/>
                <w:sz w:val="20"/>
                <w:szCs w:val="20"/>
              </w:rPr>
              <w:t>biosimilar</w:t>
            </w:r>
            <w:proofErr w:type="spellEnd"/>
            <w:r>
              <w:rPr>
                <w:b/>
                <w:bCs/>
                <w:sz w:val="20"/>
                <w:szCs w:val="20"/>
              </w:rPr>
              <w:t xml:space="preserve"> insulin specifically: </w:t>
            </w:r>
            <w:r>
              <w:rPr>
                <w:sz w:val="20"/>
                <w:szCs w:val="20"/>
              </w:rPr>
              <w:t xml:space="preserve">unlike small-molecule generics (where </w:t>
            </w:r>
            <w:proofErr w:type="spellStart"/>
            <w:r>
              <w:rPr>
                <w:sz w:val="20"/>
                <w:szCs w:val="20"/>
              </w:rPr>
              <w:t>bioequivalence</w:t>
            </w:r>
            <w:proofErr w:type="spellEnd"/>
            <w:r>
              <w:rPr>
                <w:sz w:val="20"/>
                <w:szCs w:val="20"/>
              </w:rPr>
              <w:t xml:space="preserve"> can be demonstrated through pharmacokinetic </w:t>
            </w:r>
            <w:r>
              <w:rPr>
                <w:sz w:val="20"/>
                <w:szCs w:val="20"/>
              </w:rPr>
              <w:lastRenderedPageBreak/>
              <w:t xml:space="preserve">studies), </w:t>
            </w:r>
            <w:proofErr w:type="spellStart"/>
            <w:r>
              <w:rPr>
                <w:sz w:val="20"/>
                <w:szCs w:val="20"/>
              </w:rPr>
              <w:t>biosimilar</w:t>
            </w:r>
            <w:proofErr w:type="spellEnd"/>
            <w:r>
              <w:rPr>
                <w:sz w:val="20"/>
                <w:szCs w:val="20"/>
              </w:rPr>
              <w:t xml:space="preserve"> insulins require extensive analytical and clinical comparability </w:t>
            </w:r>
            <w:proofErr w:type="spellStart"/>
            <w:r>
              <w:rPr>
                <w:sz w:val="20"/>
                <w:szCs w:val="20"/>
              </w:rPr>
              <w:t>programmes</w:t>
            </w:r>
            <w:proofErr w:type="spellEnd"/>
            <w:r>
              <w:rPr>
                <w:sz w:val="20"/>
                <w:szCs w:val="20"/>
              </w:rPr>
              <w:t xml:space="preserve"> that cannot substitute for originator data. Data exclusivity therefore functions not as a delay but as a structural prohibition for companies lacking independent clinical infrastructure — which describes most potential </w:t>
            </w:r>
            <w:proofErr w:type="spellStart"/>
            <w:r>
              <w:rPr>
                <w:sz w:val="20"/>
                <w:szCs w:val="20"/>
              </w:rPr>
              <w:t>biosimilar</w:t>
            </w:r>
            <w:proofErr w:type="spellEnd"/>
            <w:r>
              <w:rPr>
                <w:sz w:val="20"/>
                <w:szCs w:val="20"/>
              </w:rPr>
              <w:t xml:space="preserve"> manufacturers serving the Central America and Caribbean market.</w:t>
            </w:r>
          </w:p>
          <w:p w14:paraId="7637C791" w14:textId="03EA76BA" w:rsidR="00B53A43" w:rsidRDefault="00000000">
            <w:pPr>
              <w:spacing w:after="80" w:line="252" w:lineRule="auto"/>
            </w:pPr>
            <w:r>
              <w:rPr>
                <w:b/>
                <w:bCs/>
                <w:sz w:val="20"/>
                <w:szCs w:val="20"/>
              </w:rPr>
              <w:t xml:space="preserve">Empirical evidence: </w:t>
            </w:r>
            <w:r>
              <w:rPr>
                <w:i/>
                <w:iCs/>
                <w:sz w:val="20"/>
                <w:szCs w:val="20"/>
              </w:rPr>
              <w:t xml:space="preserve">Olsen et al. (2023, PLOS Medicine) </w:t>
            </w:r>
            <w:r>
              <w:rPr>
                <w:sz w:val="20"/>
                <w:szCs w:val="20"/>
              </w:rPr>
              <w:t>found that US insulin manufacturers deployed a median of 37 patent and exclusivity protections per product, with average expected protection of 18.5 years per product. Data exclusivity constituted a significant component of this architecture.</w:t>
            </w:r>
          </w:p>
        </w:tc>
      </w:tr>
      <w:tr w:rsidR="00B53A43" w14:paraId="4D2B5D5A" w14:textId="77777777" w:rsidTr="009D60A7">
        <w:tblPrEx>
          <w:tblCellMar>
            <w:top w:w="0" w:type="dxa"/>
            <w:bottom w:w="0" w:type="dxa"/>
          </w:tblCellMar>
        </w:tblPrEx>
        <w:tc>
          <w:tcPr>
            <w:tcW w:w="189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1518F1C4" w14:textId="77777777" w:rsidR="00B53A43" w:rsidRDefault="00000000">
            <w:pPr>
              <w:spacing w:line="252" w:lineRule="auto"/>
            </w:pPr>
            <w:r>
              <w:rPr>
                <w:b/>
                <w:bCs/>
                <w:sz w:val="20"/>
                <w:szCs w:val="20"/>
              </w:rPr>
              <w:lastRenderedPageBreak/>
              <w:t>2E. PATENT TERM RESTORATION (PTE)</w:t>
            </w:r>
          </w:p>
        </w:tc>
        <w:tc>
          <w:tcPr>
            <w:tcW w:w="301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78FFB315" w14:textId="77777777" w:rsidR="00B53A43" w:rsidRDefault="00000000">
            <w:pPr>
              <w:spacing w:after="80" w:line="252" w:lineRule="auto"/>
            </w:pPr>
            <w:r>
              <w:rPr>
                <w:b/>
                <w:bCs/>
                <w:sz w:val="20"/>
                <w:szCs w:val="20"/>
              </w:rPr>
              <w:t>Art. 15.9(6A) — Delay compensation</w:t>
            </w:r>
          </w:p>
          <w:p w14:paraId="04862664" w14:textId="77777777" w:rsidR="00B53A43" w:rsidRDefault="00000000">
            <w:pPr>
              <w:spacing w:after="80" w:line="252" w:lineRule="auto"/>
            </w:pPr>
            <w:r>
              <w:rPr>
                <w:sz w:val="20"/>
                <w:szCs w:val="20"/>
              </w:rPr>
              <w:t>"Each Party, at the request of the patent owner, shall adjust the term of a patent to compensate for unreasonable delays that occur in granting the patent. An unreasonable delay shall at least include a delay in the issuance of the patent of more than five years from the date of filing of the application, or three years after a request for examination has been made, whichever is later."</w:t>
            </w:r>
          </w:p>
          <w:p w14:paraId="297B8440" w14:textId="77777777" w:rsidR="00B53A43" w:rsidRDefault="00000000">
            <w:pPr>
              <w:spacing w:after="80" w:line="252" w:lineRule="auto"/>
            </w:pPr>
            <w:r>
              <w:rPr>
                <w:b/>
                <w:bCs/>
                <w:sz w:val="20"/>
                <w:szCs w:val="20"/>
              </w:rPr>
              <w:t>Art. 15.9(6B) — Regulatory approval compensation</w:t>
            </w:r>
          </w:p>
          <w:p w14:paraId="028D4E64" w14:textId="77777777" w:rsidR="00B53A43" w:rsidRDefault="00000000">
            <w:pPr>
              <w:spacing w:after="80" w:line="252" w:lineRule="auto"/>
            </w:pPr>
            <w:r>
              <w:rPr>
                <w:sz w:val="20"/>
                <w:szCs w:val="20"/>
              </w:rPr>
              <w:lastRenderedPageBreak/>
              <w:t>"With respect to any pharmaceutical product covered by a patent, each Party shall make available a restoration of the patent term to compensate the patent owner for unreasonable curtailment of the effective patent term resulting from the marketing approval process related to the first commercial marketing of the product in that Party."</w:t>
            </w:r>
          </w:p>
        </w:tc>
        <w:tc>
          <w:tcPr>
            <w:tcW w:w="280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0204FC38" w14:textId="77777777" w:rsidR="00B53A43" w:rsidRDefault="00000000">
            <w:pPr>
              <w:spacing w:after="80" w:line="252" w:lineRule="auto"/>
            </w:pPr>
            <w:r>
              <w:rPr>
                <w:b/>
                <w:bCs/>
                <w:sz w:val="20"/>
                <w:szCs w:val="20"/>
              </w:rPr>
              <w:lastRenderedPageBreak/>
              <w:t xml:space="preserve">No equivalent PTE provision in </w:t>
            </w:r>
            <w:proofErr w:type="spellStart"/>
            <w:r>
              <w:rPr>
                <w:b/>
                <w:bCs/>
                <w:sz w:val="20"/>
                <w:szCs w:val="20"/>
              </w:rPr>
              <w:t>EU-CARIFORUM-EPA</w:t>
            </w:r>
            <w:proofErr w:type="spellEnd"/>
            <w:r>
              <w:rPr>
                <w:b/>
                <w:bCs/>
                <w:sz w:val="20"/>
                <w:szCs w:val="20"/>
              </w:rPr>
              <w:t>.</w:t>
            </w:r>
          </w:p>
          <w:p w14:paraId="144C9211" w14:textId="77777777" w:rsidR="00B53A43" w:rsidRDefault="00000000">
            <w:pPr>
              <w:spacing w:after="80" w:line="252" w:lineRule="auto"/>
            </w:pPr>
            <w:r>
              <w:rPr>
                <w:b/>
                <w:bCs/>
                <w:sz w:val="20"/>
                <w:szCs w:val="20"/>
              </w:rPr>
              <w:t xml:space="preserve">Note: </w:t>
            </w:r>
            <w:r>
              <w:rPr>
                <w:sz w:val="20"/>
                <w:szCs w:val="20"/>
              </w:rPr>
              <w:t xml:space="preserve">The absence of PTE in </w:t>
            </w:r>
            <w:proofErr w:type="spellStart"/>
            <w:r>
              <w:rPr>
                <w:sz w:val="20"/>
                <w:szCs w:val="20"/>
              </w:rPr>
              <w:t>EU-CARIFORUM-EPA</w:t>
            </w:r>
            <w:proofErr w:type="spellEnd"/>
            <w:r>
              <w:rPr>
                <w:sz w:val="20"/>
                <w:szCs w:val="20"/>
              </w:rPr>
              <w:t xml:space="preserve"> is legally significant: Caribbean </w:t>
            </w:r>
            <w:proofErr w:type="spellStart"/>
            <w:r>
              <w:rPr>
                <w:sz w:val="20"/>
                <w:szCs w:val="20"/>
              </w:rPr>
              <w:t>CARIFORUM</w:t>
            </w:r>
            <w:proofErr w:type="spellEnd"/>
            <w:r>
              <w:rPr>
                <w:sz w:val="20"/>
                <w:szCs w:val="20"/>
              </w:rPr>
              <w:t xml:space="preserve"> states are not obligated by this agreement to provide patent term extensions. This creates an asymmetry with CAFTA-DR signatories (including the Dominican Republic), which are so obligated.</w:t>
            </w:r>
          </w:p>
        </w:tc>
        <w:tc>
          <w:tcPr>
            <w:tcW w:w="280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588C569C" w14:textId="77777777" w:rsidR="00B53A43" w:rsidRDefault="00000000">
            <w:pPr>
              <w:spacing w:after="80" w:line="252" w:lineRule="auto"/>
            </w:pPr>
            <w:r>
              <w:rPr>
                <w:b/>
                <w:bCs/>
                <w:sz w:val="20"/>
                <w:szCs w:val="20"/>
              </w:rPr>
              <w:t>No equivalent PTE provision in EU-CA Association Agreement.</w:t>
            </w:r>
          </w:p>
          <w:p w14:paraId="1AE378FB" w14:textId="77777777" w:rsidR="00B53A43" w:rsidRDefault="00000000">
            <w:pPr>
              <w:spacing w:after="80" w:line="252" w:lineRule="auto"/>
            </w:pPr>
            <w:r>
              <w:rPr>
                <w:b/>
                <w:bCs/>
                <w:sz w:val="20"/>
                <w:szCs w:val="20"/>
              </w:rPr>
              <w:t xml:space="preserve">Note: </w:t>
            </w:r>
            <w:r>
              <w:rPr>
                <w:sz w:val="20"/>
                <w:szCs w:val="20"/>
              </w:rPr>
              <w:t>Similarly, Central American signatories to the EU-CA AA are not obligated by that agreement to provide PTE. Those that are also CAFTA-DR parties (Guatemala, El Salvador, Honduras, Costa Rica, Nicaragua) remain subject to the CAFTA-DR PTE obligation. Panama, which is an EU-CA AA but not a CAFTA-DR signatory, has no treaty-based PTE obligation.</w:t>
            </w:r>
          </w:p>
        </w:tc>
        <w:tc>
          <w:tcPr>
            <w:tcW w:w="453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23A50270" w14:textId="12317A81" w:rsidR="00B53A43" w:rsidRDefault="00000000">
            <w:pPr>
              <w:spacing w:after="60" w:line="252" w:lineRule="auto"/>
            </w:pPr>
            <w:r>
              <w:rPr>
                <w:i/>
                <w:iCs/>
                <w:color w:val="8B0000"/>
                <w:sz w:val="20"/>
                <w:szCs w:val="20"/>
              </w:rPr>
              <w:t>Patent term restoration is a TRIPS-plus obligation not required by the TRIPS Agreement — it is imposed by the high-income negotiating party for the direct benefit of its pharmaceutical industry.</w:t>
            </w:r>
          </w:p>
          <w:p w14:paraId="0C5B4095" w14:textId="77777777" w:rsidR="00B53A43" w:rsidRDefault="00000000">
            <w:pPr>
              <w:spacing w:after="80" w:line="252" w:lineRule="auto"/>
            </w:pPr>
            <w:r>
              <w:rPr>
                <w:b/>
                <w:bCs/>
                <w:sz w:val="20"/>
                <w:szCs w:val="20"/>
              </w:rPr>
              <w:t xml:space="preserve">Legal mechanism: </w:t>
            </w:r>
            <w:r>
              <w:rPr>
                <w:sz w:val="20"/>
                <w:szCs w:val="20"/>
              </w:rPr>
              <w:t>PTE extends the effective patent term beyond the nominal 20-year term by compensating for two types of delay: (i) administrative delay in patent grant; and (ii) time spent in the regulatory marketing approval process. For insulin analogues, where clinical trials and regulatory review typically span several years, PTE entitlements are substantial and routine.</w:t>
            </w:r>
          </w:p>
          <w:p w14:paraId="23C948F5" w14:textId="77777777" w:rsidR="00B53A43" w:rsidRDefault="00000000">
            <w:pPr>
              <w:spacing w:after="80" w:line="252" w:lineRule="auto"/>
            </w:pPr>
            <w:r>
              <w:rPr>
                <w:b/>
                <w:bCs/>
                <w:sz w:val="20"/>
                <w:szCs w:val="20"/>
              </w:rPr>
              <w:t xml:space="preserve">Interaction with secondary patents: </w:t>
            </w:r>
            <w:r>
              <w:rPr>
                <w:sz w:val="20"/>
                <w:szCs w:val="20"/>
              </w:rPr>
              <w:t xml:space="preserve">PTE operates on individual patents. Given that insulin manufacturers file successive patent cohorts on formulations, delivery mechanisms, </w:t>
            </w:r>
            <w:r>
              <w:rPr>
                <w:sz w:val="20"/>
                <w:szCs w:val="20"/>
              </w:rPr>
              <w:lastRenderedPageBreak/>
              <w:t xml:space="preserve">and device combinations (documented by Kaplan &amp; </w:t>
            </w:r>
            <w:proofErr w:type="spellStart"/>
            <w:r>
              <w:rPr>
                <w:sz w:val="20"/>
                <w:szCs w:val="20"/>
              </w:rPr>
              <w:t>Beall</w:t>
            </w:r>
            <w:proofErr w:type="spellEnd"/>
            <w:r>
              <w:rPr>
                <w:sz w:val="20"/>
                <w:szCs w:val="20"/>
              </w:rPr>
              <w:t xml:space="preserve">, 2017), PTE can extend each cohort separately, creating a rolling series of overlapping extended exclusivity periods that collectively prevent </w:t>
            </w:r>
            <w:proofErr w:type="spellStart"/>
            <w:r>
              <w:rPr>
                <w:sz w:val="20"/>
                <w:szCs w:val="20"/>
              </w:rPr>
              <w:t>biosimilar</w:t>
            </w:r>
            <w:proofErr w:type="spellEnd"/>
            <w:r>
              <w:rPr>
                <w:sz w:val="20"/>
                <w:szCs w:val="20"/>
              </w:rPr>
              <w:t xml:space="preserve"> entry long after any single patent would have expired under TRIPS alone.</w:t>
            </w:r>
          </w:p>
          <w:p w14:paraId="3D53A69B" w14:textId="3656B993" w:rsidR="00B53A43" w:rsidRDefault="00000000">
            <w:pPr>
              <w:spacing w:after="80" w:line="252" w:lineRule="auto"/>
            </w:pPr>
            <w:r>
              <w:rPr>
                <w:b/>
                <w:bCs/>
                <w:sz w:val="20"/>
                <w:szCs w:val="20"/>
              </w:rPr>
              <w:t xml:space="preserve">Asymmetric obligation: </w:t>
            </w:r>
            <w:r>
              <w:rPr>
                <w:sz w:val="20"/>
                <w:szCs w:val="20"/>
              </w:rPr>
              <w:t xml:space="preserve">Only CAFTA-DR imposes PTE on its signatories. This creates a two-tier obligation within the region: Dominican Republic, Guatemala, El Salvador, Honduras, Costa Rica, and Nicaragua are bound by CAFTA-DR PTE; Caribbean </w:t>
            </w:r>
            <w:proofErr w:type="spellStart"/>
            <w:r>
              <w:rPr>
                <w:sz w:val="20"/>
                <w:szCs w:val="20"/>
              </w:rPr>
              <w:t>CARIFORUM</w:t>
            </w:r>
            <w:proofErr w:type="spellEnd"/>
            <w:r>
              <w:rPr>
                <w:sz w:val="20"/>
                <w:szCs w:val="20"/>
              </w:rPr>
              <w:t xml:space="preserve"> states and Panama are not. Trade negotiators for non-CAFTA-DR LMICs should note that PTE is not an inevitable component of trade agreements with high-income economies.</w:t>
            </w:r>
          </w:p>
        </w:tc>
      </w:tr>
      <w:tr w:rsidR="00B53A43" w14:paraId="1CAEDA90" w14:textId="77777777" w:rsidTr="009D60A7">
        <w:tblPrEx>
          <w:tblCellMar>
            <w:top w:w="0" w:type="dxa"/>
            <w:bottom w:w="0" w:type="dxa"/>
          </w:tblCellMar>
        </w:tblPrEx>
        <w:tc>
          <w:tcPr>
            <w:tcW w:w="189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13A925C2" w14:textId="77777777" w:rsidR="00B53A43" w:rsidRDefault="00000000">
            <w:pPr>
              <w:spacing w:line="252" w:lineRule="auto"/>
            </w:pPr>
            <w:r>
              <w:rPr>
                <w:b/>
                <w:bCs/>
                <w:sz w:val="20"/>
                <w:szCs w:val="20"/>
              </w:rPr>
              <w:lastRenderedPageBreak/>
              <w:t>3. ENFORCEMENT OF INTELLECTUAL PROPERTY RIGHTS</w:t>
            </w:r>
          </w:p>
        </w:tc>
        <w:tc>
          <w:tcPr>
            <w:tcW w:w="301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5B1A31B5" w14:textId="77777777" w:rsidR="00B53A43" w:rsidRDefault="00000000">
            <w:pPr>
              <w:spacing w:after="80" w:line="252" w:lineRule="auto"/>
            </w:pPr>
            <w:r>
              <w:rPr>
                <w:b/>
                <w:bCs/>
                <w:sz w:val="20"/>
                <w:szCs w:val="20"/>
              </w:rPr>
              <w:t>Art. 15.11(7A) — Civil damages</w:t>
            </w:r>
          </w:p>
          <w:p w14:paraId="16F1C95E" w14:textId="77777777" w:rsidR="00B53A43" w:rsidRDefault="00000000">
            <w:pPr>
              <w:spacing w:after="80" w:line="252" w:lineRule="auto"/>
            </w:pPr>
            <w:r>
              <w:rPr>
                <w:sz w:val="20"/>
                <w:szCs w:val="20"/>
              </w:rPr>
              <w:t xml:space="preserve">"Judicial authorities shall have the authority to order the infringer to pay the right holder: (i) damages adequate to compensate for the injury; and (ii) in the case of trademark counterfeiting, the profits of the infringer attributable to the infringement. In determining damages, authorities shall consider the value of the </w:t>
            </w:r>
            <w:r>
              <w:rPr>
                <w:sz w:val="20"/>
                <w:szCs w:val="20"/>
              </w:rPr>
              <w:lastRenderedPageBreak/>
              <w:t>infringed good based on the suggested retail price or other legitimate measure of value that the right holder presents."</w:t>
            </w:r>
          </w:p>
          <w:p w14:paraId="54C6E21B" w14:textId="77777777" w:rsidR="00B53A43" w:rsidRDefault="00000000">
            <w:pPr>
              <w:spacing w:after="80" w:line="252" w:lineRule="auto"/>
            </w:pPr>
            <w:r>
              <w:rPr>
                <w:b/>
                <w:bCs/>
                <w:sz w:val="20"/>
                <w:szCs w:val="20"/>
              </w:rPr>
              <w:t>Art. 15.11(14) — Civil remedies for digital/technological measures</w:t>
            </w:r>
          </w:p>
          <w:p w14:paraId="6CDD002B" w14:textId="77777777" w:rsidR="00B53A43" w:rsidRDefault="00000000">
            <w:pPr>
              <w:spacing w:after="80" w:line="252" w:lineRule="auto"/>
            </w:pPr>
            <w:r>
              <w:rPr>
                <w:sz w:val="20"/>
                <w:szCs w:val="20"/>
              </w:rPr>
              <w:t>"Civil remedies shall include at least: (a) provisional measures, including seizure of devices and products suspected of being involved in the prohibited activity."</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755C7411" w14:textId="77777777" w:rsidR="00B53A43" w:rsidRDefault="00000000">
            <w:pPr>
              <w:spacing w:after="80" w:line="252" w:lineRule="auto"/>
            </w:pPr>
            <w:r>
              <w:rPr>
                <w:b/>
                <w:bCs/>
                <w:sz w:val="20"/>
                <w:szCs w:val="20"/>
              </w:rPr>
              <w:lastRenderedPageBreak/>
              <w:t>Art. 154 — Pre-judgment evidence preservation</w:t>
            </w:r>
          </w:p>
          <w:p w14:paraId="76DDB984" w14:textId="77777777" w:rsidR="00B53A43" w:rsidRDefault="00000000">
            <w:pPr>
              <w:spacing w:after="80" w:line="252" w:lineRule="auto"/>
            </w:pPr>
            <w:r>
              <w:rPr>
                <w:sz w:val="20"/>
                <w:szCs w:val="20"/>
              </w:rPr>
              <w:t xml:space="preserve">"Even before the commencement of proceedings on the merits, the competent judicial authorities may... order prompt and effective provisional measures to preserve relevant evidence in respect of the alleged infringement... Such measures may include physical seizure of the </w:t>
            </w:r>
            <w:r>
              <w:rPr>
                <w:sz w:val="20"/>
                <w:szCs w:val="20"/>
              </w:rPr>
              <w:lastRenderedPageBreak/>
              <w:t>infringing goods, and, in appropriate cases, the materials and implements used in production and/or distribution."</w:t>
            </w:r>
          </w:p>
          <w:p w14:paraId="3322FB35" w14:textId="77777777" w:rsidR="00B53A43" w:rsidRDefault="00000000">
            <w:pPr>
              <w:spacing w:after="80" w:line="252" w:lineRule="auto"/>
            </w:pPr>
            <w:r>
              <w:rPr>
                <w:b/>
                <w:bCs/>
                <w:sz w:val="20"/>
                <w:szCs w:val="20"/>
              </w:rPr>
              <w:t>Art. 156 — Interlocutory injunctions</w:t>
            </w:r>
          </w:p>
          <w:p w14:paraId="600BFCA4" w14:textId="77777777" w:rsidR="00B53A43" w:rsidRDefault="00000000">
            <w:pPr>
              <w:spacing w:after="80" w:line="252" w:lineRule="auto"/>
            </w:pPr>
            <w:r>
              <w:rPr>
                <w:sz w:val="20"/>
                <w:szCs w:val="20"/>
              </w:rPr>
              <w:t>"Judicial authorities may... issue an interlocutory injunction intended to prevent any imminent infringement of an intellectual property right, or to forbid... the continuation of the alleged infringements, or to make such continuation subject to the lodging of guarantees intended to ensure the compensation of the right holder."</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46E7F7FE" w14:textId="77777777" w:rsidR="00B53A43" w:rsidRDefault="00000000">
            <w:pPr>
              <w:spacing w:after="80" w:line="252" w:lineRule="auto"/>
            </w:pPr>
            <w:r>
              <w:rPr>
                <w:b/>
                <w:bCs/>
                <w:sz w:val="20"/>
                <w:szCs w:val="20"/>
              </w:rPr>
              <w:lastRenderedPageBreak/>
              <w:t>Art. 263 — Pre-judgment provisional measures</w:t>
            </w:r>
          </w:p>
          <w:p w14:paraId="4C21B200" w14:textId="77777777" w:rsidR="00B53A43" w:rsidRDefault="00000000">
            <w:pPr>
              <w:spacing w:after="80" w:line="252" w:lineRule="auto"/>
            </w:pPr>
            <w:r>
              <w:rPr>
                <w:sz w:val="20"/>
                <w:szCs w:val="20"/>
              </w:rPr>
              <w:t>"The judicial authorities shall have the authority... to order prompt and effective provisional measures to preserve relevant evidence... Such measures may be taken, if necessary, without the other party being heard [</w:t>
            </w:r>
            <w:proofErr w:type="spellStart"/>
            <w:r>
              <w:rPr>
                <w:sz w:val="20"/>
                <w:szCs w:val="20"/>
              </w:rPr>
              <w:t>inaudita</w:t>
            </w:r>
            <w:proofErr w:type="spellEnd"/>
            <w:r>
              <w:rPr>
                <w:sz w:val="20"/>
                <w:szCs w:val="20"/>
              </w:rPr>
              <w:t xml:space="preserve"> </w:t>
            </w:r>
            <w:proofErr w:type="spellStart"/>
            <w:r>
              <w:rPr>
                <w:sz w:val="20"/>
                <w:szCs w:val="20"/>
              </w:rPr>
              <w:t>altera</w:t>
            </w:r>
            <w:proofErr w:type="spellEnd"/>
            <w:r>
              <w:rPr>
                <w:sz w:val="20"/>
                <w:szCs w:val="20"/>
              </w:rPr>
              <w:t xml:space="preserve"> </w:t>
            </w:r>
            <w:proofErr w:type="spellStart"/>
            <w:r>
              <w:rPr>
                <w:sz w:val="20"/>
                <w:szCs w:val="20"/>
              </w:rPr>
              <w:t>parte</w:t>
            </w:r>
            <w:proofErr w:type="spellEnd"/>
            <w:r>
              <w:rPr>
                <w:sz w:val="20"/>
                <w:szCs w:val="20"/>
              </w:rPr>
              <w:t xml:space="preserve">], in particular where any delay is likely to cause irreparable harm to the right </w:t>
            </w:r>
            <w:r>
              <w:rPr>
                <w:sz w:val="20"/>
                <w:szCs w:val="20"/>
              </w:rPr>
              <w:lastRenderedPageBreak/>
              <w:t>holder or where there is a demonstrable risk of evidence being destroyed."</w:t>
            </w:r>
          </w:p>
          <w:p w14:paraId="43B684F7" w14:textId="77777777" w:rsidR="00B53A43" w:rsidRDefault="00000000">
            <w:pPr>
              <w:spacing w:after="80" w:line="252" w:lineRule="auto"/>
            </w:pPr>
            <w:r>
              <w:rPr>
                <w:b/>
                <w:bCs/>
                <w:sz w:val="20"/>
                <w:szCs w:val="20"/>
              </w:rPr>
              <w:t>Art. 265 — Provisional and precautionary measures</w:t>
            </w:r>
          </w:p>
          <w:p w14:paraId="4C17BED6" w14:textId="77777777" w:rsidR="00B53A43" w:rsidRDefault="00000000">
            <w:pPr>
              <w:spacing w:after="80" w:line="252" w:lineRule="auto"/>
            </w:pPr>
            <w:r>
              <w:rPr>
                <w:sz w:val="20"/>
                <w:szCs w:val="20"/>
              </w:rPr>
              <w:t xml:space="preserve">"Judicial authorities have the authority to issue provisional and precautionary measures and execute them expeditiously to prevent imminent infringements... Such measures may be ordered at the request of the right-holder, </w:t>
            </w:r>
            <w:proofErr w:type="spellStart"/>
            <w:r>
              <w:rPr>
                <w:sz w:val="20"/>
                <w:szCs w:val="20"/>
              </w:rPr>
              <w:t>inaudita</w:t>
            </w:r>
            <w:proofErr w:type="spellEnd"/>
            <w:r>
              <w:rPr>
                <w:sz w:val="20"/>
                <w:szCs w:val="20"/>
              </w:rPr>
              <w:t xml:space="preserve"> </w:t>
            </w:r>
            <w:proofErr w:type="spellStart"/>
            <w:r>
              <w:rPr>
                <w:sz w:val="20"/>
                <w:szCs w:val="20"/>
              </w:rPr>
              <w:t>altera</w:t>
            </w:r>
            <w:proofErr w:type="spellEnd"/>
            <w:r>
              <w:rPr>
                <w:sz w:val="20"/>
                <w:szCs w:val="20"/>
              </w:rPr>
              <w:t xml:space="preserve"> </w:t>
            </w:r>
            <w:proofErr w:type="spellStart"/>
            <w:r>
              <w:rPr>
                <w:sz w:val="20"/>
                <w:szCs w:val="20"/>
              </w:rPr>
              <w:t>parte</w:t>
            </w:r>
            <w:proofErr w:type="spellEnd"/>
            <w:r>
              <w:rPr>
                <w:sz w:val="20"/>
                <w:szCs w:val="20"/>
              </w:rPr>
              <w:t xml:space="preserve"> or after hearing the defendant."</w:t>
            </w:r>
          </w:p>
        </w:tc>
        <w:tc>
          <w:tcPr>
            <w:tcW w:w="453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4601000B" w14:textId="0B873C69" w:rsidR="00B53A43" w:rsidRDefault="00000000">
            <w:pPr>
              <w:spacing w:after="60" w:line="252" w:lineRule="auto"/>
            </w:pPr>
            <w:r>
              <w:rPr>
                <w:i/>
                <w:iCs/>
                <w:color w:val="8B0000"/>
                <w:sz w:val="20"/>
                <w:szCs w:val="20"/>
              </w:rPr>
              <w:lastRenderedPageBreak/>
              <w:t xml:space="preserve">Provisional enforcement measures create a systematic chilling effect on generic and </w:t>
            </w:r>
            <w:proofErr w:type="spellStart"/>
            <w:r>
              <w:rPr>
                <w:i/>
                <w:iCs/>
                <w:color w:val="8B0000"/>
                <w:sz w:val="20"/>
                <w:szCs w:val="20"/>
              </w:rPr>
              <w:t>biosimilar</w:t>
            </w:r>
            <w:proofErr w:type="spellEnd"/>
            <w:r>
              <w:rPr>
                <w:i/>
                <w:iCs/>
                <w:color w:val="8B0000"/>
                <w:sz w:val="20"/>
                <w:szCs w:val="20"/>
              </w:rPr>
              <w:t xml:space="preserve"> market entry.</w:t>
            </w:r>
          </w:p>
          <w:p w14:paraId="2F6B79D8" w14:textId="77777777" w:rsidR="00B53A43" w:rsidRDefault="00000000">
            <w:pPr>
              <w:spacing w:after="80" w:line="252" w:lineRule="auto"/>
            </w:pPr>
            <w:r>
              <w:rPr>
                <w:b/>
                <w:bCs/>
                <w:sz w:val="20"/>
                <w:szCs w:val="20"/>
              </w:rPr>
              <w:t xml:space="preserve">Key legal feature — </w:t>
            </w:r>
            <w:proofErr w:type="spellStart"/>
            <w:r>
              <w:rPr>
                <w:b/>
                <w:bCs/>
                <w:sz w:val="20"/>
                <w:szCs w:val="20"/>
              </w:rPr>
              <w:t>inaudita</w:t>
            </w:r>
            <w:proofErr w:type="spellEnd"/>
            <w:r>
              <w:rPr>
                <w:b/>
                <w:bCs/>
                <w:sz w:val="20"/>
                <w:szCs w:val="20"/>
              </w:rPr>
              <w:t xml:space="preserve"> </w:t>
            </w:r>
            <w:proofErr w:type="spellStart"/>
            <w:r>
              <w:rPr>
                <w:b/>
                <w:bCs/>
                <w:sz w:val="20"/>
                <w:szCs w:val="20"/>
              </w:rPr>
              <w:t>altera</w:t>
            </w:r>
            <w:proofErr w:type="spellEnd"/>
            <w:r>
              <w:rPr>
                <w:b/>
                <w:bCs/>
                <w:sz w:val="20"/>
                <w:szCs w:val="20"/>
              </w:rPr>
              <w:t xml:space="preserve"> </w:t>
            </w:r>
            <w:proofErr w:type="spellStart"/>
            <w:r>
              <w:rPr>
                <w:b/>
                <w:bCs/>
                <w:sz w:val="20"/>
                <w:szCs w:val="20"/>
              </w:rPr>
              <w:t>parte</w:t>
            </w:r>
            <w:proofErr w:type="spellEnd"/>
            <w:r>
              <w:rPr>
                <w:b/>
                <w:bCs/>
                <w:sz w:val="20"/>
                <w:szCs w:val="20"/>
              </w:rPr>
              <w:t xml:space="preserve">: </w:t>
            </w:r>
            <w:r>
              <w:rPr>
                <w:sz w:val="20"/>
                <w:szCs w:val="20"/>
              </w:rPr>
              <w:t xml:space="preserve">Arts. 263 and 265 of the EU-CA AA explicitly permit provisional measures </w:t>
            </w:r>
            <w:r>
              <w:rPr>
                <w:i/>
                <w:iCs/>
                <w:sz w:val="20"/>
                <w:szCs w:val="20"/>
              </w:rPr>
              <w:t xml:space="preserve">without hearing the defendant </w:t>
            </w:r>
            <w:r>
              <w:rPr>
                <w:sz w:val="20"/>
                <w:szCs w:val="20"/>
              </w:rPr>
              <w:t>(</w:t>
            </w:r>
            <w:proofErr w:type="spellStart"/>
            <w:r>
              <w:rPr>
                <w:sz w:val="20"/>
                <w:szCs w:val="20"/>
              </w:rPr>
              <w:t>inaudita</w:t>
            </w:r>
            <w:proofErr w:type="spellEnd"/>
            <w:r>
              <w:rPr>
                <w:sz w:val="20"/>
                <w:szCs w:val="20"/>
              </w:rPr>
              <w:t xml:space="preserve"> </w:t>
            </w:r>
            <w:proofErr w:type="spellStart"/>
            <w:r>
              <w:rPr>
                <w:sz w:val="20"/>
                <w:szCs w:val="20"/>
              </w:rPr>
              <w:t>altera</w:t>
            </w:r>
            <w:proofErr w:type="spellEnd"/>
            <w:r>
              <w:rPr>
                <w:sz w:val="20"/>
                <w:szCs w:val="20"/>
              </w:rPr>
              <w:t xml:space="preserve"> </w:t>
            </w:r>
            <w:proofErr w:type="spellStart"/>
            <w:r>
              <w:rPr>
                <w:sz w:val="20"/>
                <w:szCs w:val="20"/>
              </w:rPr>
              <w:t>parte</w:t>
            </w:r>
            <w:proofErr w:type="spellEnd"/>
            <w:r>
              <w:rPr>
                <w:sz w:val="20"/>
                <w:szCs w:val="20"/>
              </w:rPr>
              <w:t xml:space="preserve">). CAFTA-DR Art. 15.11 and </w:t>
            </w:r>
            <w:proofErr w:type="spellStart"/>
            <w:r>
              <w:rPr>
                <w:sz w:val="20"/>
                <w:szCs w:val="20"/>
              </w:rPr>
              <w:t>EU-CARIFORUM-EPA</w:t>
            </w:r>
            <w:proofErr w:type="spellEnd"/>
            <w:r>
              <w:rPr>
                <w:sz w:val="20"/>
                <w:szCs w:val="20"/>
              </w:rPr>
              <w:t xml:space="preserve"> Art. 154 implicitly allow similar ex </w:t>
            </w:r>
            <w:proofErr w:type="spellStart"/>
            <w:r>
              <w:rPr>
                <w:sz w:val="20"/>
                <w:szCs w:val="20"/>
              </w:rPr>
              <w:t>parte</w:t>
            </w:r>
            <w:proofErr w:type="spellEnd"/>
            <w:r>
              <w:rPr>
                <w:sz w:val="20"/>
                <w:szCs w:val="20"/>
              </w:rPr>
              <w:t xml:space="preserve"> measures in urgent cases. This means that an originator company can obtain a court order seizing a generic manufacturer's products or blocking market entry based solely on its own evidence of alleged infringement, before the generic </w:t>
            </w:r>
            <w:r>
              <w:rPr>
                <w:sz w:val="20"/>
                <w:szCs w:val="20"/>
              </w:rPr>
              <w:lastRenderedPageBreak/>
              <w:t>manufacturer has any opportunity to contest the claim.</w:t>
            </w:r>
          </w:p>
          <w:p w14:paraId="492E10C3" w14:textId="77777777" w:rsidR="00B53A43" w:rsidRDefault="00000000">
            <w:pPr>
              <w:spacing w:after="80" w:line="252" w:lineRule="auto"/>
            </w:pPr>
            <w:r>
              <w:rPr>
                <w:b/>
                <w:bCs/>
                <w:sz w:val="20"/>
                <w:szCs w:val="20"/>
              </w:rPr>
              <w:t xml:space="preserve">Chilling effect mechanism: </w:t>
            </w:r>
            <w:r>
              <w:rPr>
                <w:sz w:val="20"/>
                <w:szCs w:val="20"/>
              </w:rPr>
              <w:t xml:space="preserve">A generic or </w:t>
            </w:r>
            <w:proofErr w:type="spellStart"/>
            <w:r>
              <w:rPr>
                <w:sz w:val="20"/>
                <w:szCs w:val="20"/>
              </w:rPr>
              <w:t>biosimilar</w:t>
            </w:r>
            <w:proofErr w:type="spellEnd"/>
            <w:r>
              <w:rPr>
                <w:sz w:val="20"/>
                <w:szCs w:val="20"/>
              </w:rPr>
              <w:t xml:space="preserve"> manufacturer launching a product in a signatory LMIC faces the risk that the originator can immediately obtain provisional market-blocking measures. Given the cost and delay involved in contesting such measures — and the asymmetric legal resources available to originator TNCs versus LMIC-based generic manufacturers — the rational response may be to avoid market entry altogether, even where the generic product does not in fact infringe any valid IP right. This chilling effect extends effective exclusivity beyond any formal legal term.</w:t>
            </w:r>
          </w:p>
          <w:p w14:paraId="0745D2A6" w14:textId="77777777" w:rsidR="00B53A43" w:rsidRDefault="00000000">
            <w:pPr>
              <w:spacing w:after="80" w:line="252" w:lineRule="auto"/>
            </w:pPr>
            <w:r>
              <w:rPr>
                <w:b/>
                <w:bCs/>
                <w:sz w:val="20"/>
                <w:szCs w:val="20"/>
              </w:rPr>
              <w:t xml:space="preserve">Damages calculation: </w:t>
            </w:r>
            <w:r>
              <w:rPr>
                <w:sz w:val="20"/>
                <w:szCs w:val="20"/>
              </w:rPr>
              <w:t xml:space="preserve">CAFTA-DR Art. 15.11(7A) requires courts to calculate damages based on the </w:t>
            </w:r>
            <w:r>
              <w:rPr>
                <w:i/>
                <w:iCs/>
                <w:sz w:val="20"/>
                <w:szCs w:val="20"/>
              </w:rPr>
              <w:t xml:space="preserve">suggested retail price </w:t>
            </w:r>
            <w:r>
              <w:rPr>
                <w:sz w:val="20"/>
                <w:szCs w:val="20"/>
              </w:rPr>
              <w:t>presented by the right holder — the originator's own price — rather than the competitive market price. This creates a structural bias in damages assessment that amplifies the deterrence effect of infringement litigation.</w:t>
            </w:r>
          </w:p>
        </w:tc>
      </w:tr>
      <w:tr w:rsidR="00B53A43" w14:paraId="3E8BEC08" w14:textId="77777777" w:rsidTr="009D60A7">
        <w:tblPrEx>
          <w:tblCellMar>
            <w:top w:w="0" w:type="dxa"/>
            <w:bottom w:w="0" w:type="dxa"/>
          </w:tblCellMar>
        </w:tblPrEx>
        <w:tc>
          <w:tcPr>
            <w:tcW w:w="189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7B0378E3" w14:textId="77777777" w:rsidR="00B53A43" w:rsidRDefault="00000000">
            <w:pPr>
              <w:spacing w:line="252" w:lineRule="auto"/>
            </w:pPr>
            <w:r>
              <w:rPr>
                <w:b/>
                <w:bCs/>
                <w:sz w:val="20"/>
                <w:szCs w:val="20"/>
              </w:rPr>
              <w:lastRenderedPageBreak/>
              <w:t>4. INVESTOR-STATE DISPUTE SETTLEMENT (ISDS)</w:t>
            </w:r>
          </w:p>
        </w:tc>
        <w:tc>
          <w:tcPr>
            <w:tcW w:w="301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4F418D9B" w14:textId="77777777" w:rsidR="00B53A43" w:rsidRDefault="00000000">
            <w:pPr>
              <w:spacing w:after="80" w:line="252" w:lineRule="auto"/>
            </w:pPr>
            <w:r>
              <w:rPr>
                <w:b/>
                <w:bCs/>
                <w:sz w:val="20"/>
                <w:szCs w:val="20"/>
              </w:rPr>
              <w:t>Art. 10.16 — Submission of claim to arbitration</w:t>
            </w:r>
          </w:p>
          <w:p w14:paraId="20E257CA" w14:textId="77777777" w:rsidR="00B53A43" w:rsidRDefault="00000000">
            <w:pPr>
              <w:spacing w:after="80" w:line="252" w:lineRule="auto"/>
            </w:pPr>
            <w:r>
              <w:rPr>
                <w:sz w:val="20"/>
                <w:szCs w:val="20"/>
              </w:rPr>
              <w:t xml:space="preserve">"In the event that a disputing party considers that an investment dispute cannot be settled by consultation and </w:t>
            </w:r>
            <w:r>
              <w:rPr>
                <w:sz w:val="20"/>
                <w:szCs w:val="20"/>
              </w:rPr>
              <w:lastRenderedPageBreak/>
              <w:t>negotiation: (a) the claimant, on its own behalf, may submit to arbitration under this Section a claim [against the respondent Party]; (b) the claimant, on behalf of an enterprise of the respondent that is a juridical person that the claimant owns or controls directly or indirectly, may submit to arbitration... a claim."</w:t>
            </w:r>
          </w:p>
          <w:p w14:paraId="264EAA1D" w14:textId="77777777" w:rsidR="00B53A43" w:rsidRDefault="00000000">
            <w:pPr>
              <w:spacing w:after="80" w:line="252" w:lineRule="auto"/>
            </w:pPr>
            <w:r>
              <w:rPr>
                <w:b/>
                <w:bCs/>
                <w:sz w:val="20"/>
                <w:szCs w:val="20"/>
              </w:rPr>
              <w:t xml:space="preserve">Note: </w:t>
            </w:r>
            <w:r>
              <w:rPr>
                <w:sz w:val="20"/>
                <w:szCs w:val="20"/>
              </w:rPr>
              <w:t>CAFTA-DR provides the most explicit and comprehensive ISDS mechanism of the three FTAs, allowing direct investor-to-state arbitration claims bypassing domestic courts entirely.</w:t>
            </w:r>
          </w:p>
        </w:tc>
        <w:tc>
          <w:tcPr>
            <w:tcW w:w="280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32E0EA2F" w14:textId="77777777" w:rsidR="00B53A43" w:rsidRDefault="00000000">
            <w:pPr>
              <w:spacing w:after="80" w:line="252" w:lineRule="auto"/>
            </w:pPr>
            <w:r>
              <w:rPr>
                <w:b/>
                <w:bCs/>
                <w:sz w:val="20"/>
                <w:szCs w:val="20"/>
              </w:rPr>
              <w:lastRenderedPageBreak/>
              <w:t>Art. 152 — Persons entitled to seek enforcement</w:t>
            </w:r>
          </w:p>
          <w:p w14:paraId="7984EA22" w14:textId="77777777" w:rsidR="00B53A43" w:rsidRDefault="00000000">
            <w:pPr>
              <w:spacing w:after="80" w:line="252" w:lineRule="auto"/>
            </w:pPr>
            <w:r>
              <w:rPr>
                <w:sz w:val="20"/>
                <w:szCs w:val="20"/>
              </w:rPr>
              <w:t xml:space="preserve">"The EC Party and the Signatory </w:t>
            </w:r>
            <w:proofErr w:type="spellStart"/>
            <w:r>
              <w:rPr>
                <w:sz w:val="20"/>
                <w:szCs w:val="20"/>
              </w:rPr>
              <w:t>CARIFORUM</w:t>
            </w:r>
            <w:proofErr w:type="spellEnd"/>
            <w:r>
              <w:rPr>
                <w:sz w:val="20"/>
                <w:szCs w:val="20"/>
              </w:rPr>
              <w:t xml:space="preserve"> States shall </w:t>
            </w:r>
            <w:proofErr w:type="spellStart"/>
            <w:r>
              <w:rPr>
                <w:sz w:val="20"/>
                <w:szCs w:val="20"/>
              </w:rPr>
              <w:t>recognise</w:t>
            </w:r>
            <w:proofErr w:type="spellEnd"/>
            <w:r>
              <w:rPr>
                <w:sz w:val="20"/>
                <w:szCs w:val="20"/>
              </w:rPr>
              <w:t xml:space="preserve"> as </w:t>
            </w:r>
            <w:r>
              <w:rPr>
                <w:sz w:val="20"/>
                <w:szCs w:val="20"/>
              </w:rPr>
              <w:lastRenderedPageBreak/>
              <w:t xml:space="preserve">persons entitled to seek application of the measures, procedures and remedies referred to in this Section and in Part III of the TRIPS Agreement: (a) the holders of intellectual property rights; (b) all other persons </w:t>
            </w:r>
            <w:proofErr w:type="spellStart"/>
            <w:r>
              <w:rPr>
                <w:sz w:val="20"/>
                <w:szCs w:val="20"/>
              </w:rPr>
              <w:t>authorised</w:t>
            </w:r>
            <w:proofErr w:type="spellEnd"/>
            <w:r>
              <w:rPr>
                <w:sz w:val="20"/>
                <w:szCs w:val="20"/>
              </w:rPr>
              <w:t xml:space="preserve"> to use those rights, in particular licensees, in so far as permitted by and in accordance with the provisions of applicable law."</w:t>
            </w:r>
          </w:p>
          <w:p w14:paraId="7B170B1E" w14:textId="77777777" w:rsidR="00B53A43" w:rsidRDefault="00000000">
            <w:pPr>
              <w:spacing w:after="80" w:line="252" w:lineRule="auto"/>
            </w:pPr>
            <w:r>
              <w:rPr>
                <w:b/>
                <w:bCs/>
                <w:sz w:val="20"/>
                <w:szCs w:val="20"/>
              </w:rPr>
              <w:t xml:space="preserve">Note: </w:t>
            </w:r>
            <w:proofErr w:type="spellStart"/>
            <w:r>
              <w:rPr>
                <w:sz w:val="20"/>
                <w:szCs w:val="20"/>
              </w:rPr>
              <w:t>EU-CARIFORUM-EPA</w:t>
            </w:r>
            <w:proofErr w:type="spellEnd"/>
            <w:r>
              <w:rPr>
                <w:sz w:val="20"/>
                <w:szCs w:val="20"/>
              </w:rPr>
              <w:t xml:space="preserve"> does not contain a standalone ISDS chapter but grants IP holders and licensees standing to seek enforcement before national courts. This provides a legal pathway for TNCs to challenge governmental measures before domestic judicial systems.</w:t>
            </w:r>
          </w:p>
        </w:tc>
        <w:tc>
          <w:tcPr>
            <w:tcW w:w="280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3E1265F9" w14:textId="77777777" w:rsidR="00B53A43" w:rsidRDefault="00000000">
            <w:pPr>
              <w:spacing w:after="80" w:line="252" w:lineRule="auto"/>
            </w:pPr>
            <w:r>
              <w:rPr>
                <w:b/>
                <w:bCs/>
                <w:sz w:val="20"/>
                <w:szCs w:val="20"/>
              </w:rPr>
              <w:lastRenderedPageBreak/>
              <w:t>Art. 261 — Persons entitled to seek enforcement</w:t>
            </w:r>
          </w:p>
          <w:p w14:paraId="62DEE6D5" w14:textId="77777777" w:rsidR="00B53A43" w:rsidRDefault="00000000">
            <w:pPr>
              <w:spacing w:after="80" w:line="252" w:lineRule="auto"/>
            </w:pPr>
            <w:r>
              <w:rPr>
                <w:sz w:val="20"/>
                <w:szCs w:val="20"/>
              </w:rPr>
              <w:t xml:space="preserve">"The Parties shall </w:t>
            </w:r>
            <w:proofErr w:type="spellStart"/>
            <w:r>
              <w:rPr>
                <w:sz w:val="20"/>
                <w:szCs w:val="20"/>
              </w:rPr>
              <w:t>recognise</w:t>
            </w:r>
            <w:proofErr w:type="spellEnd"/>
            <w:r>
              <w:rPr>
                <w:sz w:val="20"/>
                <w:szCs w:val="20"/>
              </w:rPr>
              <w:t xml:space="preserve"> as persons entitled to seek application of the measures, </w:t>
            </w:r>
            <w:r>
              <w:rPr>
                <w:sz w:val="20"/>
                <w:szCs w:val="20"/>
              </w:rPr>
              <w:lastRenderedPageBreak/>
              <w:t xml:space="preserve">procedures and remedies referred to in this Section and in Part III of the TRIPS Agreement: (a) the holders of intellectual property rights; and (b) federations and associations as well as exclusive licensees and other duly </w:t>
            </w:r>
            <w:proofErr w:type="spellStart"/>
            <w:r>
              <w:rPr>
                <w:sz w:val="20"/>
                <w:szCs w:val="20"/>
              </w:rPr>
              <w:t>authorised</w:t>
            </w:r>
            <w:proofErr w:type="spellEnd"/>
            <w:r>
              <w:rPr>
                <w:sz w:val="20"/>
                <w:szCs w:val="20"/>
              </w:rPr>
              <w:t xml:space="preserve"> licensees."</w:t>
            </w:r>
          </w:p>
          <w:p w14:paraId="1C4A705E" w14:textId="77777777" w:rsidR="00B53A43" w:rsidRDefault="00000000">
            <w:pPr>
              <w:spacing w:after="80" w:line="252" w:lineRule="auto"/>
            </w:pPr>
            <w:r>
              <w:rPr>
                <w:b/>
                <w:bCs/>
                <w:sz w:val="20"/>
                <w:szCs w:val="20"/>
              </w:rPr>
              <w:t xml:space="preserve">Note: </w:t>
            </w:r>
            <w:r>
              <w:rPr>
                <w:sz w:val="20"/>
                <w:szCs w:val="20"/>
              </w:rPr>
              <w:t xml:space="preserve">Like </w:t>
            </w:r>
            <w:proofErr w:type="spellStart"/>
            <w:r>
              <w:rPr>
                <w:sz w:val="20"/>
                <w:szCs w:val="20"/>
              </w:rPr>
              <w:t>EU-CARIFORUM-EPA</w:t>
            </w:r>
            <w:proofErr w:type="spellEnd"/>
            <w:r>
              <w:rPr>
                <w:sz w:val="20"/>
                <w:szCs w:val="20"/>
              </w:rPr>
              <w:t>, the EU-CA AA relies on national court enforcement rather than standalone ISDS arbitration, but the standing granted to licensees and associations broadens the range of potential claimants significantly.</w:t>
            </w:r>
          </w:p>
        </w:tc>
        <w:tc>
          <w:tcPr>
            <w:tcW w:w="4530" w:type="dxa"/>
            <w:tcBorders>
              <w:top w:val="single" w:sz="4" w:space="0" w:color="B0C4DE"/>
              <w:left w:val="none" w:sz="0" w:space="0" w:color="FFFFFF"/>
              <w:bottom w:val="single" w:sz="4" w:space="0" w:color="B0C4DE"/>
              <w:right w:val="none" w:sz="0" w:space="0" w:color="FFFFFF"/>
            </w:tcBorders>
            <w:shd w:val="clear" w:color="auto" w:fill="FFFFFF"/>
            <w:tcMar>
              <w:top w:w="80" w:type="dxa"/>
              <w:left w:w="140" w:type="dxa"/>
              <w:bottom w:w="80" w:type="dxa"/>
              <w:right w:w="140" w:type="dxa"/>
            </w:tcMar>
          </w:tcPr>
          <w:p w14:paraId="6EC58AB5" w14:textId="58A04F93" w:rsidR="00B53A43" w:rsidRDefault="00000000">
            <w:pPr>
              <w:spacing w:after="60" w:line="252" w:lineRule="auto"/>
            </w:pPr>
            <w:r>
              <w:rPr>
                <w:i/>
                <w:iCs/>
                <w:color w:val="8B0000"/>
                <w:sz w:val="20"/>
                <w:szCs w:val="20"/>
              </w:rPr>
              <w:lastRenderedPageBreak/>
              <w:t>ISDS provisions across all three FTAs create structural deterrents to governmental use of TRIPS flexibilities — operating through incentive restructuring rather than formal legal prohibition.</w:t>
            </w:r>
          </w:p>
          <w:p w14:paraId="2B672350" w14:textId="77777777" w:rsidR="00B53A43" w:rsidRDefault="00000000">
            <w:pPr>
              <w:spacing w:after="80" w:line="252" w:lineRule="auto"/>
            </w:pPr>
            <w:r>
              <w:rPr>
                <w:b/>
                <w:bCs/>
                <w:sz w:val="20"/>
                <w:szCs w:val="20"/>
              </w:rPr>
              <w:t xml:space="preserve">Asymmetry between FTAs: </w:t>
            </w:r>
            <w:r>
              <w:rPr>
                <w:sz w:val="20"/>
                <w:szCs w:val="20"/>
              </w:rPr>
              <w:t xml:space="preserve">CAFTA-DR provides a full international arbitration pathway, </w:t>
            </w:r>
            <w:r>
              <w:rPr>
                <w:sz w:val="20"/>
                <w:szCs w:val="20"/>
              </w:rPr>
              <w:lastRenderedPageBreak/>
              <w:t xml:space="preserve">enabling pharmaceutical TNCs to bring investment claims before arbitral panels (typically ICSID or </w:t>
            </w:r>
            <w:proofErr w:type="spellStart"/>
            <w:r>
              <w:rPr>
                <w:sz w:val="20"/>
                <w:szCs w:val="20"/>
              </w:rPr>
              <w:t>UNCITRAL</w:t>
            </w:r>
            <w:proofErr w:type="spellEnd"/>
            <w:r>
              <w:rPr>
                <w:sz w:val="20"/>
                <w:szCs w:val="20"/>
              </w:rPr>
              <w:t xml:space="preserve">) without first exhausting domestic remedies. </w:t>
            </w:r>
            <w:proofErr w:type="spellStart"/>
            <w:r>
              <w:rPr>
                <w:sz w:val="20"/>
                <w:szCs w:val="20"/>
              </w:rPr>
              <w:t>EU-CARIFORUM-EPA</w:t>
            </w:r>
            <w:proofErr w:type="spellEnd"/>
            <w:r>
              <w:rPr>
                <w:sz w:val="20"/>
                <w:szCs w:val="20"/>
              </w:rPr>
              <w:t xml:space="preserve"> and EU-CA AA channel enforcement through national courts, which provides a degree of procedural oversight but still creates significant deterrent effects given the legal resources required to defend against TNC claims.</w:t>
            </w:r>
          </w:p>
          <w:p w14:paraId="2EC27A92" w14:textId="77777777" w:rsidR="00B53A43" w:rsidRDefault="00000000">
            <w:pPr>
              <w:spacing w:after="80" w:line="252" w:lineRule="auto"/>
            </w:pPr>
            <w:r>
              <w:rPr>
                <w:b/>
                <w:bCs/>
                <w:sz w:val="20"/>
                <w:szCs w:val="20"/>
              </w:rPr>
              <w:t xml:space="preserve">Anticipatory compliance effect: </w:t>
            </w:r>
            <w:r>
              <w:rPr>
                <w:sz w:val="20"/>
                <w:szCs w:val="20"/>
              </w:rPr>
              <w:t>The deterrence function of ISDS does not require a successful arbitration award. As documented in the case of Novartis v. Colombia (Thrasher et al., 2019) and confirmed by the prior Dominican Republic study (Todde, 2025), the credible threat of a claim — combined with asymmetric legal costs, diplomatic pressure, and potential arbitral awards — is sufficient to produce self-censoring by LMIC governments. Governments forgo legally available TRIPS flexibilities not because they are formally precluded, but because ISDS risk makes restraint the rational strategy.</w:t>
            </w:r>
          </w:p>
          <w:p w14:paraId="75E509F4" w14:textId="77777777" w:rsidR="00B53A43" w:rsidRDefault="00000000">
            <w:pPr>
              <w:spacing w:after="80" w:line="252" w:lineRule="auto"/>
            </w:pPr>
            <w:r>
              <w:rPr>
                <w:b/>
                <w:bCs/>
                <w:sz w:val="20"/>
                <w:szCs w:val="20"/>
              </w:rPr>
              <w:t xml:space="preserve">Interaction with Doha Declaration: </w:t>
            </w:r>
            <w:r>
              <w:rPr>
                <w:sz w:val="20"/>
                <w:szCs w:val="20"/>
              </w:rPr>
              <w:t xml:space="preserve">The 2001 Doha Declaration affirmed the right of WTO members to use TRIPS flexibilities to protect public health. ISDS provisions in subsequent FTAs create a mechanism through which pharmaceutical TNCs can partially reverse this affirmation in practice — not by removing the formal legal right, but by imposing costs on its </w:t>
            </w:r>
            <w:r>
              <w:rPr>
                <w:sz w:val="20"/>
                <w:szCs w:val="20"/>
              </w:rPr>
              <w:lastRenderedPageBreak/>
              <w:t>exercise that rational LMIC governments prefer to avoid. This represents the most significant structural contradiction in the pharmaceutical IP architecture of the three FTAs.</w:t>
            </w:r>
          </w:p>
          <w:p w14:paraId="3552A4E0" w14:textId="2D0159BE" w:rsidR="00B53A43" w:rsidRDefault="00000000">
            <w:pPr>
              <w:spacing w:after="80" w:line="252" w:lineRule="auto"/>
            </w:pPr>
            <w:r>
              <w:rPr>
                <w:b/>
                <w:bCs/>
                <w:sz w:val="20"/>
                <w:szCs w:val="20"/>
              </w:rPr>
              <w:t xml:space="preserve">Reform options: </w:t>
            </w:r>
            <w:r>
              <w:rPr>
                <w:sz w:val="20"/>
                <w:szCs w:val="20"/>
              </w:rPr>
              <w:t>Explicit public health exception carve-outs in ISDS provisions; treaty language affirming that invocation of TRIPS flexibilities does not constitute expropriation; institutional court model with appellate review (EU position in recent negotiations)</w:t>
            </w:r>
            <w:r>
              <w:rPr>
                <w:i/>
                <w:iCs/>
                <w:sz w:val="20"/>
                <w:szCs w:val="20"/>
              </w:rPr>
              <w:t>.</w:t>
            </w:r>
          </w:p>
        </w:tc>
      </w:tr>
      <w:tr w:rsidR="00B53A43" w14:paraId="68C62CDA" w14:textId="77777777" w:rsidTr="009D60A7">
        <w:tblPrEx>
          <w:tblCellMar>
            <w:top w:w="0" w:type="dxa"/>
            <w:bottom w:w="0" w:type="dxa"/>
          </w:tblCellMar>
        </w:tblPrEx>
        <w:tc>
          <w:tcPr>
            <w:tcW w:w="189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18EAD3C3" w14:textId="77777777" w:rsidR="00B53A43" w:rsidRDefault="00000000">
            <w:pPr>
              <w:spacing w:line="252" w:lineRule="auto"/>
            </w:pPr>
            <w:r>
              <w:rPr>
                <w:b/>
                <w:bCs/>
                <w:sz w:val="20"/>
                <w:szCs w:val="20"/>
              </w:rPr>
              <w:lastRenderedPageBreak/>
              <w:t>5. GOVERNMENT PROCUREMENT AND PRICE NEGOTIATION</w:t>
            </w:r>
          </w:p>
        </w:tc>
        <w:tc>
          <w:tcPr>
            <w:tcW w:w="301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03CAA60D" w14:textId="77777777" w:rsidR="00B53A43" w:rsidRDefault="00000000">
            <w:pPr>
              <w:spacing w:after="80" w:line="252" w:lineRule="auto"/>
            </w:pPr>
            <w:r>
              <w:rPr>
                <w:b/>
                <w:bCs/>
                <w:sz w:val="20"/>
                <w:szCs w:val="20"/>
              </w:rPr>
              <w:t>Art. 9.9 — Limited tendering</w:t>
            </w:r>
          </w:p>
          <w:p w14:paraId="1050FBC5" w14:textId="77777777" w:rsidR="00B53A43" w:rsidRDefault="00000000">
            <w:pPr>
              <w:spacing w:after="80" w:line="252" w:lineRule="auto"/>
            </w:pPr>
            <w:r>
              <w:rPr>
                <w:sz w:val="20"/>
                <w:szCs w:val="20"/>
              </w:rPr>
              <w:t>"Where, for works of art, or for reasons connected with the protection of exclusive intellectual property rights, such as patents or copyrights, or proprietary information, or where there is an absence of competition for technical reasons, the goods or services can be supplied only by a particular supplier and no reasonable alternative or substitute exists [limited tendering is permitted]."</w:t>
            </w:r>
          </w:p>
          <w:p w14:paraId="0DD76D24" w14:textId="77777777" w:rsidR="00B53A43" w:rsidRDefault="00000000">
            <w:pPr>
              <w:spacing w:after="80" w:line="252" w:lineRule="auto"/>
            </w:pPr>
            <w:r>
              <w:rPr>
                <w:b/>
                <w:bCs/>
                <w:sz w:val="20"/>
                <w:szCs w:val="20"/>
              </w:rPr>
              <w:t xml:space="preserve">Note: </w:t>
            </w:r>
            <w:r>
              <w:rPr>
                <w:sz w:val="20"/>
                <w:szCs w:val="20"/>
              </w:rPr>
              <w:t xml:space="preserve">CAFTA-DR Art. 9.9 does not explicitly provide for price negotiation in procurement. The limited tendering exception is framed </w:t>
            </w:r>
            <w:r>
              <w:rPr>
                <w:sz w:val="20"/>
                <w:szCs w:val="20"/>
              </w:rPr>
              <w:lastRenderedPageBreak/>
              <w:t>around IP exclusivity — effectively acknowledging that IP protection justifies single-source procurement in pharmaceutical markets.</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1C82B6E0" w14:textId="77777777" w:rsidR="00B53A43" w:rsidRDefault="00000000">
            <w:pPr>
              <w:spacing w:after="80" w:line="252" w:lineRule="auto"/>
            </w:pPr>
            <w:r>
              <w:rPr>
                <w:b/>
                <w:bCs/>
                <w:sz w:val="20"/>
                <w:szCs w:val="20"/>
              </w:rPr>
              <w:lastRenderedPageBreak/>
              <w:t>Art. 171(2) — Limited tendering</w:t>
            </w:r>
          </w:p>
          <w:p w14:paraId="5DAE7D13" w14:textId="77777777" w:rsidR="00B53A43" w:rsidRDefault="00000000">
            <w:pPr>
              <w:spacing w:after="80" w:line="252" w:lineRule="auto"/>
            </w:pPr>
            <w:r>
              <w:rPr>
                <w:sz w:val="20"/>
                <w:szCs w:val="20"/>
              </w:rPr>
              <w:t>"Procuring entities may award their public contracts by limited tendering procedure... when, for technical or artistic reasons, or for reasons connected with protection of exclusive rights, the contract may be performed only by a particular supplier and no reasonable alternative or substitute exists."</w:t>
            </w:r>
          </w:p>
          <w:p w14:paraId="0A01299B" w14:textId="77777777" w:rsidR="00B53A43" w:rsidRDefault="00000000">
            <w:pPr>
              <w:spacing w:after="80" w:line="252" w:lineRule="auto"/>
            </w:pPr>
            <w:r>
              <w:rPr>
                <w:b/>
                <w:bCs/>
                <w:sz w:val="20"/>
                <w:szCs w:val="20"/>
              </w:rPr>
              <w:t>Art. 175 — Negotiations</w:t>
            </w:r>
          </w:p>
          <w:p w14:paraId="69A5E1C5" w14:textId="77777777" w:rsidR="00B53A43" w:rsidRDefault="00000000">
            <w:pPr>
              <w:spacing w:after="80" w:line="252" w:lineRule="auto"/>
            </w:pPr>
            <w:r>
              <w:rPr>
                <w:sz w:val="20"/>
                <w:szCs w:val="20"/>
              </w:rPr>
              <w:t xml:space="preserve">"The Signatory </w:t>
            </w:r>
            <w:proofErr w:type="spellStart"/>
            <w:r>
              <w:rPr>
                <w:sz w:val="20"/>
                <w:szCs w:val="20"/>
              </w:rPr>
              <w:t>CARIFORUM</w:t>
            </w:r>
            <w:proofErr w:type="spellEnd"/>
            <w:r>
              <w:rPr>
                <w:sz w:val="20"/>
                <w:szCs w:val="20"/>
              </w:rPr>
              <w:t xml:space="preserve"> States and the EC Party may provide for their procuring entities to conduct negotiations."</w:t>
            </w:r>
          </w:p>
        </w:tc>
        <w:tc>
          <w:tcPr>
            <w:tcW w:w="280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1BD320D4" w14:textId="77777777" w:rsidR="00B53A43" w:rsidRDefault="00000000">
            <w:pPr>
              <w:spacing w:after="80" w:line="252" w:lineRule="auto"/>
            </w:pPr>
            <w:r>
              <w:rPr>
                <w:b/>
                <w:bCs/>
                <w:sz w:val="20"/>
                <w:szCs w:val="20"/>
              </w:rPr>
              <w:t>Art. 220 — Limited tendering</w:t>
            </w:r>
          </w:p>
          <w:p w14:paraId="0D9F2BD4" w14:textId="77777777" w:rsidR="00B53A43" w:rsidRDefault="00000000">
            <w:pPr>
              <w:spacing w:after="80" w:line="252" w:lineRule="auto"/>
            </w:pPr>
            <w:r>
              <w:rPr>
                <w:sz w:val="20"/>
                <w:szCs w:val="20"/>
              </w:rPr>
              <w:t>"A procuring entity may award contracts by limited tendering... where, for works of art, or for reasons connected with the protection of exclusive intellectual property rights, such as patents or copyrights, or proprietary information, or where there is an absence of competition for technical reasons, the goods or services can be supplied only by a particular supplier and no reasonable alternative or substitute exists."</w:t>
            </w:r>
          </w:p>
          <w:p w14:paraId="2E610A15" w14:textId="77777777" w:rsidR="00B53A43" w:rsidRDefault="00000000">
            <w:pPr>
              <w:spacing w:after="80" w:line="252" w:lineRule="auto"/>
            </w:pPr>
            <w:r>
              <w:rPr>
                <w:b/>
                <w:bCs/>
                <w:sz w:val="20"/>
                <w:szCs w:val="20"/>
              </w:rPr>
              <w:lastRenderedPageBreak/>
              <w:t>Art. 219 — Negotiation procedure</w:t>
            </w:r>
          </w:p>
          <w:p w14:paraId="5BCC8598" w14:textId="77777777" w:rsidR="00B53A43" w:rsidRDefault="00000000">
            <w:pPr>
              <w:spacing w:after="80" w:line="252" w:lineRule="auto"/>
            </w:pPr>
            <w:r>
              <w:rPr>
                <w:sz w:val="20"/>
                <w:szCs w:val="20"/>
              </w:rPr>
              <w:t>"Each Party may provide for its procuring entities to conduct procurements through the negotiations procedure, in the following cases: (a) where indicated such intent in the notice of intended procurement; or (b) where no one tender is obviously the most advantageous in terms of the specific evaluation criteria."</w:t>
            </w:r>
          </w:p>
        </w:tc>
        <w:tc>
          <w:tcPr>
            <w:tcW w:w="4530" w:type="dxa"/>
            <w:tcBorders>
              <w:top w:val="single" w:sz="4" w:space="0" w:color="B0C4DE"/>
              <w:left w:val="none" w:sz="0" w:space="0" w:color="FFFFFF"/>
              <w:bottom w:val="single" w:sz="4" w:space="0" w:color="B0C4DE"/>
              <w:right w:val="none" w:sz="0" w:space="0" w:color="FFFFFF"/>
            </w:tcBorders>
            <w:shd w:val="clear" w:color="auto" w:fill="F0F5FC"/>
            <w:tcMar>
              <w:top w:w="80" w:type="dxa"/>
              <w:left w:w="140" w:type="dxa"/>
              <w:bottom w:w="80" w:type="dxa"/>
              <w:right w:w="140" w:type="dxa"/>
            </w:tcMar>
          </w:tcPr>
          <w:p w14:paraId="502DFA60" w14:textId="77777777" w:rsidR="00B53A43" w:rsidRDefault="00000000">
            <w:pPr>
              <w:spacing w:after="80" w:line="252" w:lineRule="auto"/>
            </w:pPr>
            <w:r>
              <w:rPr>
                <w:b/>
                <w:bCs/>
                <w:sz w:val="20"/>
                <w:szCs w:val="20"/>
              </w:rPr>
              <w:lastRenderedPageBreak/>
              <w:t>Positive provision — conditional effectiveness:</w:t>
            </w:r>
          </w:p>
          <w:p w14:paraId="0EEB0CC5" w14:textId="077DE77F" w:rsidR="00B53A43" w:rsidRDefault="00000000">
            <w:pPr>
              <w:spacing w:after="60" w:line="252" w:lineRule="auto"/>
            </w:pPr>
            <w:proofErr w:type="spellStart"/>
            <w:r>
              <w:rPr>
                <w:i/>
                <w:iCs/>
                <w:color w:val="1A6B1A"/>
                <w:sz w:val="20"/>
                <w:szCs w:val="20"/>
              </w:rPr>
              <w:t>EU-CARIFORUM-EPA</w:t>
            </w:r>
            <w:proofErr w:type="spellEnd"/>
            <w:r>
              <w:rPr>
                <w:i/>
                <w:iCs/>
                <w:color w:val="1A6B1A"/>
                <w:sz w:val="20"/>
                <w:szCs w:val="20"/>
              </w:rPr>
              <w:t xml:space="preserve"> (Art. 175) and EU-CA AA (Art. 219) explicitly permit price negotiation in public procurement, a mechanism that has demonstrably reduced patented medicine prices in Mexico and China.</w:t>
            </w:r>
          </w:p>
          <w:p w14:paraId="6A559783" w14:textId="77777777" w:rsidR="00B53A43" w:rsidRDefault="00000000">
            <w:pPr>
              <w:spacing w:after="80" w:line="252" w:lineRule="auto"/>
            </w:pPr>
            <w:r>
              <w:rPr>
                <w:b/>
                <w:bCs/>
                <w:sz w:val="20"/>
                <w:szCs w:val="20"/>
              </w:rPr>
              <w:t xml:space="preserve">Structural contradiction: </w:t>
            </w:r>
            <w:r>
              <w:rPr>
                <w:sz w:val="20"/>
                <w:szCs w:val="20"/>
              </w:rPr>
              <w:t xml:space="preserve">The limited tendering provisions in all three FTAs explicitly permit — and in some formulations implicitly validate — single-source procurement where IP exclusivity prevents competitive tendering. This </w:t>
            </w:r>
            <w:proofErr w:type="spellStart"/>
            <w:r>
              <w:rPr>
                <w:sz w:val="20"/>
                <w:szCs w:val="20"/>
              </w:rPr>
              <w:t>formalises</w:t>
            </w:r>
            <w:proofErr w:type="spellEnd"/>
            <w:r>
              <w:rPr>
                <w:sz w:val="20"/>
                <w:szCs w:val="20"/>
              </w:rPr>
              <w:t xml:space="preserve"> the IP-driven market concentration in procurement practice: the same IP provisions that foreclose generic entry also justify single-source procurement, removing the competitive pressure that negotiation requires.</w:t>
            </w:r>
          </w:p>
          <w:p w14:paraId="70A27466" w14:textId="77777777" w:rsidR="00B53A43" w:rsidRDefault="00000000">
            <w:pPr>
              <w:spacing w:after="80" w:line="252" w:lineRule="auto"/>
            </w:pPr>
            <w:r>
              <w:rPr>
                <w:b/>
                <w:bCs/>
                <w:sz w:val="20"/>
                <w:szCs w:val="20"/>
              </w:rPr>
              <w:t xml:space="preserve">Evidence on negotiation effectiveness: </w:t>
            </w:r>
            <w:r>
              <w:rPr>
                <w:sz w:val="20"/>
                <w:szCs w:val="20"/>
              </w:rPr>
              <w:t>Where strategic procurement negotiation has been implemented — Mexico (</w:t>
            </w:r>
            <w:proofErr w:type="spellStart"/>
            <w:r>
              <w:rPr>
                <w:sz w:val="20"/>
                <w:szCs w:val="20"/>
              </w:rPr>
              <w:t>Gómez-Dantés</w:t>
            </w:r>
            <w:proofErr w:type="spellEnd"/>
            <w:r>
              <w:rPr>
                <w:sz w:val="20"/>
                <w:szCs w:val="20"/>
              </w:rPr>
              <w:t xml:space="preserve"> </w:t>
            </w:r>
            <w:r>
              <w:rPr>
                <w:sz w:val="20"/>
                <w:szCs w:val="20"/>
              </w:rPr>
              <w:lastRenderedPageBreak/>
              <w:t xml:space="preserve">et al., 2012; </w:t>
            </w:r>
            <w:proofErr w:type="spellStart"/>
            <w:r>
              <w:rPr>
                <w:sz w:val="20"/>
                <w:szCs w:val="20"/>
              </w:rPr>
              <w:t>Moye-Holz</w:t>
            </w:r>
            <w:proofErr w:type="spellEnd"/>
            <w:r>
              <w:rPr>
                <w:sz w:val="20"/>
                <w:szCs w:val="20"/>
              </w:rPr>
              <w:t xml:space="preserve"> et al., 2019) and China (</w:t>
            </w:r>
            <w:proofErr w:type="spellStart"/>
            <w:r>
              <w:rPr>
                <w:sz w:val="20"/>
                <w:szCs w:val="20"/>
              </w:rPr>
              <w:t>Si</w:t>
            </w:r>
            <w:proofErr w:type="spellEnd"/>
            <w:r>
              <w:rPr>
                <w:sz w:val="20"/>
                <w:szCs w:val="20"/>
              </w:rPr>
              <w:t xml:space="preserve"> et al., 2020) — prices of patented medicines declined substantially. The legal basis for this approach exists in </w:t>
            </w:r>
            <w:proofErr w:type="spellStart"/>
            <w:r>
              <w:rPr>
                <w:sz w:val="20"/>
                <w:szCs w:val="20"/>
              </w:rPr>
              <w:t>EU-CARIFORUM-EPA</w:t>
            </w:r>
            <w:proofErr w:type="spellEnd"/>
            <w:r>
              <w:rPr>
                <w:sz w:val="20"/>
                <w:szCs w:val="20"/>
              </w:rPr>
              <w:t xml:space="preserve"> and EU-CA AA. The barrier is not legal but structural: negotiation effectiveness requires competitive alternatives, and TRIPS-plus IP provisions in the same agreements prevent these alternatives from entering the market.</w:t>
            </w:r>
          </w:p>
          <w:p w14:paraId="0F311382" w14:textId="68F7E1BF" w:rsidR="00B53A43" w:rsidRDefault="00000000">
            <w:pPr>
              <w:spacing w:after="80" w:line="252" w:lineRule="auto"/>
            </w:pPr>
            <w:r>
              <w:rPr>
                <w:b/>
                <w:bCs/>
                <w:sz w:val="20"/>
                <w:szCs w:val="20"/>
              </w:rPr>
              <w:t xml:space="preserve">CAFTA-DR gap: </w:t>
            </w:r>
            <w:r>
              <w:rPr>
                <w:sz w:val="20"/>
                <w:szCs w:val="20"/>
              </w:rPr>
              <w:t>Unlike the two EU agreements, CAFTA-DR does not explicitly provide for negotiation in procurement. CAFTA-DR signatories (Dominican Republic, Guatemala, El Salvador, Honduras, Costa Rica, Nicaragua) may face additional constraints in implementing strategic price negotiation approaches.</w:t>
            </w:r>
          </w:p>
        </w:tc>
      </w:tr>
    </w:tbl>
    <w:p w14:paraId="323FE696" w14:textId="05F75A71" w:rsidR="00B53A43" w:rsidRDefault="00B53A43" w:rsidP="00123BC7">
      <w:pPr>
        <w:spacing w:after="60"/>
        <w:jc w:val="both"/>
      </w:pPr>
    </w:p>
    <w:sectPr w:rsidR="00B53A43" w:rsidSect="009D60A7">
      <w:pgSz w:w="16838" w:h="11906"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5B1294"/>
    <w:multiLevelType w:val="hybridMultilevel"/>
    <w:tmpl w:val="FFFFFFFF"/>
    <w:lvl w:ilvl="0" w:tplc="F9F03488">
      <w:start w:val="1"/>
      <w:numFmt w:val="bullet"/>
      <w:lvlText w:val="●"/>
      <w:lvlJc w:val="left"/>
      <w:pPr>
        <w:ind w:left="720" w:hanging="360"/>
      </w:pPr>
    </w:lvl>
    <w:lvl w:ilvl="1" w:tplc="AA1EB310">
      <w:start w:val="1"/>
      <w:numFmt w:val="bullet"/>
      <w:lvlText w:val="○"/>
      <w:lvlJc w:val="left"/>
      <w:pPr>
        <w:ind w:left="1440" w:hanging="360"/>
      </w:pPr>
    </w:lvl>
    <w:lvl w:ilvl="2" w:tplc="00C875A8">
      <w:start w:val="1"/>
      <w:numFmt w:val="bullet"/>
      <w:lvlText w:val="■"/>
      <w:lvlJc w:val="left"/>
      <w:pPr>
        <w:ind w:left="2160" w:hanging="360"/>
      </w:pPr>
    </w:lvl>
    <w:lvl w:ilvl="3" w:tplc="3EFA6F46">
      <w:start w:val="1"/>
      <w:numFmt w:val="bullet"/>
      <w:lvlText w:val="●"/>
      <w:lvlJc w:val="left"/>
      <w:pPr>
        <w:ind w:left="2880" w:hanging="360"/>
      </w:pPr>
    </w:lvl>
    <w:lvl w:ilvl="4" w:tplc="61A8D002">
      <w:start w:val="1"/>
      <w:numFmt w:val="bullet"/>
      <w:lvlText w:val="○"/>
      <w:lvlJc w:val="left"/>
      <w:pPr>
        <w:ind w:left="3600" w:hanging="360"/>
      </w:pPr>
    </w:lvl>
    <w:lvl w:ilvl="5" w:tplc="6192A602">
      <w:start w:val="1"/>
      <w:numFmt w:val="bullet"/>
      <w:lvlText w:val="■"/>
      <w:lvlJc w:val="left"/>
      <w:pPr>
        <w:ind w:left="4320" w:hanging="360"/>
      </w:pPr>
    </w:lvl>
    <w:lvl w:ilvl="6" w:tplc="07A23226">
      <w:start w:val="1"/>
      <w:numFmt w:val="bullet"/>
      <w:lvlText w:val="●"/>
      <w:lvlJc w:val="left"/>
      <w:pPr>
        <w:ind w:left="5040" w:hanging="360"/>
      </w:pPr>
    </w:lvl>
    <w:lvl w:ilvl="7" w:tplc="4FC6CE36">
      <w:start w:val="1"/>
      <w:numFmt w:val="bullet"/>
      <w:lvlText w:val="●"/>
      <w:lvlJc w:val="left"/>
      <w:pPr>
        <w:ind w:left="5760" w:hanging="360"/>
      </w:pPr>
    </w:lvl>
    <w:lvl w:ilvl="8" w:tplc="6A442954">
      <w:start w:val="1"/>
      <w:numFmt w:val="bullet"/>
      <w:lvlText w:val="●"/>
      <w:lvlJc w:val="left"/>
      <w:pPr>
        <w:ind w:left="6480" w:hanging="360"/>
      </w:pPr>
    </w:lvl>
  </w:abstractNum>
  <w:num w:numId="1" w16cid:durableId="2539017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A43"/>
    <w:rsid w:val="00123BC7"/>
    <w:rsid w:val="002748B4"/>
    <w:rsid w:val="005570D5"/>
    <w:rsid w:val="0083022F"/>
    <w:rsid w:val="00846FC2"/>
    <w:rsid w:val="00991936"/>
    <w:rsid w:val="009D60A7"/>
    <w:rsid w:val="00A15405"/>
    <w:rsid w:val="00A27B32"/>
    <w:rsid w:val="00A404BE"/>
    <w:rsid w:val="00B53A43"/>
    <w:rsid w:val="00C94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EAD9D8"/>
  <w15:docId w15:val="{2414F44E-AB2F-6E4E-A3A2-4ED77379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4296</Words>
  <Characters>24493</Characters>
  <Application>Microsoft Office Word</Application>
  <DocSecurity>0</DocSecurity>
  <Lines>204</Lines>
  <Paragraphs>57</Paragraphs>
  <ScaleCrop>false</ScaleCrop>
  <Company/>
  <LinksUpToDate>false</LinksUpToDate>
  <CharactersWithSpaces>28732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Stefano Todde</cp:lastModifiedBy>
  <cp:revision>11</cp:revision>
  <dcterms:created xsi:type="dcterms:W3CDTF">2026-05-15T06:37:00Z</dcterms:created>
  <dcterms:modified xsi:type="dcterms:W3CDTF">2026-05-15T10:07:00Z</dcterms:modified>
</cp:coreProperties>
</file>