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2F313" w14:textId="77777777" w:rsidR="00F35906" w:rsidRDefault="00F35906" w:rsidP="00F35906">
      <w:pPr>
        <w:rPr>
          <w:rFonts w:ascii="Palatino Linotype" w:hAnsi="Palatino Linotype"/>
          <w:bCs/>
          <w:sz w:val="20"/>
          <w:szCs w:val="20"/>
          <w:lang w:bidi="en-US"/>
        </w:rPr>
      </w:pPr>
      <w:r w:rsidRPr="00A66A24">
        <w:rPr>
          <w:rFonts w:ascii="Palatino Linotype" w:hAnsi="Palatino Linotype"/>
          <w:b/>
          <w:bCs/>
          <w:sz w:val="20"/>
          <w:szCs w:val="20"/>
          <w:lang w:bidi="en-US"/>
        </w:rPr>
        <w:t xml:space="preserve">Supplementary Materials: </w:t>
      </w:r>
      <w:r w:rsidRPr="00A66A24">
        <w:rPr>
          <w:rFonts w:ascii="Palatino Linotype" w:hAnsi="Palatino Linotype"/>
          <w:bCs/>
          <w:sz w:val="20"/>
          <w:szCs w:val="20"/>
          <w:lang w:bidi="en-US"/>
        </w:rPr>
        <w:t xml:space="preserve">The following supporting information can be downloaded at: www.xxxx.com/xxx/, </w:t>
      </w:r>
      <w:r w:rsidRPr="00870E30">
        <w:rPr>
          <w:rFonts w:ascii="Palatino Linotype" w:hAnsi="Palatino Linotype"/>
          <w:b/>
          <w:sz w:val="20"/>
          <w:szCs w:val="20"/>
          <w:lang w:bidi="en-US"/>
        </w:rPr>
        <w:t>Figure S1</w:t>
      </w:r>
      <w:r w:rsidRPr="00A66A24">
        <w:rPr>
          <w:rFonts w:ascii="Palatino Linotype" w:hAnsi="Palatino Linotype"/>
          <w:bCs/>
          <w:sz w:val="20"/>
          <w:szCs w:val="20"/>
          <w:lang w:bidi="en-US"/>
        </w:rPr>
        <w:t xml:space="preserve">: Study area. (A). Map of the northern region of Colombia, the inset shows the region of the Barú Peninsula and the Rosario Islands. (B). Barú Peninsula and the Rosario Islands Archipelago (Rosario Islands National Natural Park), the inset shows Isla Grande. (C). Isla Grande, with red dots indicating the sampling points: the northern point marks a coral barrier where the rhodoliths were collected; and the southern point represents a seagrass patch where corals were collected. </w:t>
      </w:r>
    </w:p>
    <w:p w14:paraId="5AA4073A" w14:textId="77777777" w:rsidR="00F35906" w:rsidRPr="00200BBF" w:rsidRDefault="00F35906" w:rsidP="00F35906">
      <w:pPr>
        <w:rPr>
          <w:rFonts w:ascii="Palatino Linotype" w:hAnsi="Palatino Linotype"/>
          <w:bCs/>
          <w:sz w:val="20"/>
          <w:szCs w:val="20"/>
          <w:lang w:bidi="en-US"/>
        </w:rPr>
      </w:pPr>
      <w:r w:rsidRPr="009534CB">
        <w:rPr>
          <w:rFonts w:ascii="Palatino Linotype" w:hAnsi="Palatino Linotype"/>
          <w:b/>
          <w:bCs/>
          <w:sz w:val="20"/>
          <w:szCs w:val="20"/>
        </w:rPr>
        <w:t>Table S1</w:t>
      </w:r>
      <w:r>
        <w:rPr>
          <w:rFonts w:ascii="Palatino Linotype" w:hAnsi="Palatino Linotype"/>
          <w:sz w:val="20"/>
          <w:szCs w:val="20"/>
        </w:rPr>
        <w:t xml:space="preserve">. </w:t>
      </w:r>
      <w:r w:rsidRPr="009764F8">
        <w:rPr>
          <w:rFonts w:ascii="Palatino Linotype" w:hAnsi="Palatino Linotype"/>
          <w:sz w:val="20"/>
          <w:szCs w:val="20"/>
        </w:rPr>
        <w:t xml:space="preserve">Summary of the results from </w:t>
      </w:r>
      <w:r w:rsidRPr="009764F8">
        <w:rPr>
          <w:rFonts w:ascii="Palatino Linotype" w:hAnsi="Palatino Linotype"/>
          <w:bCs/>
          <w:sz w:val="20"/>
          <w:szCs w:val="20"/>
          <w:lang w:bidi="en-US"/>
        </w:rPr>
        <w:t>repeated measures Analysis of Variance (ANOVA) c</w:t>
      </w:r>
      <w:r w:rsidRPr="009764F8">
        <w:rPr>
          <w:rFonts w:ascii="Palatino Linotype" w:hAnsi="Palatino Linotype"/>
          <w:sz w:val="20"/>
          <w:szCs w:val="20"/>
        </w:rPr>
        <w:t xml:space="preserve">omparing the </w:t>
      </w:r>
      <w:r w:rsidRPr="009764F8">
        <w:rPr>
          <w:rFonts w:ascii="Palatino Linotype" w:hAnsi="Palatino Linotype"/>
          <w:bCs/>
          <w:sz w:val="20"/>
          <w:szCs w:val="20"/>
          <w:lang w:bidi="en-US"/>
        </w:rPr>
        <w:t xml:space="preserve">dependent variables </w:t>
      </w:r>
      <w:r w:rsidRPr="009764F8">
        <w:rPr>
          <w:rFonts w:ascii="Palatino Linotype" w:hAnsi="Palatino Linotype"/>
          <w:sz w:val="20"/>
          <w:szCs w:val="20"/>
        </w:rPr>
        <w:t>P</w:t>
      </w:r>
      <w:r w:rsidRPr="009764F8">
        <w:rPr>
          <w:rFonts w:ascii="Palatino Linotype" w:hAnsi="Palatino Linotype"/>
          <w:sz w:val="20"/>
          <w:szCs w:val="20"/>
          <w:vertAlign w:val="subscript"/>
        </w:rPr>
        <w:t>DO</w:t>
      </w:r>
      <w:r w:rsidRPr="009764F8">
        <w:rPr>
          <w:rFonts w:ascii="Palatino Linotype" w:hAnsi="Palatino Linotype"/>
          <w:sz w:val="20"/>
          <w:szCs w:val="20"/>
        </w:rPr>
        <w:t xml:space="preserve"> and G</w:t>
      </w:r>
      <w:r w:rsidRPr="009764F8">
        <w:rPr>
          <w:rFonts w:ascii="Palatino Linotype" w:hAnsi="Palatino Linotype"/>
          <w:sz w:val="20"/>
          <w:szCs w:val="20"/>
          <w:vertAlign w:val="subscript"/>
        </w:rPr>
        <w:t>net</w:t>
      </w:r>
      <w:r w:rsidRPr="009764F8">
        <w:rPr>
          <w:rFonts w:ascii="Palatino Linotype" w:hAnsi="Palatino Linotype"/>
          <w:sz w:val="20"/>
          <w:szCs w:val="20"/>
        </w:rPr>
        <w:t>, evaluating the effects of in</w:t>
      </w:r>
      <w:r w:rsidRPr="009764F8">
        <w:rPr>
          <w:rFonts w:ascii="Palatino Linotype" w:hAnsi="Palatino Linotype"/>
          <w:bCs/>
          <w:sz w:val="20"/>
          <w:szCs w:val="20"/>
          <w:lang w:bidi="en-US"/>
        </w:rPr>
        <w:t xml:space="preserve">dependent variables </w:t>
      </w:r>
      <w:r w:rsidRPr="009764F8">
        <w:rPr>
          <w:rFonts w:ascii="Palatino Linotype" w:hAnsi="Palatino Linotype"/>
          <w:sz w:val="20"/>
          <w:szCs w:val="20"/>
        </w:rPr>
        <w:t>moment of day (morning, afternoon, night), between taxa (coral</w:t>
      </w:r>
      <w:r>
        <w:rPr>
          <w:rFonts w:ascii="Palatino Linotype" w:hAnsi="Palatino Linotype"/>
          <w:sz w:val="20"/>
          <w:szCs w:val="20"/>
        </w:rPr>
        <w:t xml:space="preserve">, </w:t>
      </w:r>
      <w:r w:rsidRPr="009764F8">
        <w:rPr>
          <w:rFonts w:ascii="Palatino Linotype" w:hAnsi="Palatino Linotype"/>
          <w:sz w:val="20"/>
          <w:szCs w:val="20"/>
        </w:rPr>
        <w:t>rhodolith</w:t>
      </w:r>
      <w:r>
        <w:rPr>
          <w:rFonts w:ascii="Palatino Linotype" w:hAnsi="Palatino Linotype"/>
          <w:sz w:val="20"/>
          <w:szCs w:val="20"/>
        </w:rPr>
        <w:t xml:space="preserve"> and artificial material</w:t>
      </w:r>
      <w:r w:rsidRPr="009764F8">
        <w:rPr>
          <w:rFonts w:ascii="Palatino Linotype" w:hAnsi="Palatino Linotype"/>
          <w:sz w:val="20"/>
          <w:szCs w:val="20"/>
        </w:rPr>
        <w:t xml:space="preserve">), and their interaction (moment x taxa). </w:t>
      </w:r>
      <w:r w:rsidRPr="009764F8">
        <w:rPr>
          <w:rFonts w:ascii="Palatino Linotype" w:hAnsi="Palatino Linotype"/>
          <w:bCs/>
          <w:sz w:val="20"/>
          <w:szCs w:val="20"/>
          <w:lang w:bidi="en-US"/>
        </w:rPr>
        <w:t xml:space="preserve">Degrees of freedom (df) were adjusted using the Greenhouse-Geisser correction when sphericity assumptions were violated. Reported statistics include </w:t>
      </w:r>
      <w:r>
        <w:rPr>
          <w:rFonts w:ascii="Palatino Linotype" w:hAnsi="Palatino Linotype"/>
          <w:bCs/>
          <w:sz w:val="20"/>
          <w:szCs w:val="20"/>
          <w:lang w:bidi="en-US"/>
        </w:rPr>
        <w:t xml:space="preserve">degree of freedom (df), </w:t>
      </w:r>
      <w:r w:rsidRPr="009764F8">
        <w:rPr>
          <w:rFonts w:ascii="Palatino Linotype" w:hAnsi="Palatino Linotype"/>
          <w:bCs/>
          <w:sz w:val="20"/>
          <w:szCs w:val="20"/>
          <w:lang w:bidi="en-US"/>
        </w:rPr>
        <w:t>F value</w:t>
      </w:r>
      <w:r>
        <w:rPr>
          <w:rFonts w:ascii="Palatino Linotype" w:hAnsi="Palatino Linotype"/>
          <w:bCs/>
          <w:sz w:val="20"/>
          <w:szCs w:val="20"/>
          <w:lang w:bidi="en-US"/>
        </w:rPr>
        <w:t xml:space="preserve"> (F)</w:t>
      </w:r>
      <w:r w:rsidRPr="009764F8">
        <w:rPr>
          <w:rFonts w:ascii="Palatino Linotype" w:hAnsi="Palatino Linotype"/>
          <w:bCs/>
          <w:sz w:val="20"/>
          <w:szCs w:val="20"/>
          <w:lang w:bidi="en-US"/>
        </w:rPr>
        <w:t>, generalized eta</w:t>
      </w:r>
      <w:r>
        <w:rPr>
          <w:rFonts w:ascii="Palatino Linotype" w:hAnsi="Palatino Linotype"/>
          <w:bCs/>
          <w:sz w:val="20"/>
          <w:szCs w:val="20"/>
          <w:lang w:bidi="en-US"/>
        </w:rPr>
        <w:t xml:space="preserve"> </w:t>
      </w:r>
      <w:r w:rsidRPr="009764F8">
        <w:rPr>
          <w:rFonts w:ascii="Palatino Linotype" w:hAnsi="Palatino Linotype"/>
          <w:bCs/>
          <w:sz w:val="20"/>
          <w:szCs w:val="20"/>
          <w:lang w:bidi="en-US"/>
        </w:rPr>
        <w:t>squared (ges), p-value</w:t>
      </w:r>
      <w:r>
        <w:rPr>
          <w:rFonts w:ascii="Palatino Linotype" w:hAnsi="Palatino Linotype"/>
          <w:bCs/>
          <w:sz w:val="20"/>
          <w:szCs w:val="20"/>
          <w:lang w:bidi="en-US"/>
        </w:rPr>
        <w:t xml:space="preserve"> (</w:t>
      </w:r>
      <w:r w:rsidRPr="0024159B">
        <w:rPr>
          <w:rFonts w:ascii="Palatino Linotype" w:hAnsi="Palatino Linotype"/>
          <w:bCs/>
          <w:i/>
          <w:iCs/>
          <w:sz w:val="20"/>
          <w:szCs w:val="20"/>
          <w:lang w:bidi="en-US"/>
        </w:rPr>
        <w:t>p</w:t>
      </w:r>
      <w:r>
        <w:rPr>
          <w:rFonts w:ascii="Palatino Linotype" w:hAnsi="Palatino Linotype"/>
          <w:bCs/>
          <w:sz w:val="20"/>
          <w:szCs w:val="20"/>
          <w:lang w:bidi="en-US"/>
        </w:rPr>
        <w:t>)</w:t>
      </w:r>
      <w:r w:rsidRPr="009764F8">
        <w:rPr>
          <w:rFonts w:ascii="Palatino Linotype" w:hAnsi="Palatino Linotype"/>
          <w:bCs/>
          <w:sz w:val="20"/>
          <w:szCs w:val="20"/>
          <w:lang w:bidi="en-US"/>
        </w:rPr>
        <w:t>, and significance codes: &lt;0.001 ***, 0.01–0.001 **, 0.05–0.01 *.</w:t>
      </w:r>
      <w:r>
        <w:rPr>
          <w:rFonts w:ascii="Palatino Linotype" w:hAnsi="Palatino Linotype"/>
          <w:bCs/>
          <w:sz w:val="20"/>
          <w:szCs w:val="20"/>
          <w:lang w:bidi="en-US"/>
        </w:rPr>
        <w:t xml:space="preserve"> </w:t>
      </w:r>
      <w:r w:rsidRPr="006E1239">
        <w:rPr>
          <w:rFonts w:ascii="Palatino Linotype" w:hAnsi="Palatino Linotype"/>
          <w:b/>
          <w:bCs/>
          <w:sz w:val="20"/>
          <w:szCs w:val="20"/>
        </w:rPr>
        <w:t>Table S</w:t>
      </w:r>
      <w:r>
        <w:rPr>
          <w:rFonts w:ascii="Palatino Linotype" w:hAnsi="Palatino Linotype"/>
          <w:b/>
          <w:bCs/>
          <w:sz w:val="20"/>
          <w:szCs w:val="20"/>
        </w:rPr>
        <w:t>2</w:t>
      </w:r>
      <w:r w:rsidRPr="006E1239">
        <w:rPr>
          <w:rFonts w:ascii="Palatino Linotype" w:hAnsi="Palatino Linotype"/>
          <w:b/>
          <w:bCs/>
          <w:sz w:val="20"/>
          <w:szCs w:val="20"/>
        </w:rPr>
        <w:t>.</w:t>
      </w:r>
      <w:r w:rsidRPr="006E1239">
        <w:rPr>
          <w:rFonts w:ascii="Palatino Linotype" w:hAnsi="Palatino Linotype"/>
          <w:sz w:val="20"/>
          <w:szCs w:val="20"/>
        </w:rPr>
        <w:t xml:space="preserve"> </w:t>
      </w:r>
      <w:r w:rsidRPr="00792A06">
        <w:rPr>
          <w:rFonts w:ascii="Palatino Linotype" w:hAnsi="Palatino Linotype"/>
          <w:sz w:val="20"/>
          <w:szCs w:val="20"/>
        </w:rPr>
        <w:t xml:space="preserve">Tukey-adjusted post-hoc pairwise comparisons (estimated marginal means using emmeans) for </w:t>
      </w:r>
      <w:r w:rsidRPr="00792A06">
        <w:rPr>
          <w:rFonts w:ascii="Palatino Linotype" w:hAnsi="Palatino Linotype"/>
          <w:bCs/>
          <w:sz w:val="20"/>
          <w:szCs w:val="20"/>
          <w:lang w:bidi="en-US"/>
        </w:rPr>
        <w:t xml:space="preserve">dependent variables </w:t>
      </w:r>
      <w:r w:rsidRPr="00792A06">
        <w:rPr>
          <w:rFonts w:ascii="Palatino Linotype" w:hAnsi="Palatino Linotype"/>
          <w:sz w:val="20"/>
          <w:szCs w:val="20"/>
        </w:rPr>
        <w:t>P</w:t>
      </w:r>
      <w:r w:rsidRPr="00792A06">
        <w:rPr>
          <w:rFonts w:ascii="Palatino Linotype" w:hAnsi="Palatino Linotype"/>
          <w:sz w:val="20"/>
          <w:szCs w:val="20"/>
          <w:vertAlign w:val="subscript"/>
        </w:rPr>
        <w:t>DO</w:t>
      </w:r>
      <w:r w:rsidRPr="00792A06">
        <w:rPr>
          <w:rFonts w:ascii="Palatino Linotype" w:hAnsi="Palatino Linotype"/>
          <w:sz w:val="20"/>
          <w:szCs w:val="20"/>
        </w:rPr>
        <w:t xml:space="preserve"> in µmol C cm⁻² h⁻¹ and G</w:t>
      </w:r>
      <w:r w:rsidRPr="00792A06">
        <w:rPr>
          <w:rFonts w:ascii="Palatino Linotype" w:hAnsi="Palatino Linotype"/>
          <w:sz w:val="20"/>
          <w:szCs w:val="20"/>
          <w:vertAlign w:val="subscript"/>
        </w:rPr>
        <w:t xml:space="preserve">net </w:t>
      </w:r>
      <w:r w:rsidRPr="00792A06">
        <w:rPr>
          <w:rFonts w:ascii="Palatino Linotype" w:hAnsi="Palatino Linotype"/>
          <w:sz w:val="20"/>
          <w:szCs w:val="20"/>
        </w:rPr>
        <w:t xml:space="preserve">in </w:t>
      </w:r>
      <w:r w:rsidRPr="00792A06">
        <w:rPr>
          <w:rFonts w:ascii="Palatino Linotype" w:hAnsi="Palatino Linotype"/>
          <w:bCs/>
          <w:sz w:val="20"/>
          <w:szCs w:val="20"/>
          <w:lang w:bidi="en-US"/>
        </w:rPr>
        <w:t>μmol CaCO</w:t>
      </w:r>
      <w:r w:rsidRPr="00792A06">
        <w:rPr>
          <w:rFonts w:ascii="Palatino Linotype" w:hAnsi="Palatino Linotype"/>
          <w:bCs/>
          <w:sz w:val="20"/>
          <w:szCs w:val="20"/>
          <w:vertAlign w:val="subscript"/>
          <w:lang w:bidi="en-US"/>
        </w:rPr>
        <w:t>3</w:t>
      </w:r>
      <w:r w:rsidRPr="00792A06">
        <w:rPr>
          <w:rFonts w:ascii="Palatino Linotype" w:hAnsi="Palatino Linotype"/>
          <w:bCs/>
          <w:sz w:val="20"/>
          <w:szCs w:val="20"/>
          <w:lang w:bidi="en-US"/>
        </w:rPr>
        <w:t xml:space="preserve"> cm</w:t>
      </w:r>
      <w:r w:rsidRPr="00792A06">
        <w:rPr>
          <w:rFonts w:ascii="Palatino Linotype" w:hAnsi="Palatino Linotype"/>
          <w:bCs/>
          <w:sz w:val="20"/>
          <w:szCs w:val="20"/>
          <w:vertAlign w:val="superscript"/>
          <w:lang w:bidi="en-US"/>
        </w:rPr>
        <w:t>-2</w:t>
      </w:r>
      <w:r w:rsidRPr="00792A06">
        <w:rPr>
          <w:rFonts w:ascii="Palatino Linotype" w:hAnsi="Palatino Linotype"/>
          <w:bCs/>
          <w:sz w:val="20"/>
          <w:szCs w:val="20"/>
          <w:lang w:bidi="en-US"/>
        </w:rPr>
        <w:t xml:space="preserve"> h</w:t>
      </w:r>
      <w:r w:rsidRPr="00792A06">
        <w:rPr>
          <w:rFonts w:ascii="Palatino Linotype" w:hAnsi="Palatino Linotype"/>
          <w:bCs/>
          <w:sz w:val="20"/>
          <w:szCs w:val="20"/>
          <w:vertAlign w:val="superscript"/>
          <w:lang w:bidi="en-US"/>
        </w:rPr>
        <w:t>-1</w:t>
      </w:r>
      <w:r w:rsidRPr="00792A06">
        <w:rPr>
          <w:rFonts w:ascii="Palatino Linotype" w:hAnsi="Palatino Linotype"/>
          <w:sz w:val="20"/>
          <w:szCs w:val="20"/>
        </w:rPr>
        <w:t xml:space="preserve"> in corals</w:t>
      </w:r>
      <w:r>
        <w:rPr>
          <w:rFonts w:ascii="Palatino Linotype" w:hAnsi="Palatino Linotype"/>
          <w:sz w:val="20"/>
          <w:szCs w:val="20"/>
        </w:rPr>
        <w:t xml:space="preserve">, </w:t>
      </w:r>
      <w:r w:rsidRPr="00792A06">
        <w:rPr>
          <w:rFonts w:ascii="Palatino Linotype" w:hAnsi="Palatino Linotype"/>
          <w:sz w:val="20"/>
          <w:szCs w:val="20"/>
        </w:rPr>
        <w:t>rhodoliths</w:t>
      </w:r>
      <w:r>
        <w:rPr>
          <w:rFonts w:ascii="Palatino Linotype" w:hAnsi="Palatino Linotype"/>
          <w:sz w:val="20"/>
          <w:szCs w:val="20"/>
        </w:rPr>
        <w:t xml:space="preserve"> and artificial material</w:t>
      </w:r>
      <w:r w:rsidRPr="00792A06">
        <w:rPr>
          <w:rFonts w:ascii="Palatino Linotype" w:hAnsi="Palatino Linotype"/>
          <w:sz w:val="20"/>
          <w:szCs w:val="20"/>
        </w:rPr>
        <w:t xml:space="preserve">. Pairwaise contrasting comparison between </w:t>
      </w:r>
      <w:r>
        <w:rPr>
          <w:rFonts w:ascii="Palatino Linotype" w:hAnsi="Palatino Linotype"/>
          <w:sz w:val="20"/>
          <w:szCs w:val="20"/>
        </w:rPr>
        <w:t>types of sample</w:t>
      </w:r>
      <w:r w:rsidRPr="00792A06">
        <w:rPr>
          <w:rFonts w:ascii="Palatino Linotype" w:hAnsi="Palatino Linotype"/>
          <w:sz w:val="20"/>
          <w:szCs w:val="20"/>
        </w:rPr>
        <w:t xml:space="preserve">. </w:t>
      </w:r>
      <w:r w:rsidRPr="0082436E">
        <w:rPr>
          <w:rFonts w:ascii="Palatino Linotype" w:hAnsi="Palatino Linotype"/>
          <w:sz w:val="20"/>
          <w:szCs w:val="20"/>
        </w:rPr>
        <w:t>Difference between model-adjusted means for the two groups being compared</w:t>
      </w:r>
      <w:r>
        <w:rPr>
          <w:rFonts w:ascii="Palatino Linotype" w:hAnsi="Palatino Linotype"/>
          <w:sz w:val="20"/>
          <w:szCs w:val="20"/>
        </w:rPr>
        <w:t xml:space="preserve"> (Estimate)</w:t>
      </w:r>
      <w:r w:rsidRPr="00792A06">
        <w:rPr>
          <w:rFonts w:ascii="Palatino Linotype" w:hAnsi="Palatino Linotype"/>
          <w:sz w:val="20"/>
          <w:szCs w:val="20"/>
        </w:rPr>
        <w:t>, t.</w:t>
      </w:r>
      <w:r>
        <w:rPr>
          <w:rFonts w:ascii="Palatino Linotype" w:hAnsi="Palatino Linotype"/>
          <w:sz w:val="20"/>
          <w:szCs w:val="20"/>
        </w:rPr>
        <w:t xml:space="preserve"> </w:t>
      </w:r>
      <w:r w:rsidRPr="00792A06">
        <w:rPr>
          <w:rFonts w:ascii="Palatino Linotype" w:hAnsi="Palatino Linotype"/>
          <w:sz w:val="20"/>
          <w:szCs w:val="20"/>
        </w:rPr>
        <w:t xml:space="preserve">ratio </w:t>
      </w:r>
      <w:r>
        <w:rPr>
          <w:rFonts w:ascii="Palatino Linotype" w:hAnsi="Palatino Linotype"/>
          <w:sz w:val="20"/>
          <w:szCs w:val="20"/>
        </w:rPr>
        <w:t xml:space="preserve">(t) </w:t>
      </w:r>
      <w:r w:rsidRPr="00792A06">
        <w:rPr>
          <w:rFonts w:ascii="Palatino Linotype" w:hAnsi="Palatino Linotype"/>
          <w:sz w:val="20"/>
          <w:szCs w:val="20"/>
        </w:rPr>
        <w:t>and and</w:t>
      </w:r>
      <w:r w:rsidRPr="00792A06">
        <w:rPr>
          <w:rFonts w:ascii="Palatino Linotype" w:hAnsi="Palatino Linotype"/>
          <w:bCs/>
          <w:i/>
          <w:iCs/>
          <w:sz w:val="20"/>
          <w:szCs w:val="20"/>
          <w:lang w:bidi="en-US"/>
        </w:rPr>
        <w:t xml:space="preserve"> p</w:t>
      </w:r>
      <w:r w:rsidRPr="00792A06">
        <w:rPr>
          <w:rFonts w:ascii="Palatino Linotype" w:hAnsi="Palatino Linotype"/>
          <w:bCs/>
          <w:sz w:val="20"/>
          <w:szCs w:val="20"/>
          <w:lang w:bidi="en-US"/>
        </w:rPr>
        <w:t xml:space="preserve"> (</w:t>
      </w:r>
      <w:r w:rsidRPr="00792A06">
        <w:rPr>
          <w:rFonts w:ascii="Palatino Linotype" w:hAnsi="Palatino Linotype"/>
          <w:bCs/>
          <w:i/>
          <w:iCs/>
          <w:sz w:val="20"/>
          <w:szCs w:val="20"/>
          <w:lang w:bidi="en-US"/>
        </w:rPr>
        <w:t>p</w:t>
      </w:r>
      <w:r w:rsidRPr="00792A06">
        <w:rPr>
          <w:rFonts w:ascii="Palatino Linotype" w:hAnsi="Palatino Linotype"/>
          <w:bCs/>
          <w:sz w:val="20"/>
          <w:szCs w:val="20"/>
          <w:lang w:bidi="en-US"/>
        </w:rPr>
        <w:t>-value)</w:t>
      </w:r>
      <w:r>
        <w:rPr>
          <w:rFonts w:ascii="Palatino Linotype" w:hAnsi="Palatino Linotype"/>
          <w:bCs/>
          <w:sz w:val="20"/>
          <w:szCs w:val="20"/>
          <w:lang w:bidi="en-US"/>
        </w:rPr>
        <w:t xml:space="preserve">, </w:t>
      </w:r>
      <w:r w:rsidRPr="00792A06">
        <w:rPr>
          <w:rFonts w:ascii="Palatino Linotype" w:hAnsi="Palatino Linotype"/>
          <w:bCs/>
          <w:sz w:val="20"/>
          <w:szCs w:val="20"/>
          <w:lang w:bidi="en-US"/>
        </w:rPr>
        <w:t xml:space="preserve">significance codes: &lt;0.001 ***, 0.01–0.001 **, 0.05–0.01 * </w:t>
      </w:r>
      <w:r w:rsidRPr="00792A06">
        <w:rPr>
          <w:rFonts w:ascii="Palatino Linotype" w:hAnsi="Palatino Linotype"/>
          <w:sz w:val="20"/>
          <w:szCs w:val="20"/>
        </w:rPr>
        <w:t>are reported.</w:t>
      </w:r>
      <w:r>
        <w:rPr>
          <w:rFonts w:ascii="Palatino Linotype" w:hAnsi="Palatino Linotype"/>
          <w:sz w:val="20"/>
          <w:szCs w:val="20"/>
        </w:rPr>
        <w:t xml:space="preserve"> </w:t>
      </w:r>
    </w:p>
    <w:p w14:paraId="4ABCFF06"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06"/>
    <w:rsid w:val="000C4033"/>
    <w:rsid w:val="00173ED8"/>
    <w:rsid w:val="004B42CB"/>
    <w:rsid w:val="005F2B46"/>
    <w:rsid w:val="006E1731"/>
    <w:rsid w:val="00866D74"/>
    <w:rsid w:val="00882A73"/>
    <w:rsid w:val="0095305D"/>
    <w:rsid w:val="00B10170"/>
    <w:rsid w:val="00B260B7"/>
    <w:rsid w:val="00B85331"/>
    <w:rsid w:val="00BE4F8E"/>
    <w:rsid w:val="00DE7E69"/>
    <w:rsid w:val="00E023F9"/>
    <w:rsid w:val="00F3590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9C8B"/>
  <w15:chartTrackingRefBased/>
  <w15:docId w15:val="{2D635714-FB86-4834-B882-F7B048AC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906"/>
    <w:rPr>
      <w:rFonts w:eastAsia="Batang"/>
      <w:lang w:val="en-US"/>
    </w:rPr>
  </w:style>
  <w:style w:type="paragraph" w:styleId="Heading1">
    <w:name w:val="heading 1"/>
    <w:basedOn w:val="Normal"/>
    <w:next w:val="Normal"/>
    <w:link w:val="Heading1Char"/>
    <w:uiPriority w:val="9"/>
    <w:qFormat/>
    <w:rsid w:val="00F35906"/>
    <w:pPr>
      <w:keepNext/>
      <w:keepLines/>
      <w:spacing w:before="360" w:after="80"/>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F35906"/>
    <w:pPr>
      <w:keepNext/>
      <w:keepLines/>
      <w:spacing w:before="160" w:after="80"/>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F35906"/>
    <w:pPr>
      <w:keepNext/>
      <w:keepLines/>
      <w:spacing w:before="160" w:after="80"/>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F35906"/>
    <w:pPr>
      <w:keepNext/>
      <w:keepLines/>
      <w:spacing w:before="80" w:after="40"/>
      <w:outlineLvl w:val="3"/>
    </w:pPr>
    <w:rPr>
      <w:rFonts w:eastAsiaTheme="majorEastAsia" w:cstheme="majorBidi"/>
      <w:i/>
      <w:iCs/>
      <w:color w:val="0F4761" w:themeColor="accent1" w:themeShade="BF"/>
      <w:lang w:val="en-IN"/>
    </w:rPr>
  </w:style>
  <w:style w:type="paragraph" w:styleId="Heading5">
    <w:name w:val="heading 5"/>
    <w:basedOn w:val="Normal"/>
    <w:next w:val="Normal"/>
    <w:link w:val="Heading5Char"/>
    <w:uiPriority w:val="9"/>
    <w:semiHidden/>
    <w:unhideWhenUsed/>
    <w:qFormat/>
    <w:rsid w:val="00F35906"/>
    <w:pPr>
      <w:keepNext/>
      <w:keepLines/>
      <w:spacing w:before="80" w:after="40"/>
      <w:outlineLvl w:val="4"/>
    </w:pPr>
    <w:rPr>
      <w:rFonts w:eastAsiaTheme="majorEastAsia" w:cstheme="majorBidi"/>
      <w:color w:val="0F4761" w:themeColor="accent1" w:themeShade="BF"/>
      <w:lang w:val="en-IN"/>
    </w:rPr>
  </w:style>
  <w:style w:type="paragraph" w:styleId="Heading6">
    <w:name w:val="heading 6"/>
    <w:basedOn w:val="Normal"/>
    <w:next w:val="Normal"/>
    <w:link w:val="Heading6Char"/>
    <w:uiPriority w:val="9"/>
    <w:semiHidden/>
    <w:unhideWhenUsed/>
    <w:qFormat/>
    <w:rsid w:val="00F35906"/>
    <w:pPr>
      <w:keepNext/>
      <w:keepLines/>
      <w:spacing w:before="40" w:after="0"/>
      <w:outlineLvl w:val="5"/>
    </w:pPr>
    <w:rPr>
      <w:rFonts w:eastAsiaTheme="majorEastAsia" w:cstheme="majorBidi"/>
      <w:i/>
      <w:iCs/>
      <w:color w:val="595959" w:themeColor="text1" w:themeTint="A6"/>
      <w:lang w:val="en-IN"/>
    </w:rPr>
  </w:style>
  <w:style w:type="paragraph" w:styleId="Heading7">
    <w:name w:val="heading 7"/>
    <w:basedOn w:val="Normal"/>
    <w:next w:val="Normal"/>
    <w:link w:val="Heading7Char"/>
    <w:uiPriority w:val="9"/>
    <w:semiHidden/>
    <w:unhideWhenUsed/>
    <w:qFormat/>
    <w:rsid w:val="00F35906"/>
    <w:pPr>
      <w:keepNext/>
      <w:keepLines/>
      <w:spacing w:before="40" w:after="0"/>
      <w:outlineLvl w:val="6"/>
    </w:pPr>
    <w:rPr>
      <w:rFonts w:eastAsiaTheme="majorEastAsia" w:cstheme="majorBidi"/>
      <w:color w:val="595959" w:themeColor="text1" w:themeTint="A6"/>
      <w:lang w:val="en-IN"/>
    </w:rPr>
  </w:style>
  <w:style w:type="paragraph" w:styleId="Heading8">
    <w:name w:val="heading 8"/>
    <w:basedOn w:val="Normal"/>
    <w:next w:val="Normal"/>
    <w:link w:val="Heading8Char"/>
    <w:uiPriority w:val="9"/>
    <w:semiHidden/>
    <w:unhideWhenUsed/>
    <w:qFormat/>
    <w:rsid w:val="00F35906"/>
    <w:pPr>
      <w:keepNext/>
      <w:keepLines/>
      <w:spacing w:after="0"/>
      <w:outlineLvl w:val="7"/>
    </w:pPr>
    <w:rPr>
      <w:rFonts w:eastAsiaTheme="majorEastAsia" w:cstheme="majorBidi"/>
      <w:i/>
      <w:iCs/>
      <w:color w:val="272727" w:themeColor="text1" w:themeTint="D8"/>
      <w:lang w:val="en-IN"/>
    </w:rPr>
  </w:style>
  <w:style w:type="paragraph" w:styleId="Heading9">
    <w:name w:val="heading 9"/>
    <w:basedOn w:val="Normal"/>
    <w:next w:val="Normal"/>
    <w:link w:val="Heading9Char"/>
    <w:uiPriority w:val="9"/>
    <w:semiHidden/>
    <w:unhideWhenUsed/>
    <w:qFormat/>
    <w:rsid w:val="00F35906"/>
    <w:pPr>
      <w:keepNext/>
      <w:keepLines/>
      <w:spacing w:after="0"/>
      <w:outlineLvl w:val="8"/>
    </w:pPr>
    <w:rPr>
      <w:rFonts w:eastAsiaTheme="majorEastAsia" w:cstheme="majorBidi"/>
      <w:color w:val="272727" w:themeColor="text1" w:themeTint="D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5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9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9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9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906"/>
    <w:rPr>
      <w:rFonts w:eastAsiaTheme="majorEastAsia" w:cstheme="majorBidi"/>
      <w:color w:val="272727" w:themeColor="text1" w:themeTint="D8"/>
    </w:rPr>
  </w:style>
  <w:style w:type="paragraph" w:styleId="Title">
    <w:name w:val="Title"/>
    <w:basedOn w:val="Normal"/>
    <w:next w:val="Normal"/>
    <w:link w:val="TitleChar"/>
    <w:uiPriority w:val="10"/>
    <w:qFormat/>
    <w:rsid w:val="00F35906"/>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F35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906"/>
    <w:pPr>
      <w:numPr>
        <w:ilvl w:val="1"/>
      </w:numPr>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F35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906"/>
    <w:pPr>
      <w:spacing w:before="160"/>
      <w:jc w:val="center"/>
    </w:pPr>
    <w:rPr>
      <w:rFonts w:eastAsiaTheme="minorHAnsi"/>
      <w:i/>
      <w:iCs/>
      <w:color w:val="404040" w:themeColor="text1" w:themeTint="BF"/>
      <w:lang w:val="en-IN"/>
    </w:rPr>
  </w:style>
  <w:style w:type="character" w:customStyle="1" w:styleId="QuoteChar">
    <w:name w:val="Quote Char"/>
    <w:basedOn w:val="DefaultParagraphFont"/>
    <w:link w:val="Quote"/>
    <w:uiPriority w:val="29"/>
    <w:rsid w:val="00F35906"/>
    <w:rPr>
      <w:i/>
      <w:iCs/>
      <w:color w:val="404040" w:themeColor="text1" w:themeTint="BF"/>
    </w:rPr>
  </w:style>
  <w:style w:type="paragraph" w:styleId="ListParagraph">
    <w:name w:val="List Paragraph"/>
    <w:basedOn w:val="Normal"/>
    <w:uiPriority w:val="34"/>
    <w:qFormat/>
    <w:rsid w:val="00F35906"/>
    <w:pPr>
      <w:ind w:left="720"/>
      <w:contextualSpacing/>
    </w:pPr>
    <w:rPr>
      <w:rFonts w:eastAsiaTheme="minorHAnsi"/>
      <w:lang w:val="en-IN"/>
    </w:rPr>
  </w:style>
  <w:style w:type="character" w:styleId="IntenseEmphasis">
    <w:name w:val="Intense Emphasis"/>
    <w:basedOn w:val="DefaultParagraphFont"/>
    <w:uiPriority w:val="21"/>
    <w:qFormat/>
    <w:rsid w:val="00F35906"/>
    <w:rPr>
      <w:i/>
      <w:iCs/>
      <w:color w:val="0F4761" w:themeColor="accent1" w:themeShade="BF"/>
    </w:rPr>
  </w:style>
  <w:style w:type="paragraph" w:styleId="IntenseQuote">
    <w:name w:val="Intense Quote"/>
    <w:basedOn w:val="Normal"/>
    <w:next w:val="Normal"/>
    <w:link w:val="IntenseQuoteChar"/>
    <w:uiPriority w:val="30"/>
    <w:qFormat/>
    <w:rsid w:val="00F35906"/>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val="en-IN"/>
    </w:rPr>
  </w:style>
  <w:style w:type="character" w:customStyle="1" w:styleId="IntenseQuoteChar">
    <w:name w:val="Intense Quote Char"/>
    <w:basedOn w:val="DefaultParagraphFont"/>
    <w:link w:val="IntenseQuote"/>
    <w:uiPriority w:val="30"/>
    <w:rsid w:val="00F35906"/>
    <w:rPr>
      <w:i/>
      <w:iCs/>
      <w:color w:val="0F4761" w:themeColor="accent1" w:themeShade="BF"/>
    </w:rPr>
  </w:style>
  <w:style w:type="character" w:styleId="IntenseReference">
    <w:name w:val="Intense Reference"/>
    <w:basedOn w:val="DefaultParagraphFont"/>
    <w:uiPriority w:val="32"/>
    <w:qFormat/>
    <w:rsid w:val="00F359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2026-06-09T10:24:00Z</dcterms:created>
  <dcterms:modified xsi:type="dcterms:W3CDTF">2026-06-09T10:24:00Z</dcterms:modified>
</cp:coreProperties>
</file>