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0056" w14:textId="77777777" w:rsidR="003E0838" w:rsidRPr="00F6688F" w:rsidRDefault="003E0838" w:rsidP="003E0838">
      <w:pPr>
        <w:spacing w:after="0" w:line="480" w:lineRule="auto"/>
        <w:rPr>
          <w:rFonts w:eastAsia="Times New Roman" w:cs="Times New Roman"/>
          <w:b/>
          <w:bCs/>
          <w:sz w:val="24"/>
          <w:szCs w:val="24"/>
        </w:rPr>
      </w:pPr>
      <w:r w:rsidRPr="00F6688F">
        <w:rPr>
          <w:rFonts w:eastAsia="Times New Roman" w:cs="Times New Roman"/>
          <w:b/>
          <w:bCs/>
          <w:color w:val="000000"/>
          <w:sz w:val="24"/>
          <w:szCs w:val="24"/>
        </w:rPr>
        <w:t>TABLES</w:t>
      </w:r>
    </w:p>
    <w:p w14:paraId="554DAE3F" w14:textId="77777777" w:rsidR="003E0838" w:rsidRPr="00F6688F" w:rsidRDefault="003E0838" w:rsidP="003E0838">
      <w:pPr>
        <w:spacing w:after="0" w:line="480" w:lineRule="auto"/>
        <w:rPr>
          <w:rFonts w:cs="Times New Roman"/>
          <w:sz w:val="24"/>
          <w:szCs w:val="24"/>
        </w:rPr>
      </w:pPr>
      <w:r>
        <w:t>Table 1. Patient, SVI data, and selected clinical characteristics by analytic cohorta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2034"/>
        <w:gridCol w:w="3067"/>
        <w:gridCol w:w="360"/>
      </w:tblGrid>
      <w:tr w:rsidR="003E0838" w:rsidRPr="00F6688F" w14:paraId="10988CC9" w14:textId="77777777" w:rsidTr="003136BB">
        <w:trPr>
          <w:trHeight w:val="300"/>
        </w:trPr>
        <w:tc>
          <w:tcPr>
            <w:tcW w:w="3995" w:type="dxa"/>
            <w:tcBorders>
              <w:top w:val="single" w:sz="4" w:space="0" w:color="auto"/>
              <w:bottom w:val="single" w:sz="4" w:space="0" w:color="auto"/>
            </w:tcBorders>
            <w:vAlign w:val="bottom"/>
          </w:tcPr>
          <w:p w14:paraId="202279E9" w14:textId="77777777" w:rsidR="003E0838" w:rsidRPr="00F6688F" w:rsidRDefault="003E0838" w:rsidP="003136BB">
            <w:pPr>
              <w:rPr>
                <w:rFonts w:cs="Times New Roman"/>
                <w:sz w:val="24"/>
                <w:szCs w:val="24"/>
              </w:rPr>
            </w:pPr>
            <w:r w:rsidRPr="00F6688F">
              <w:rPr>
                <w:rFonts w:eastAsia="Times New Roman" w:cs="Times New Roman"/>
                <w:b/>
                <w:bCs/>
                <w:color w:val="000000" w:themeColor="text1"/>
                <w:sz w:val="24"/>
                <w:szCs w:val="24"/>
              </w:rPr>
              <w:t>Characteristic</w:t>
            </w:r>
          </w:p>
        </w:tc>
        <w:tc>
          <w:tcPr>
            <w:tcW w:w="2310" w:type="dxa"/>
            <w:tcBorders>
              <w:top w:val="single" w:sz="4" w:space="0" w:color="auto"/>
              <w:bottom w:val="single" w:sz="4" w:space="0" w:color="auto"/>
            </w:tcBorders>
            <w:vAlign w:val="bottom"/>
          </w:tcPr>
          <w:p w14:paraId="65AB9D02" w14:textId="77777777" w:rsidR="003E0838" w:rsidRPr="00F6688F" w:rsidRDefault="003E0838" w:rsidP="003136BB">
            <w:pPr>
              <w:jc w:val="center"/>
              <w:rPr>
                <w:rFonts w:cs="Times New Roman"/>
                <w:sz w:val="24"/>
                <w:szCs w:val="24"/>
              </w:rPr>
            </w:pPr>
            <w:r w:rsidRPr="00F6688F">
              <w:rPr>
                <w:rFonts w:eastAsia="Times New Roman" w:cs="Times New Roman"/>
                <w:b/>
                <w:bCs/>
                <w:color w:val="000000" w:themeColor="text1"/>
                <w:sz w:val="24"/>
                <w:szCs w:val="24"/>
              </w:rPr>
              <w:t>GBM</w:t>
            </w:r>
            <w:r w:rsidRPr="00F6688F">
              <w:rPr>
                <w:rFonts w:eastAsia="Times New Roman" w:cs="Times New Roman"/>
                <w:b/>
                <w:bCs/>
                <w:color w:val="000000" w:themeColor="text1"/>
                <w:sz w:val="24"/>
                <w:szCs w:val="24"/>
              </w:rPr>
              <w:br/>
            </w:r>
            <w:r w:rsidRPr="00F6688F">
              <w:rPr>
                <w:rFonts w:cs="Times New Roman"/>
                <w:color w:val="000000" w:themeColor="text1"/>
                <w:sz w:val="24"/>
                <w:szCs w:val="24"/>
              </w:rPr>
              <w:t>(n=400)</w:t>
            </w:r>
          </w:p>
        </w:tc>
        <w:tc>
          <w:tcPr>
            <w:tcW w:w="3471" w:type="dxa"/>
            <w:gridSpan w:val="2"/>
            <w:tcBorders>
              <w:top w:val="single" w:sz="4" w:space="0" w:color="auto"/>
              <w:bottom w:val="single" w:sz="4" w:space="0" w:color="auto"/>
            </w:tcBorders>
            <w:vAlign w:val="bottom"/>
          </w:tcPr>
          <w:p w14:paraId="03B34CDE" w14:textId="77777777" w:rsidR="003E0838" w:rsidRPr="00F6688F" w:rsidRDefault="003E0838" w:rsidP="003136BB">
            <w:pPr>
              <w:jc w:val="center"/>
              <w:rPr>
                <w:rFonts w:cs="Times New Roman"/>
                <w:sz w:val="24"/>
                <w:szCs w:val="24"/>
              </w:rPr>
            </w:pPr>
            <w:r w:rsidRPr="00F6688F">
              <w:rPr>
                <w:rFonts w:eastAsia="Times New Roman" w:cs="Times New Roman"/>
                <w:b/>
                <w:bCs/>
                <w:color w:val="000000" w:themeColor="text1"/>
                <w:sz w:val="24"/>
                <w:szCs w:val="24"/>
              </w:rPr>
              <w:t>Astrocytoma</w:t>
            </w:r>
            <w:r w:rsidRPr="00F6688F">
              <w:rPr>
                <w:rFonts w:eastAsia="Times New Roman" w:cs="Times New Roman"/>
                <w:b/>
                <w:bCs/>
                <w:color w:val="000000" w:themeColor="text1"/>
                <w:sz w:val="24"/>
                <w:szCs w:val="24"/>
                <w:vertAlign w:val="superscript"/>
              </w:rPr>
              <w:t>b</w:t>
            </w:r>
            <w:r w:rsidRPr="00F6688F">
              <w:rPr>
                <w:rFonts w:eastAsia="Times New Roman" w:cs="Times New Roman"/>
                <w:b/>
                <w:bCs/>
                <w:color w:val="000000" w:themeColor="text1"/>
                <w:sz w:val="24"/>
                <w:szCs w:val="24"/>
                <w:vertAlign w:val="superscript"/>
              </w:rPr>
              <w:br/>
            </w:r>
            <w:r w:rsidRPr="00F6688F">
              <w:rPr>
                <w:rFonts w:cs="Times New Roman"/>
                <w:color w:val="000000" w:themeColor="text1"/>
                <w:sz w:val="24"/>
                <w:szCs w:val="24"/>
              </w:rPr>
              <w:t>(n=64)</w:t>
            </w:r>
          </w:p>
        </w:tc>
      </w:tr>
      <w:tr w:rsidR="003E0838" w:rsidRPr="00F6688F" w14:paraId="1AEBAAD0" w14:textId="77777777" w:rsidTr="003136BB">
        <w:trPr>
          <w:trHeight w:val="300"/>
        </w:trPr>
        <w:tc>
          <w:tcPr>
            <w:tcW w:w="3995" w:type="dxa"/>
            <w:tcBorders>
              <w:top w:val="single" w:sz="4" w:space="0" w:color="auto"/>
            </w:tcBorders>
          </w:tcPr>
          <w:p w14:paraId="475DADF8" w14:textId="77777777" w:rsidR="003E0838" w:rsidRPr="00F6688F" w:rsidRDefault="003E0838" w:rsidP="003136BB">
            <w:pPr>
              <w:rPr>
                <w:rFonts w:eastAsia="Times New Roman" w:cs="Times New Roman"/>
                <w:sz w:val="24"/>
                <w:szCs w:val="24"/>
              </w:rPr>
            </w:pPr>
            <w:r w:rsidRPr="00F6688F">
              <w:rPr>
                <w:rFonts w:eastAsia="Times New Roman" w:cs="Times New Roman"/>
                <w:sz w:val="24"/>
                <w:szCs w:val="24"/>
              </w:rPr>
              <w:t xml:space="preserve">Patient characteristics </w:t>
            </w:r>
          </w:p>
        </w:tc>
        <w:tc>
          <w:tcPr>
            <w:tcW w:w="2310" w:type="dxa"/>
            <w:tcBorders>
              <w:top w:val="single" w:sz="4" w:space="0" w:color="auto"/>
            </w:tcBorders>
          </w:tcPr>
          <w:p w14:paraId="6FE7F0B6" w14:textId="77777777" w:rsidR="003E0838" w:rsidRPr="00F6688F" w:rsidRDefault="003E0838" w:rsidP="003136BB">
            <w:pPr>
              <w:jc w:val="center"/>
              <w:rPr>
                <w:rFonts w:eastAsia="Times New Roman" w:cs="Times New Roman"/>
                <w:sz w:val="24"/>
                <w:szCs w:val="24"/>
              </w:rPr>
            </w:pPr>
          </w:p>
        </w:tc>
        <w:tc>
          <w:tcPr>
            <w:tcW w:w="3471" w:type="dxa"/>
            <w:gridSpan w:val="2"/>
            <w:tcBorders>
              <w:top w:val="single" w:sz="4" w:space="0" w:color="auto"/>
            </w:tcBorders>
          </w:tcPr>
          <w:p w14:paraId="300A6C5B" w14:textId="77777777" w:rsidR="003E0838" w:rsidRPr="00F6688F" w:rsidRDefault="003E0838" w:rsidP="003136BB">
            <w:pPr>
              <w:jc w:val="center"/>
              <w:rPr>
                <w:rFonts w:eastAsia="Times New Roman" w:cs="Times New Roman"/>
                <w:sz w:val="24"/>
                <w:szCs w:val="24"/>
              </w:rPr>
            </w:pPr>
          </w:p>
        </w:tc>
      </w:tr>
      <w:tr w:rsidR="003E0838" w:rsidRPr="00F6688F" w14:paraId="33CCA31A" w14:textId="77777777" w:rsidTr="003136BB">
        <w:trPr>
          <w:trHeight w:val="300"/>
        </w:trPr>
        <w:tc>
          <w:tcPr>
            <w:tcW w:w="3995" w:type="dxa"/>
          </w:tcPr>
          <w:p w14:paraId="5E04B98A" w14:textId="77777777" w:rsidR="003E0838" w:rsidRPr="00F6688F" w:rsidRDefault="003E0838" w:rsidP="003136BB">
            <w:pPr>
              <w:ind w:left="337"/>
              <w:rPr>
                <w:rFonts w:cs="Times New Roman"/>
                <w:sz w:val="24"/>
                <w:szCs w:val="24"/>
              </w:rPr>
            </w:pPr>
            <w:r w:rsidRPr="00F6688F">
              <w:rPr>
                <w:rFonts w:eastAsia="Times New Roman" w:cs="Times New Roman"/>
                <w:sz w:val="24"/>
                <w:szCs w:val="24"/>
              </w:rPr>
              <w:t>Age at diagnosis, median (IQR), years</w:t>
            </w:r>
          </w:p>
        </w:tc>
        <w:tc>
          <w:tcPr>
            <w:tcW w:w="2310" w:type="dxa"/>
          </w:tcPr>
          <w:p w14:paraId="764EC403"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61 (51–68)</w:t>
            </w:r>
          </w:p>
        </w:tc>
        <w:tc>
          <w:tcPr>
            <w:tcW w:w="3471" w:type="dxa"/>
            <w:gridSpan w:val="2"/>
          </w:tcPr>
          <w:p w14:paraId="46C2A1F9"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35 (27–42)</w:t>
            </w:r>
          </w:p>
        </w:tc>
      </w:tr>
      <w:tr w:rsidR="003E0838" w:rsidRPr="00F6688F" w14:paraId="7E095B14" w14:textId="77777777" w:rsidTr="003136BB">
        <w:trPr>
          <w:trHeight w:val="300"/>
        </w:trPr>
        <w:tc>
          <w:tcPr>
            <w:tcW w:w="3995" w:type="dxa"/>
          </w:tcPr>
          <w:p w14:paraId="4C99E786" w14:textId="77777777" w:rsidR="003E0838" w:rsidRPr="00F6688F" w:rsidRDefault="003E0838" w:rsidP="003136BB">
            <w:pPr>
              <w:ind w:left="337"/>
              <w:rPr>
                <w:rFonts w:cs="Times New Roman"/>
                <w:sz w:val="24"/>
                <w:szCs w:val="24"/>
              </w:rPr>
            </w:pPr>
            <w:r w:rsidRPr="00F6688F">
              <w:rPr>
                <w:rFonts w:eastAsia="Times New Roman" w:cs="Times New Roman"/>
                <w:sz w:val="24"/>
                <w:szCs w:val="24"/>
              </w:rPr>
              <w:t>Female sex, n (%)</w:t>
            </w:r>
          </w:p>
        </w:tc>
        <w:tc>
          <w:tcPr>
            <w:tcW w:w="2310" w:type="dxa"/>
          </w:tcPr>
          <w:p w14:paraId="4753D9AB"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154 (38.5)</w:t>
            </w:r>
          </w:p>
        </w:tc>
        <w:tc>
          <w:tcPr>
            <w:tcW w:w="3471" w:type="dxa"/>
            <w:gridSpan w:val="2"/>
          </w:tcPr>
          <w:p w14:paraId="76D254BA"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26 (40.6)</w:t>
            </w:r>
          </w:p>
        </w:tc>
      </w:tr>
      <w:tr w:rsidR="003E0838" w:rsidRPr="00F6688F" w14:paraId="299490A3" w14:textId="77777777" w:rsidTr="003136BB">
        <w:trPr>
          <w:trHeight w:val="300"/>
        </w:trPr>
        <w:tc>
          <w:tcPr>
            <w:tcW w:w="3995" w:type="dxa"/>
          </w:tcPr>
          <w:p w14:paraId="47F803AE" w14:textId="77777777" w:rsidR="003E0838" w:rsidRPr="00F6688F" w:rsidRDefault="003E0838" w:rsidP="003136BB">
            <w:pPr>
              <w:ind w:left="337"/>
              <w:rPr>
                <w:rFonts w:cs="Times New Roman"/>
                <w:sz w:val="24"/>
                <w:szCs w:val="24"/>
              </w:rPr>
            </w:pPr>
            <w:r w:rsidRPr="00F6688F">
              <w:rPr>
                <w:rFonts w:eastAsia="Times New Roman" w:cs="Times New Roman"/>
                <w:sz w:val="24"/>
                <w:szCs w:val="24"/>
              </w:rPr>
              <w:t>Death at last follow-up, n (%)</w:t>
            </w:r>
          </w:p>
        </w:tc>
        <w:tc>
          <w:tcPr>
            <w:tcW w:w="2310" w:type="dxa"/>
          </w:tcPr>
          <w:p w14:paraId="10B1F5F7"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255 (63.8)</w:t>
            </w:r>
          </w:p>
        </w:tc>
        <w:tc>
          <w:tcPr>
            <w:tcW w:w="3471" w:type="dxa"/>
            <w:gridSpan w:val="2"/>
          </w:tcPr>
          <w:p w14:paraId="1635D0B6"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24 (37.5)</w:t>
            </w:r>
          </w:p>
        </w:tc>
      </w:tr>
      <w:tr w:rsidR="003E0838" w:rsidRPr="00F6688F" w14:paraId="0403E07B" w14:textId="77777777" w:rsidTr="003136BB">
        <w:trPr>
          <w:gridAfter w:val="1"/>
          <w:wAfter w:w="432" w:type="dxa"/>
          <w:trHeight w:val="300"/>
        </w:trPr>
        <w:tc>
          <w:tcPr>
            <w:tcW w:w="3995" w:type="dxa"/>
          </w:tcPr>
          <w:p w14:paraId="437D91BC" w14:textId="77777777" w:rsidR="003E0838" w:rsidRPr="00F6688F" w:rsidRDefault="003E0838" w:rsidP="003136BB">
            <w:pPr>
              <w:ind w:left="-16"/>
              <w:rPr>
                <w:rFonts w:eastAsia="Times New Roman" w:cs="Times New Roman"/>
                <w:sz w:val="24"/>
                <w:szCs w:val="24"/>
              </w:rPr>
            </w:pPr>
            <w:r w:rsidRPr="00F6688F">
              <w:rPr>
                <w:rFonts w:eastAsia="Times New Roman" w:cs="Times New Roman"/>
                <w:sz w:val="24"/>
                <w:szCs w:val="24"/>
              </w:rPr>
              <w:t>SVI distribution</w:t>
            </w:r>
          </w:p>
        </w:tc>
        <w:tc>
          <w:tcPr>
            <w:tcW w:w="2310" w:type="dxa"/>
          </w:tcPr>
          <w:p w14:paraId="434CAEF1" w14:textId="77777777" w:rsidR="003E0838" w:rsidRPr="00F6688F" w:rsidRDefault="003E0838" w:rsidP="003136BB">
            <w:pPr>
              <w:jc w:val="center"/>
              <w:rPr>
                <w:rFonts w:eastAsia="Times New Roman" w:cs="Times New Roman"/>
                <w:sz w:val="24"/>
                <w:szCs w:val="24"/>
              </w:rPr>
            </w:pPr>
          </w:p>
        </w:tc>
        <w:tc>
          <w:tcPr>
            <w:tcW w:w="3471" w:type="dxa"/>
          </w:tcPr>
          <w:p w14:paraId="6FE01EA0" w14:textId="77777777" w:rsidR="003E0838" w:rsidRPr="00F6688F" w:rsidRDefault="003E0838" w:rsidP="003136BB">
            <w:pPr>
              <w:jc w:val="center"/>
              <w:rPr>
                <w:rFonts w:eastAsia="Times New Roman" w:cs="Times New Roman"/>
                <w:sz w:val="24"/>
                <w:szCs w:val="24"/>
              </w:rPr>
            </w:pPr>
          </w:p>
        </w:tc>
      </w:tr>
      <w:tr w:rsidR="003E0838" w:rsidRPr="00F6688F" w14:paraId="1BCE3E38" w14:textId="77777777" w:rsidTr="003136BB">
        <w:trPr>
          <w:trHeight w:val="300"/>
        </w:trPr>
        <w:tc>
          <w:tcPr>
            <w:tcW w:w="3995" w:type="dxa"/>
          </w:tcPr>
          <w:p w14:paraId="23C78801" w14:textId="77777777" w:rsidR="003E0838" w:rsidRPr="00F6688F" w:rsidRDefault="003E0838" w:rsidP="003136BB">
            <w:pPr>
              <w:ind w:left="337"/>
              <w:rPr>
                <w:rFonts w:cs="Times New Roman"/>
                <w:sz w:val="24"/>
                <w:szCs w:val="24"/>
              </w:rPr>
            </w:pPr>
            <w:r w:rsidRPr="00F6688F">
              <w:rPr>
                <w:rFonts w:eastAsia="Times New Roman" w:cs="Times New Roman"/>
                <w:sz w:val="24"/>
                <w:szCs w:val="24"/>
              </w:rPr>
              <w:t>County-level SVI, median (IQR)</w:t>
            </w:r>
          </w:p>
        </w:tc>
        <w:tc>
          <w:tcPr>
            <w:tcW w:w="2310" w:type="dxa"/>
          </w:tcPr>
          <w:p w14:paraId="38B9667B"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0.613 (0.166–0.834)</w:t>
            </w:r>
          </w:p>
        </w:tc>
        <w:tc>
          <w:tcPr>
            <w:tcW w:w="3471" w:type="dxa"/>
            <w:gridSpan w:val="2"/>
          </w:tcPr>
          <w:p w14:paraId="3B9D478A"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0.834 (0.502–0.834)</w:t>
            </w:r>
          </w:p>
        </w:tc>
      </w:tr>
      <w:tr w:rsidR="003E0838" w:rsidRPr="00F6688F" w14:paraId="5EBF31D8" w14:textId="77777777" w:rsidTr="003136BB">
        <w:trPr>
          <w:trHeight w:val="300"/>
        </w:trPr>
        <w:tc>
          <w:tcPr>
            <w:tcW w:w="3995" w:type="dxa"/>
          </w:tcPr>
          <w:p w14:paraId="5235AFF4" w14:textId="77777777" w:rsidR="003E0838" w:rsidRPr="00F6688F" w:rsidRDefault="003E0838" w:rsidP="003136BB">
            <w:pPr>
              <w:ind w:left="337"/>
              <w:rPr>
                <w:rFonts w:cs="Times New Roman"/>
                <w:sz w:val="24"/>
                <w:szCs w:val="24"/>
              </w:rPr>
            </w:pPr>
            <w:r w:rsidRPr="00F6688F">
              <w:rPr>
                <w:rFonts w:eastAsia="Times New Roman" w:cs="Times New Roman"/>
                <w:sz w:val="24"/>
                <w:szCs w:val="24"/>
              </w:rPr>
              <w:t>County-level SVI, range</w:t>
            </w:r>
          </w:p>
        </w:tc>
        <w:tc>
          <w:tcPr>
            <w:tcW w:w="2310" w:type="dxa"/>
          </w:tcPr>
          <w:p w14:paraId="70ABF3A9"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0.040–0.949</w:t>
            </w:r>
          </w:p>
        </w:tc>
        <w:tc>
          <w:tcPr>
            <w:tcW w:w="3471" w:type="dxa"/>
            <w:gridSpan w:val="2"/>
          </w:tcPr>
          <w:p w14:paraId="0FAF9A4D"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0.047–0.929</w:t>
            </w:r>
          </w:p>
        </w:tc>
      </w:tr>
      <w:tr w:rsidR="003E0838" w:rsidRPr="00F6688F" w14:paraId="2A7C3C65" w14:textId="77777777" w:rsidTr="003136BB">
        <w:trPr>
          <w:trHeight w:val="300"/>
        </w:trPr>
        <w:tc>
          <w:tcPr>
            <w:tcW w:w="3995" w:type="dxa"/>
          </w:tcPr>
          <w:p w14:paraId="67E81C4F" w14:textId="77777777" w:rsidR="003E0838" w:rsidRPr="00F6688F" w:rsidRDefault="003E0838" w:rsidP="003136BB">
            <w:pPr>
              <w:ind w:left="337"/>
              <w:rPr>
                <w:rFonts w:cs="Times New Roman"/>
                <w:sz w:val="24"/>
                <w:szCs w:val="24"/>
              </w:rPr>
            </w:pPr>
            <w:r w:rsidRPr="00F6688F">
              <w:rPr>
                <w:rFonts w:eastAsia="Times New Roman" w:cs="Times New Roman"/>
                <w:sz w:val="24"/>
                <w:szCs w:val="24"/>
              </w:rPr>
              <w:t>Houston-area census tract–linked subset, n</w:t>
            </w:r>
          </w:p>
        </w:tc>
        <w:tc>
          <w:tcPr>
            <w:tcW w:w="2310" w:type="dxa"/>
          </w:tcPr>
          <w:p w14:paraId="4E92F1AB"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265</w:t>
            </w:r>
          </w:p>
        </w:tc>
        <w:tc>
          <w:tcPr>
            <w:tcW w:w="3471" w:type="dxa"/>
            <w:gridSpan w:val="2"/>
          </w:tcPr>
          <w:p w14:paraId="764E0755"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41</w:t>
            </w:r>
          </w:p>
        </w:tc>
      </w:tr>
      <w:tr w:rsidR="003E0838" w:rsidRPr="00F6688F" w14:paraId="4F3A6D4C" w14:textId="77777777" w:rsidTr="003136BB">
        <w:trPr>
          <w:trHeight w:val="300"/>
        </w:trPr>
        <w:tc>
          <w:tcPr>
            <w:tcW w:w="3995" w:type="dxa"/>
          </w:tcPr>
          <w:p w14:paraId="7B25B38C" w14:textId="77777777" w:rsidR="003E0838" w:rsidRPr="00F6688F" w:rsidRDefault="003E0838" w:rsidP="003136BB">
            <w:pPr>
              <w:ind w:left="337"/>
              <w:rPr>
                <w:rFonts w:cs="Times New Roman"/>
                <w:sz w:val="24"/>
                <w:szCs w:val="24"/>
              </w:rPr>
            </w:pPr>
            <w:r w:rsidRPr="00F6688F">
              <w:rPr>
                <w:rFonts w:eastAsia="Times New Roman" w:cs="Times New Roman"/>
                <w:sz w:val="24"/>
                <w:szCs w:val="24"/>
              </w:rPr>
              <w:t>Census tract–level SVI, n</w:t>
            </w:r>
          </w:p>
        </w:tc>
        <w:tc>
          <w:tcPr>
            <w:tcW w:w="2310" w:type="dxa"/>
          </w:tcPr>
          <w:p w14:paraId="7065FF49"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261</w:t>
            </w:r>
          </w:p>
        </w:tc>
        <w:tc>
          <w:tcPr>
            <w:tcW w:w="3471" w:type="dxa"/>
            <w:gridSpan w:val="2"/>
          </w:tcPr>
          <w:p w14:paraId="13FF966C"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41</w:t>
            </w:r>
          </w:p>
        </w:tc>
      </w:tr>
      <w:tr w:rsidR="003E0838" w:rsidRPr="00F6688F" w14:paraId="2733D347" w14:textId="77777777" w:rsidTr="003136BB">
        <w:trPr>
          <w:trHeight w:val="300"/>
        </w:trPr>
        <w:tc>
          <w:tcPr>
            <w:tcW w:w="3995" w:type="dxa"/>
          </w:tcPr>
          <w:p w14:paraId="0F7FE211" w14:textId="77777777" w:rsidR="003E0838" w:rsidRPr="00F6688F" w:rsidRDefault="003E0838" w:rsidP="003136BB">
            <w:pPr>
              <w:ind w:left="337"/>
              <w:rPr>
                <w:rFonts w:cs="Times New Roman"/>
                <w:sz w:val="24"/>
                <w:szCs w:val="24"/>
              </w:rPr>
            </w:pPr>
            <w:r w:rsidRPr="00F6688F">
              <w:rPr>
                <w:rFonts w:eastAsia="Times New Roman" w:cs="Times New Roman"/>
                <w:sz w:val="24"/>
                <w:szCs w:val="24"/>
              </w:rPr>
              <w:t>Census tract–level SVI, median (IQR)</w:t>
            </w:r>
          </w:p>
        </w:tc>
        <w:tc>
          <w:tcPr>
            <w:tcW w:w="2310" w:type="dxa"/>
          </w:tcPr>
          <w:p w14:paraId="38105768"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0.239 (0.104–0.447)</w:t>
            </w:r>
          </w:p>
        </w:tc>
        <w:tc>
          <w:tcPr>
            <w:tcW w:w="3471" w:type="dxa"/>
            <w:gridSpan w:val="2"/>
          </w:tcPr>
          <w:p w14:paraId="65F5F138"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0.215 (0.128–0.375)</w:t>
            </w:r>
          </w:p>
        </w:tc>
      </w:tr>
      <w:tr w:rsidR="003E0838" w:rsidRPr="00F6688F" w14:paraId="2997F4EC" w14:textId="77777777" w:rsidTr="003136BB">
        <w:trPr>
          <w:trHeight w:val="300"/>
        </w:trPr>
        <w:tc>
          <w:tcPr>
            <w:tcW w:w="3995" w:type="dxa"/>
          </w:tcPr>
          <w:p w14:paraId="0A3D0DC8" w14:textId="77777777" w:rsidR="003E0838" w:rsidRPr="00F6688F" w:rsidRDefault="003E0838" w:rsidP="003136BB">
            <w:pPr>
              <w:ind w:left="337"/>
              <w:rPr>
                <w:rFonts w:cs="Times New Roman"/>
                <w:sz w:val="24"/>
                <w:szCs w:val="24"/>
              </w:rPr>
            </w:pPr>
            <w:r w:rsidRPr="00F6688F">
              <w:rPr>
                <w:rFonts w:eastAsia="Times New Roman" w:cs="Times New Roman"/>
                <w:sz w:val="24"/>
                <w:szCs w:val="24"/>
              </w:rPr>
              <w:t>Census tract–level SVI, range</w:t>
            </w:r>
          </w:p>
        </w:tc>
        <w:tc>
          <w:tcPr>
            <w:tcW w:w="2310" w:type="dxa"/>
          </w:tcPr>
          <w:p w14:paraId="634673F7"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0.001–0.971</w:t>
            </w:r>
          </w:p>
        </w:tc>
        <w:tc>
          <w:tcPr>
            <w:tcW w:w="3471" w:type="dxa"/>
            <w:gridSpan w:val="2"/>
          </w:tcPr>
          <w:p w14:paraId="20DBC16B"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0.001–0.874</w:t>
            </w:r>
          </w:p>
        </w:tc>
      </w:tr>
      <w:tr w:rsidR="003E0838" w:rsidRPr="00F6688F" w14:paraId="64952725" w14:textId="77777777" w:rsidTr="003136BB">
        <w:trPr>
          <w:trHeight w:val="300"/>
        </w:trPr>
        <w:tc>
          <w:tcPr>
            <w:tcW w:w="3995" w:type="dxa"/>
          </w:tcPr>
          <w:p w14:paraId="459BCD69" w14:textId="77777777" w:rsidR="003E0838" w:rsidRDefault="003E0838" w:rsidP="003136BB">
            <w:r>
              <w:t>Selected clinical characteristics</w:t>
            </w:r>
          </w:p>
        </w:tc>
        <w:tc>
          <w:tcPr>
            <w:tcW w:w="2310" w:type="dxa"/>
          </w:tcPr>
          <w:p w14:paraId="05242085" w14:textId="77777777" w:rsidR="003E0838" w:rsidRDefault="003E0838" w:rsidP="003136BB"/>
        </w:tc>
        <w:tc>
          <w:tcPr>
            <w:tcW w:w="3471" w:type="dxa"/>
            <w:gridSpan w:val="2"/>
          </w:tcPr>
          <w:p w14:paraId="56004CF5" w14:textId="77777777" w:rsidR="003E0838" w:rsidRDefault="003E0838" w:rsidP="003136BB"/>
        </w:tc>
      </w:tr>
      <w:tr w:rsidR="003E0838" w:rsidRPr="00F6688F" w14:paraId="1268E300" w14:textId="77777777" w:rsidTr="003136BB">
        <w:trPr>
          <w:trHeight w:val="300"/>
        </w:trPr>
        <w:tc>
          <w:tcPr>
            <w:tcW w:w="3995" w:type="dxa"/>
          </w:tcPr>
          <w:p w14:paraId="490BB5F8" w14:textId="77777777" w:rsidR="003E0838" w:rsidRDefault="003E0838" w:rsidP="003136BB">
            <w:r>
              <w:t>Private/commercial insurance, n (%)</w:t>
            </w:r>
          </w:p>
        </w:tc>
        <w:tc>
          <w:tcPr>
            <w:tcW w:w="2310" w:type="dxa"/>
          </w:tcPr>
          <w:p w14:paraId="6150CAC7" w14:textId="77777777" w:rsidR="003E0838" w:rsidRDefault="003E0838" w:rsidP="003136BB">
            <w:r>
              <w:t>223 (55.8)</w:t>
            </w:r>
          </w:p>
        </w:tc>
        <w:tc>
          <w:tcPr>
            <w:tcW w:w="3471" w:type="dxa"/>
            <w:gridSpan w:val="2"/>
          </w:tcPr>
          <w:p w14:paraId="73800C68" w14:textId="77777777" w:rsidR="003E0838" w:rsidRDefault="003E0838" w:rsidP="003136BB">
            <w:r>
              <w:t>42 (65.6)</w:t>
            </w:r>
          </w:p>
        </w:tc>
      </w:tr>
      <w:tr w:rsidR="003E0838" w:rsidRPr="00F6688F" w14:paraId="14824FD7" w14:textId="77777777" w:rsidTr="003136BB">
        <w:trPr>
          <w:trHeight w:val="300"/>
        </w:trPr>
        <w:tc>
          <w:tcPr>
            <w:tcW w:w="3995" w:type="dxa"/>
          </w:tcPr>
          <w:p w14:paraId="5CD93C28" w14:textId="77777777" w:rsidR="003E0838" w:rsidRDefault="003E0838" w:rsidP="003136BB">
            <w:r>
              <w:t>Medicare/Medicaid insurance, n (%)</w:t>
            </w:r>
          </w:p>
        </w:tc>
        <w:tc>
          <w:tcPr>
            <w:tcW w:w="2310" w:type="dxa"/>
          </w:tcPr>
          <w:p w14:paraId="14E5BD79" w14:textId="77777777" w:rsidR="003E0838" w:rsidRDefault="003E0838" w:rsidP="003136BB">
            <w:r>
              <w:t>171 (42.8)</w:t>
            </w:r>
          </w:p>
        </w:tc>
        <w:tc>
          <w:tcPr>
            <w:tcW w:w="3471" w:type="dxa"/>
            <w:gridSpan w:val="2"/>
          </w:tcPr>
          <w:p w14:paraId="4CA296DC" w14:textId="77777777" w:rsidR="003E0838" w:rsidRDefault="003E0838" w:rsidP="003136BB">
            <w:r>
              <w:t>18 (28.1)</w:t>
            </w:r>
          </w:p>
        </w:tc>
      </w:tr>
      <w:tr w:rsidR="003E0838" w:rsidRPr="00F6688F" w14:paraId="754FB943" w14:textId="77777777" w:rsidTr="003136BB">
        <w:trPr>
          <w:trHeight w:val="300"/>
        </w:trPr>
        <w:tc>
          <w:tcPr>
            <w:tcW w:w="3995" w:type="dxa"/>
          </w:tcPr>
          <w:p w14:paraId="663D9D61" w14:textId="77777777" w:rsidR="003E0838" w:rsidRDefault="003E0838" w:rsidP="003136BB">
            <w:r>
              <w:t>Self-pay, n (%)</w:t>
            </w:r>
          </w:p>
        </w:tc>
        <w:tc>
          <w:tcPr>
            <w:tcW w:w="2310" w:type="dxa"/>
          </w:tcPr>
          <w:p w14:paraId="64CB8DDE" w14:textId="77777777" w:rsidR="003E0838" w:rsidRDefault="003E0838" w:rsidP="003136BB">
            <w:r>
              <w:t>5 (1.3)</w:t>
            </w:r>
          </w:p>
        </w:tc>
        <w:tc>
          <w:tcPr>
            <w:tcW w:w="3471" w:type="dxa"/>
            <w:gridSpan w:val="2"/>
          </w:tcPr>
          <w:p w14:paraId="700E729C" w14:textId="77777777" w:rsidR="003E0838" w:rsidRDefault="003E0838" w:rsidP="003136BB">
            <w:r>
              <w:t>0 (0.0)</w:t>
            </w:r>
          </w:p>
        </w:tc>
      </w:tr>
      <w:tr w:rsidR="003E0838" w:rsidRPr="00F6688F" w14:paraId="25B9C5C0" w14:textId="77777777" w:rsidTr="003136BB">
        <w:trPr>
          <w:trHeight w:val="300"/>
        </w:trPr>
        <w:tc>
          <w:tcPr>
            <w:tcW w:w="3995" w:type="dxa"/>
          </w:tcPr>
          <w:p w14:paraId="0E834371" w14:textId="77777777" w:rsidR="003E0838" w:rsidRDefault="003E0838" w:rsidP="003136BB">
            <w:r>
              <w:t>Other/unknown/not available insurance, n (%)</w:t>
            </w:r>
          </w:p>
        </w:tc>
        <w:tc>
          <w:tcPr>
            <w:tcW w:w="2310" w:type="dxa"/>
          </w:tcPr>
          <w:p w14:paraId="5CBF0284" w14:textId="77777777" w:rsidR="003E0838" w:rsidRDefault="003E0838" w:rsidP="003136BB">
            <w:r>
              <w:t>1 (0.3)</w:t>
            </w:r>
          </w:p>
        </w:tc>
        <w:tc>
          <w:tcPr>
            <w:tcW w:w="3471" w:type="dxa"/>
            <w:gridSpan w:val="2"/>
          </w:tcPr>
          <w:p w14:paraId="26D07233" w14:textId="77777777" w:rsidR="003E0838" w:rsidRDefault="003E0838" w:rsidP="003136BB">
            <w:r>
              <w:t>4 (6.3)</w:t>
            </w:r>
          </w:p>
        </w:tc>
      </w:tr>
      <w:tr w:rsidR="003E0838" w:rsidRPr="00F6688F" w14:paraId="4E1428F7" w14:textId="77777777" w:rsidTr="003136BB">
        <w:trPr>
          <w:trHeight w:val="300"/>
        </w:trPr>
        <w:tc>
          <w:tcPr>
            <w:tcW w:w="3995" w:type="dxa"/>
          </w:tcPr>
          <w:p w14:paraId="62E42B91" w14:textId="77777777" w:rsidR="003E0838" w:rsidRPr="00F6688F" w:rsidRDefault="003E0838" w:rsidP="003136BB">
            <w:pPr>
              <w:ind w:left="337"/>
              <w:rPr>
                <w:rFonts w:eastAsia="Times New Roman" w:cs="Times New Roman"/>
                <w:sz w:val="24"/>
                <w:szCs w:val="24"/>
              </w:rPr>
            </w:pPr>
            <w:r w:rsidRPr="00F6688F">
              <w:rPr>
                <w:rFonts w:eastAsia="Times New Roman" w:cs="Times New Roman"/>
                <w:sz w:val="24"/>
                <w:szCs w:val="24"/>
              </w:rPr>
              <w:t>KPS at diagnosis, n</w:t>
            </w:r>
          </w:p>
        </w:tc>
        <w:tc>
          <w:tcPr>
            <w:tcW w:w="2310" w:type="dxa"/>
          </w:tcPr>
          <w:p w14:paraId="66684B31" w14:textId="77777777" w:rsidR="003E0838" w:rsidRPr="00F6688F" w:rsidRDefault="003E0838" w:rsidP="003136BB">
            <w:pPr>
              <w:jc w:val="center"/>
              <w:rPr>
                <w:rFonts w:eastAsia="Times New Roman" w:cs="Times New Roman"/>
                <w:sz w:val="24"/>
                <w:szCs w:val="24"/>
              </w:rPr>
            </w:pPr>
            <w:r w:rsidRPr="00F6688F">
              <w:rPr>
                <w:rFonts w:eastAsia="Times New Roman" w:cs="Times New Roman"/>
                <w:sz w:val="24"/>
                <w:szCs w:val="24"/>
              </w:rPr>
              <w:t>398</w:t>
            </w:r>
          </w:p>
        </w:tc>
        <w:tc>
          <w:tcPr>
            <w:tcW w:w="3471" w:type="dxa"/>
            <w:gridSpan w:val="2"/>
          </w:tcPr>
          <w:p w14:paraId="4A1977C2" w14:textId="77777777" w:rsidR="003E0838" w:rsidRPr="00F6688F" w:rsidRDefault="003E0838" w:rsidP="003136BB">
            <w:pPr>
              <w:jc w:val="center"/>
              <w:rPr>
                <w:rFonts w:eastAsia="Times New Roman" w:cs="Times New Roman"/>
                <w:sz w:val="24"/>
                <w:szCs w:val="24"/>
              </w:rPr>
            </w:pPr>
            <w:r w:rsidRPr="00F6688F">
              <w:rPr>
                <w:rFonts w:eastAsia="Times New Roman" w:cs="Times New Roman"/>
                <w:sz w:val="24"/>
                <w:szCs w:val="24"/>
              </w:rPr>
              <w:t>64</w:t>
            </w:r>
          </w:p>
        </w:tc>
      </w:tr>
      <w:tr w:rsidR="003E0838" w:rsidRPr="00F6688F" w14:paraId="370F60D1" w14:textId="77777777" w:rsidTr="003136BB">
        <w:trPr>
          <w:trHeight w:val="300"/>
        </w:trPr>
        <w:tc>
          <w:tcPr>
            <w:tcW w:w="3995" w:type="dxa"/>
          </w:tcPr>
          <w:p w14:paraId="76745D40" w14:textId="77777777" w:rsidR="003E0838" w:rsidRPr="00F6688F" w:rsidRDefault="003E0838" w:rsidP="003136BB">
            <w:pPr>
              <w:ind w:left="616"/>
              <w:rPr>
                <w:rFonts w:eastAsia="Times New Roman" w:cs="Times New Roman"/>
                <w:sz w:val="24"/>
                <w:szCs w:val="24"/>
                <w:vertAlign w:val="superscript"/>
              </w:rPr>
            </w:pPr>
            <w:r w:rsidRPr="00F6688F">
              <w:rPr>
                <w:rFonts w:eastAsia="Times New Roman" w:cs="Times New Roman"/>
                <w:sz w:val="24"/>
                <w:szCs w:val="24"/>
              </w:rPr>
              <w:t>KPS ≥70, n (%)</w:t>
            </w:r>
            <w:r w:rsidRPr="00F6688F">
              <w:rPr>
                <w:rFonts w:eastAsia="Times New Roman" w:cs="Times New Roman"/>
                <w:sz w:val="24"/>
                <w:szCs w:val="24"/>
                <w:vertAlign w:val="superscript"/>
              </w:rPr>
              <w:t>c</w:t>
            </w:r>
          </w:p>
        </w:tc>
        <w:tc>
          <w:tcPr>
            <w:tcW w:w="2310" w:type="dxa"/>
          </w:tcPr>
          <w:p w14:paraId="692A5210" w14:textId="77777777" w:rsidR="003E0838" w:rsidRPr="00F6688F" w:rsidRDefault="003E0838" w:rsidP="003136BB">
            <w:pPr>
              <w:jc w:val="center"/>
              <w:rPr>
                <w:rFonts w:eastAsia="Times New Roman" w:cs="Times New Roman"/>
                <w:sz w:val="24"/>
                <w:szCs w:val="24"/>
              </w:rPr>
            </w:pPr>
            <w:r w:rsidRPr="00F6688F">
              <w:rPr>
                <w:rFonts w:eastAsia="Times New Roman" w:cs="Times New Roman"/>
                <w:sz w:val="24"/>
                <w:szCs w:val="24"/>
              </w:rPr>
              <w:t>377 (94.7)</w:t>
            </w:r>
          </w:p>
        </w:tc>
        <w:tc>
          <w:tcPr>
            <w:tcW w:w="3471" w:type="dxa"/>
            <w:gridSpan w:val="2"/>
          </w:tcPr>
          <w:p w14:paraId="179B2CB9" w14:textId="77777777" w:rsidR="003E0838" w:rsidRPr="00F6688F" w:rsidRDefault="003E0838" w:rsidP="003136BB">
            <w:pPr>
              <w:jc w:val="center"/>
              <w:rPr>
                <w:rFonts w:eastAsia="Times New Roman" w:cs="Times New Roman"/>
                <w:sz w:val="24"/>
                <w:szCs w:val="24"/>
              </w:rPr>
            </w:pPr>
            <w:r w:rsidRPr="00F6688F">
              <w:rPr>
                <w:rFonts w:eastAsia="Times New Roman" w:cs="Times New Roman"/>
                <w:sz w:val="24"/>
                <w:szCs w:val="24"/>
              </w:rPr>
              <w:t>62 (96.9)</w:t>
            </w:r>
          </w:p>
        </w:tc>
      </w:tr>
      <w:tr w:rsidR="003E0838" w:rsidRPr="00F6688F" w14:paraId="646ED8D3" w14:textId="77777777" w:rsidTr="003136BB">
        <w:trPr>
          <w:trHeight w:val="300"/>
        </w:trPr>
        <w:tc>
          <w:tcPr>
            <w:tcW w:w="3995" w:type="dxa"/>
          </w:tcPr>
          <w:p w14:paraId="640200D3" w14:textId="77777777" w:rsidR="003E0838" w:rsidRPr="00F6688F" w:rsidRDefault="003E0838" w:rsidP="003136BB">
            <w:pPr>
              <w:ind w:left="616"/>
              <w:rPr>
                <w:rFonts w:eastAsia="Times New Roman" w:cs="Times New Roman"/>
                <w:sz w:val="24"/>
                <w:szCs w:val="24"/>
                <w:vertAlign w:val="superscript"/>
              </w:rPr>
            </w:pPr>
            <w:r w:rsidRPr="00F6688F">
              <w:rPr>
                <w:rFonts w:eastAsia="Times New Roman" w:cs="Times New Roman"/>
                <w:sz w:val="24"/>
                <w:szCs w:val="24"/>
              </w:rPr>
              <w:t>KPS &lt;70, n (%)</w:t>
            </w:r>
            <w:r w:rsidRPr="00F6688F">
              <w:rPr>
                <w:rFonts w:eastAsia="Times New Roman" w:cs="Times New Roman"/>
                <w:sz w:val="24"/>
                <w:szCs w:val="24"/>
                <w:vertAlign w:val="superscript"/>
              </w:rPr>
              <w:t>c</w:t>
            </w:r>
          </w:p>
        </w:tc>
        <w:tc>
          <w:tcPr>
            <w:tcW w:w="2310" w:type="dxa"/>
          </w:tcPr>
          <w:p w14:paraId="3BE682C2" w14:textId="77777777" w:rsidR="003E0838" w:rsidRPr="00F6688F" w:rsidRDefault="003E0838" w:rsidP="003136BB">
            <w:pPr>
              <w:jc w:val="center"/>
              <w:rPr>
                <w:rFonts w:eastAsia="Times New Roman" w:cs="Times New Roman"/>
                <w:sz w:val="24"/>
                <w:szCs w:val="24"/>
              </w:rPr>
            </w:pPr>
            <w:r w:rsidRPr="00F6688F">
              <w:rPr>
                <w:rFonts w:eastAsia="Times New Roman" w:cs="Times New Roman"/>
                <w:sz w:val="24"/>
                <w:szCs w:val="24"/>
              </w:rPr>
              <w:t>21 (5.3)</w:t>
            </w:r>
          </w:p>
        </w:tc>
        <w:tc>
          <w:tcPr>
            <w:tcW w:w="3471" w:type="dxa"/>
            <w:gridSpan w:val="2"/>
          </w:tcPr>
          <w:p w14:paraId="153319BB" w14:textId="77777777" w:rsidR="003E0838" w:rsidRPr="00F6688F" w:rsidRDefault="003E0838" w:rsidP="003136BB">
            <w:pPr>
              <w:jc w:val="center"/>
              <w:rPr>
                <w:rFonts w:eastAsia="Times New Roman" w:cs="Times New Roman"/>
                <w:sz w:val="24"/>
                <w:szCs w:val="24"/>
              </w:rPr>
            </w:pPr>
            <w:r w:rsidRPr="00F6688F">
              <w:rPr>
                <w:rFonts w:eastAsia="Times New Roman" w:cs="Times New Roman"/>
                <w:sz w:val="24"/>
                <w:szCs w:val="24"/>
              </w:rPr>
              <w:t>2 (3.1)</w:t>
            </w:r>
          </w:p>
        </w:tc>
      </w:tr>
      <w:tr w:rsidR="003E0838" w:rsidRPr="00F6688F" w14:paraId="26CC01CA" w14:textId="77777777" w:rsidTr="003136BB">
        <w:trPr>
          <w:trHeight w:val="300"/>
        </w:trPr>
        <w:tc>
          <w:tcPr>
            <w:tcW w:w="3995" w:type="dxa"/>
          </w:tcPr>
          <w:p w14:paraId="0B80F1D8" w14:textId="77777777" w:rsidR="003E0838" w:rsidRPr="00F6688F" w:rsidRDefault="003E0838" w:rsidP="003136BB">
            <w:pPr>
              <w:ind w:left="337"/>
              <w:rPr>
                <w:rFonts w:eastAsia="Times New Roman" w:cs="Times New Roman"/>
                <w:sz w:val="24"/>
                <w:szCs w:val="24"/>
              </w:rPr>
            </w:pPr>
            <w:r w:rsidRPr="00F6688F">
              <w:rPr>
                <w:rFonts w:eastAsia="Times New Roman" w:cs="Times New Roman"/>
                <w:sz w:val="24"/>
                <w:szCs w:val="24"/>
              </w:rPr>
              <w:t>Gross total resection, n (%)</w:t>
            </w:r>
          </w:p>
        </w:tc>
        <w:tc>
          <w:tcPr>
            <w:tcW w:w="2310" w:type="dxa"/>
          </w:tcPr>
          <w:p w14:paraId="6CCAA11D" w14:textId="77777777" w:rsidR="003E0838" w:rsidRPr="00F6688F" w:rsidRDefault="003E0838" w:rsidP="003136BB">
            <w:pPr>
              <w:jc w:val="center"/>
              <w:rPr>
                <w:rFonts w:eastAsia="Times New Roman" w:cs="Times New Roman"/>
                <w:sz w:val="24"/>
                <w:szCs w:val="24"/>
              </w:rPr>
            </w:pPr>
            <w:r w:rsidRPr="00F6688F">
              <w:rPr>
                <w:rFonts w:eastAsia="Times New Roman" w:cs="Times New Roman"/>
                <w:sz w:val="24"/>
                <w:szCs w:val="24"/>
              </w:rPr>
              <w:t>186 (46.5)</w:t>
            </w:r>
          </w:p>
        </w:tc>
        <w:tc>
          <w:tcPr>
            <w:tcW w:w="3471" w:type="dxa"/>
            <w:gridSpan w:val="2"/>
          </w:tcPr>
          <w:p w14:paraId="3493D7D6" w14:textId="77777777" w:rsidR="003E0838" w:rsidRPr="00F6688F" w:rsidRDefault="003E0838" w:rsidP="003136BB">
            <w:pPr>
              <w:jc w:val="center"/>
              <w:rPr>
                <w:rFonts w:eastAsia="Times New Roman" w:cs="Times New Roman"/>
                <w:sz w:val="24"/>
                <w:szCs w:val="24"/>
              </w:rPr>
            </w:pPr>
            <w:r w:rsidRPr="00F6688F">
              <w:rPr>
                <w:rFonts w:eastAsia="Times New Roman" w:cs="Times New Roman"/>
                <w:sz w:val="24"/>
                <w:szCs w:val="24"/>
              </w:rPr>
              <w:t>28 (43.8)</w:t>
            </w:r>
          </w:p>
        </w:tc>
      </w:tr>
      <w:tr w:rsidR="003E0838" w:rsidRPr="00F6688F" w14:paraId="5078A999" w14:textId="77777777" w:rsidTr="003136BB">
        <w:trPr>
          <w:trHeight w:val="300"/>
        </w:trPr>
        <w:tc>
          <w:tcPr>
            <w:tcW w:w="3995" w:type="dxa"/>
          </w:tcPr>
          <w:p w14:paraId="7B6D5C13" w14:textId="77777777" w:rsidR="003E0838" w:rsidRPr="00F6688F" w:rsidRDefault="003E0838" w:rsidP="003136BB">
            <w:pPr>
              <w:ind w:left="337"/>
              <w:rPr>
                <w:rFonts w:eastAsia="Times New Roman" w:cs="Times New Roman"/>
                <w:sz w:val="24"/>
                <w:szCs w:val="24"/>
              </w:rPr>
            </w:pPr>
            <w:r w:rsidRPr="00F6688F">
              <w:rPr>
                <w:rFonts w:eastAsia="Times New Roman" w:cs="Times New Roman"/>
                <w:sz w:val="24"/>
                <w:szCs w:val="24"/>
              </w:rPr>
              <w:lastRenderedPageBreak/>
              <w:t>Less than gross total resection, n (%)</w:t>
            </w:r>
          </w:p>
        </w:tc>
        <w:tc>
          <w:tcPr>
            <w:tcW w:w="2310" w:type="dxa"/>
          </w:tcPr>
          <w:p w14:paraId="2D723FDC" w14:textId="77777777" w:rsidR="003E0838" w:rsidRPr="00F6688F" w:rsidRDefault="003E0838" w:rsidP="003136BB">
            <w:pPr>
              <w:jc w:val="center"/>
              <w:rPr>
                <w:rFonts w:eastAsia="Times New Roman" w:cs="Times New Roman"/>
                <w:sz w:val="24"/>
                <w:szCs w:val="24"/>
              </w:rPr>
            </w:pPr>
            <w:r w:rsidRPr="00F6688F">
              <w:rPr>
                <w:rFonts w:eastAsia="Times New Roman" w:cs="Times New Roman"/>
                <w:sz w:val="24"/>
                <w:szCs w:val="24"/>
              </w:rPr>
              <w:t>88 (22.0)</w:t>
            </w:r>
          </w:p>
        </w:tc>
        <w:tc>
          <w:tcPr>
            <w:tcW w:w="3471" w:type="dxa"/>
            <w:gridSpan w:val="2"/>
          </w:tcPr>
          <w:p w14:paraId="1308B79C" w14:textId="77777777" w:rsidR="003E0838" w:rsidRPr="00F6688F" w:rsidRDefault="003E0838" w:rsidP="003136BB">
            <w:pPr>
              <w:jc w:val="center"/>
              <w:rPr>
                <w:rFonts w:eastAsia="Times New Roman" w:cs="Times New Roman"/>
                <w:sz w:val="24"/>
                <w:szCs w:val="24"/>
              </w:rPr>
            </w:pPr>
            <w:r w:rsidRPr="00F6688F">
              <w:rPr>
                <w:rFonts w:eastAsia="Times New Roman" w:cs="Times New Roman"/>
                <w:sz w:val="24"/>
                <w:szCs w:val="24"/>
              </w:rPr>
              <w:t>21 (32.8)</w:t>
            </w:r>
          </w:p>
        </w:tc>
      </w:tr>
      <w:tr w:rsidR="003E0838" w:rsidRPr="00F6688F" w14:paraId="7FE26FF9" w14:textId="77777777" w:rsidTr="003136BB">
        <w:trPr>
          <w:trHeight w:val="300"/>
        </w:trPr>
        <w:tc>
          <w:tcPr>
            <w:tcW w:w="3995" w:type="dxa"/>
          </w:tcPr>
          <w:p w14:paraId="400F28D3" w14:textId="77777777" w:rsidR="003E0838" w:rsidRPr="00F6688F" w:rsidRDefault="003E0838" w:rsidP="003136BB">
            <w:pPr>
              <w:ind w:left="337"/>
              <w:rPr>
                <w:rFonts w:eastAsia="Times New Roman" w:cs="Times New Roman"/>
                <w:sz w:val="24"/>
                <w:szCs w:val="24"/>
              </w:rPr>
            </w:pPr>
            <w:r w:rsidRPr="00F6688F">
              <w:rPr>
                <w:rFonts w:eastAsia="Times New Roman" w:cs="Times New Roman"/>
                <w:sz w:val="24"/>
                <w:szCs w:val="24"/>
              </w:rPr>
              <w:t>Biopsy, stereotactic biopsy, or unknown or missing data on extent of resection, n (%)</w:t>
            </w:r>
          </w:p>
        </w:tc>
        <w:tc>
          <w:tcPr>
            <w:tcW w:w="2310" w:type="dxa"/>
          </w:tcPr>
          <w:p w14:paraId="209E031E" w14:textId="77777777" w:rsidR="003E0838" w:rsidRPr="00F6688F" w:rsidRDefault="003E0838" w:rsidP="003136BB">
            <w:pPr>
              <w:jc w:val="center"/>
              <w:rPr>
                <w:rFonts w:eastAsia="Times New Roman" w:cs="Times New Roman"/>
                <w:sz w:val="24"/>
                <w:szCs w:val="24"/>
              </w:rPr>
            </w:pPr>
            <w:r w:rsidRPr="00F6688F">
              <w:rPr>
                <w:rFonts w:eastAsia="Times New Roman" w:cs="Times New Roman"/>
                <w:sz w:val="24"/>
                <w:szCs w:val="24"/>
              </w:rPr>
              <w:t>126 (31.5)</w:t>
            </w:r>
          </w:p>
        </w:tc>
        <w:tc>
          <w:tcPr>
            <w:tcW w:w="3471" w:type="dxa"/>
            <w:gridSpan w:val="2"/>
          </w:tcPr>
          <w:p w14:paraId="68EA4EEB" w14:textId="77777777" w:rsidR="003E0838" w:rsidRPr="00F6688F" w:rsidRDefault="003E0838" w:rsidP="003136BB">
            <w:pPr>
              <w:jc w:val="center"/>
              <w:rPr>
                <w:rFonts w:eastAsia="Times New Roman" w:cs="Times New Roman"/>
                <w:sz w:val="24"/>
                <w:szCs w:val="24"/>
              </w:rPr>
            </w:pPr>
            <w:r w:rsidRPr="00F6688F">
              <w:rPr>
                <w:rFonts w:eastAsia="Times New Roman" w:cs="Times New Roman"/>
                <w:sz w:val="24"/>
                <w:szCs w:val="24"/>
              </w:rPr>
              <w:t>15 (23.4)</w:t>
            </w:r>
          </w:p>
        </w:tc>
      </w:tr>
    </w:tbl>
    <w:p w14:paraId="2CEEA529" w14:textId="77777777" w:rsidR="003E0838" w:rsidRPr="00F6688F" w:rsidRDefault="003E0838" w:rsidP="003E0838">
      <w:pPr>
        <w:spacing w:after="0" w:line="480" w:lineRule="auto"/>
        <w:rPr>
          <w:rFonts w:eastAsia="Times New Roman" w:cs="Times New Roman"/>
          <w:sz w:val="24"/>
          <w:szCs w:val="24"/>
        </w:rPr>
      </w:pPr>
      <w:r w:rsidRPr="00F6688F">
        <w:rPr>
          <w:rFonts w:eastAsia="Times New Roman" w:cs="Times New Roman"/>
          <w:sz w:val="24"/>
          <w:szCs w:val="24"/>
        </w:rPr>
        <w:t xml:space="preserve">Abbreviations: GBM, IDH-wildtype glioblastoma; IQR, interquartile range; KPS, Karnofsky Performance Status; SVI, Social Vulnerability Index. </w:t>
      </w:r>
    </w:p>
    <w:p w14:paraId="5A42D98E" w14:textId="77777777" w:rsidR="003E0838" w:rsidRPr="00F6688F" w:rsidRDefault="003E0838" w:rsidP="003E0838">
      <w:pPr>
        <w:spacing w:after="0" w:line="480" w:lineRule="auto"/>
        <w:rPr>
          <w:rFonts w:eastAsia="Times New Roman" w:cs="Times New Roman"/>
          <w:sz w:val="24"/>
          <w:szCs w:val="24"/>
        </w:rPr>
      </w:pPr>
      <w:r w:rsidRPr="00F6688F">
        <w:rPr>
          <w:rFonts w:eastAsia="Times New Roman" w:cs="Times New Roman"/>
          <w:sz w:val="24"/>
          <w:szCs w:val="24"/>
          <w:vertAlign w:val="superscript"/>
        </w:rPr>
        <w:t xml:space="preserve">a </w:t>
      </w:r>
      <w:r w:rsidRPr="00F6688F">
        <w:rPr>
          <w:rFonts w:eastAsia="Times New Roman" w:cs="Times New Roman"/>
          <w:sz w:val="24"/>
          <w:szCs w:val="24"/>
        </w:rPr>
        <w:t>Percentages may not sum to 100 because of rounding.</w:t>
      </w:r>
    </w:p>
    <w:p w14:paraId="51A0F740" w14:textId="77777777" w:rsidR="003E0838" w:rsidRPr="00F6688F" w:rsidRDefault="003E0838" w:rsidP="003E0838">
      <w:pPr>
        <w:spacing w:after="0" w:line="480" w:lineRule="auto"/>
        <w:rPr>
          <w:rFonts w:eastAsia="Times New Roman" w:cs="Times New Roman"/>
          <w:sz w:val="24"/>
          <w:szCs w:val="24"/>
        </w:rPr>
      </w:pPr>
      <w:r w:rsidRPr="00F6688F">
        <w:rPr>
          <w:rFonts w:eastAsia="Times New Roman" w:cs="Times New Roman"/>
          <w:sz w:val="24"/>
          <w:szCs w:val="24"/>
          <w:vertAlign w:val="superscript"/>
        </w:rPr>
        <w:t>b</w:t>
      </w:r>
      <w:r w:rsidRPr="00F6688F">
        <w:rPr>
          <w:rFonts w:eastAsia="Times New Roman" w:cs="Times New Roman"/>
          <w:sz w:val="24"/>
          <w:szCs w:val="24"/>
          <w:vertAlign w:val="subscript"/>
        </w:rPr>
        <w:t xml:space="preserve"> </w:t>
      </w:r>
      <w:r w:rsidRPr="00F6688F">
        <w:rPr>
          <w:rFonts w:eastAsia="Times New Roman" w:cs="Times New Roman"/>
          <w:sz w:val="24"/>
          <w:szCs w:val="24"/>
        </w:rPr>
        <w:t>The astrocytoma cohort included patients with IDH-mutant World Health Organization Central Nervous System grade 4 astrocytoma.</w:t>
      </w:r>
    </w:p>
    <w:p w14:paraId="273A23D9" w14:textId="77777777" w:rsidR="003E0838" w:rsidRPr="00F6688F" w:rsidRDefault="003E0838" w:rsidP="003E0838">
      <w:pPr>
        <w:spacing w:after="0" w:line="480" w:lineRule="auto"/>
        <w:rPr>
          <w:rFonts w:eastAsia="Times New Roman" w:cs="Times New Roman"/>
          <w:sz w:val="24"/>
          <w:szCs w:val="24"/>
        </w:rPr>
      </w:pPr>
      <w:r w:rsidRPr="00F6688F">
        <w:rPr>
          <w:rFonts w:eastAsia="Times New Roman" w:cs="Times New Roman"/>
          <w:sz w:val="24"/>
          <w:szCs w:val="24"/>
          <w:vertAlign w:val="superscript"/>
        </w:rPr>
        <w:t>c</w:t>
      </w:r>
      <w:r w:rsidRPr="00F6688F">
        <w:rPr>
          <w:rFonts w:eastAsia="Times New Roman" w:cs="Times New Roman"/>
          <w:sz w:val="24"/>
          <w:szCs w:val="24"/>
        </w:rPr>
        <w:t xml:space="preserve"> The denominators for these calculations were the number of patients with KPS information in each cohort (ie, 398 for the GBM cohort and 64 for the astrocytoma cohort).</w:t>
      </w:r>
      <w:r w:rsidRPr="00F6688F">
        <w:rPr>
          <w:rFonts w:eastAsia="Times New Roman" w:cs="Times New Roman"/>
          <w:sz w:val="24"/>
          <w:szCs w:val="24"/>
        </w:rPr>
        <w:br w:type="page"/>
      </w:r>
    </w:p>
    <w:p w14:paraId="7C7E0E40" w14:textId="77777777" w:rsidR="003E0838" w:rsidRPr="00F6688F" w:rsidRDefault="003E0838" w:rsidP="003E0838">
      <w:pPr>
        <w:spacing w:after="0" w:line="480" w:lineRule="auto"/>
        <w:rPr>
          <w:rFonts w:cs="Times New Roman"/>
          <w:sz w:val="24"/>
          <w:szCs w:val="24"/>
        </w:rPr>
      </w:pPr>
      <w:r w:rsidRPr="00F6688F">
        <w:rPr>
          <w:rFonts w:eastAsia="Times New Roman" w:cs="Times New Roman"/>
          <w:b/>
          <w:bCs/>
          <w:sz w:val="24"/>
          <w:szCs w:val="24"/>
        </w:rPr>
        <w:lastRenderedPageBreak/>
        <w:t>Table 2. Cox models for SVI and overall survival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0"/>
        <w:gridCol w:w="923"/>
        <w:gridCol w:w="1731"/>
        <w:gridCol w:w="576"/>
        <w:gridCol w:w="923"/>
        <w:gridCol w:w="756"/>
        <w:gridCol w:w="1168"/>
        <w:gridCol w:w="949"/>
      </w:tblGrid>
      <w:tr w:rsidR="003E0838" w:rsidRPr="00F6688F" w14:paraId="43A17AE3" w14:textId="77777777" w:rsidTr="003136BB">
        <w:trPr>
          <w:trHeight w:val="300"/>
        </w:trPr>
        <w:tc>
          <w:tcPr>
            <w:tcW w:w="2132" w:type="dxa"/>
            <w:tcBorders>
              <w:top w:val="single" w:sz="4" w:space="0" w:color="auto"/>
              <w:bottom w:val="single" w:sz="4" w:space="0" w:color="auto"/>
            </w:tcBorders>
            <w:vAlign w:val="bottom"/>
          </w:tcPr>
          <w:p w14:paraId="0AF5A5F7" w14:textId="77777777" w:rsidR="003E0838" w:rsidRPr="00F6688F" w:rsidRDefault="003E0838" w:rsidP="003136BB">
            <w:pPr>
              <w:rPr>
                <w:rFonts w:cs="Times New Roman"/>
                <w:sz w:val="24"/>
                <w:szCs w:val="24"/>
                <w:vertAlign w:val="superscript"/>
              </w:rPr>
            </w:pPr>
            <w:r w:rsidRPr="00F6688F">
              <w:rPr>
                <w:rFonts w:eastAsia="Times New Roman" w:cs="Times New Roman"/>
                <w:b/>
                <w:bCs/>
                <w:color w:val="000000" w:themeColor="text1"/>
                <w:sz w:val="24"/>
                <w:szCs w:val="24"/>
              </w:rPr>
              <w:t>Cohort</w:t>
            </w:r>
            <w:r w:rsidRPr="00F6688F">
              <w:rPr>
                <w:rFonts w:eastAsia="Times New Roman" w:cs="Times New Roman"/>
                <w:b/>
                <w:bCs/>
                <w:color w:val="000000" w:themeColor="text1"/>
                <w:sz w:val="24"/>
                <w:szCs w:val="24"/>
                <w:vertAlign w:val="superscript"/>
              </w:rPr>
              <w:t>a</w:t>
            </w:r>
          </w:p>
        </w:tc>
        <w:tc>
          <w:tcPr>
            <w:tcW w:w="923" w:type="dxa"/>
            <w:tcBorders>
              <w:top w:val="single" w:sz="4" w:space="0" w:color="auto"/>
              <w:bottom w:val="single" w:sz="4" w:space="0" w:color="auto"/>
            </w:tcBorders>
            <w:vAlign w:val="bottom"/>
          </w:tcPr>
          <w:p w14:paraId="0CEC99D3" w14:textId="77777777" w:rsidR="003E0838" w:rsidRPr="00F6688F" w:rsidRDefault="003E0838" w:rsidP="003136BB">
            <w:pPr>
              <w:jc w:val="center"/>
              <w:rPr>
                <w:rFonts w:cs="Times New Roman"/>
                <w:sz w:val="24"/>
                <w:szCs w:val="24"/>
              </w:rPr>
            </w:pPr>
            <w:r w:rsidRPr="00F6688F">
              <w:rPr>
                <w:rFonts w:eastAsia="Times New Roman" w:cs="Times New Roman"/>
                <w:b/>
                <w:bCs/>
                <w:color w:val="000000" w:themeColor="text1"/>
                <w:sz w:val="24"/>
                <w:szCs w:val="24"/>
              </w:rPr>
              <w:t>SVI scale</w:t>
            </w:r>
          </w:p>
        </w:tc>
        <w:tc>
          <w:tcPr>
            <w:tcW w:w="1855" w:type="dxa"/>
            <w:tcBorders>
              <w:top w:val="single" w:sz="4" w:space="0" w:color="auto"/>
              <w:bottom w:val="single" w:sz="4" w:space="0" w:color="auto"/>
            </w:tcBorders>
            <w:vAlign w:val="bottom"/>
          </w:tcPr>
          <w:p w14:paraId="6BD5E3C1" w14:textId="77777777" w:rsidR="003E0838" w:rsidRPr="00F6688F" w:rsidRDefault="003E0838" w:rsidP="003136BB">
            <w:pPr>
              <w:jc w:val="center"/>
              <w:rPr>
                <w:rFonts w:cs="Times New Roman"/>
                <w:sz w:val="24"/>
                <w:szCs w:val="24"/>
                <w:vertAlign w:val="superscript"/>
              </w:rPr>
            </w:pPr>
            <w:r w:rsidRPr="00F6688F">
              <w:rPr>
                <w:rFonts w:eastAsia="Times New Roman" w:cs="Times New Roman"/>
                <w:b/>
                <w:bCs/>
                <w:color w:val="000000" w:themeColor="text1"/>
                <w:sz w:val="24"/>
                <w:szCs w:val="24"/>
              </w:rPr>
              <w:t>SVI measure</w:t>
            </w:r>
            <w:r w:rsidRPr="00F6688F">
              <w:rPr>
                <w:rFonts w:eastAsia="Times New Roman" w:cs="Times New Roman"/>
                <w:b/>
                <w:bCs/>
                <w:color w:val="000000" w:themeColor="text1"/>
                <w:sz w:val="24"/>
                <w:szCs w:val="24"/>
                <w:vertAlign w:val="superscript"/>
              </w:rPr>
              <w:t>b</w:t>
            </w:r>
          </w:p>
        </w:tc>
        <w:tc>
          <w:tcPr>
            <w:tcW w:w="576" w:type="dxa"/>
            <w:tcBorders>
              <w:top w:val="single" w:sz="4" w:space="0" w:color="auto"/>
              <w:bottom w:val="single" w:sz="4" w:space="0" w:color="auto"/>
            </w:tcBorders>
            <w:vAlign w:val="bottom"/>
          </w:tcPr>
          <w:p w14:paraId="078F547C" w14:textId="77777777" w:rsidR="003E0838" w:rsidRPr="00F6688F" w:rsidRDefault="003E0838" w:rsidP="003136BB">
            <w:pPr>
              <w:jc w:val="center"/>
              <w:rPr>
                <w:rFonts w:cs="Times New Roman"/>
                <w:sz w:val="24"/>
                <w:szCs w:val="24"/>
              </w:rPr>
            </w:pPr>
            <w:r w:rsidRPr="00F6688F">
              <w:rPr>
                <w:rFonts w:eastAsia="Times New Roman" w:cs="Times New Roman"/>
                <w:b/>
                <w:bCs/>
                <w:color w:val="000000" w:themeColor="text1"/>
                <w:sz w:val="24"/>
                <w:szCs w:val="24"/>
              </w:rPr>
              <w:t>n</w:t>
            </w:r>
          </w:p>
        </w:tc>
        <w:tc>
          <w:tcPr>
            <w:tcW w:w="923" w:type="dxa"/>
            <w:tcBorders>
              <w:top w:val="single" w:sz="4" w:space="0" w:color="auto"/>
              <w:bottom w:val="single" w:sz="4" w:space="0" w:color="auto"/>
            </w:tcBorders>
            <w:vAlign w:val="bottom"/>
          </w:tcPr>
          <w:p w14:paraId="20A8C5C8" w14:textId="77777777" w:rsidR="003E0838" w:rsidRPr="00F6688F" w:rsidRDefault="003E0838" w:rsidP="003136BB">
            <w:pPr>
              <w:jc w:val="center"/>
              <w:rPr>
                <w:rFonts w:cs="Times New Roman"/>
                <w:sz w:val="24"/>
                <w:szCs w:val="24"/>
              </w:rPr>
            </w:pPr>
            <w:r w:rsidRPr="00F6688F">
              <w:rPr>
                <w:rFonts w:eastAsia="Times New Roman" w:cs="Times New Roman"/>
                <w:b/>
                <w:bCs/>
                <w:color w:val="000000" w:themeColor="text1"/>
                <w:sz w:val="24"/>
                <w:szCs w:val="24"/>
              </w:rPr>
              <w:t>Deaths</w:t>
            </w:r>
          </w:p>
        </w:tc>
        <w:tc>
          <w:tcPr>
            <w:tcW w:w="783" w:type="dxa"/>
            <w:tcBorders>
              <w:top w:val="single" w:sz="4" w:space="0" w:color="auto"/>
              <w:bottom w:val="single" w:sz="4" w:space="0" w:color="auto"/>
            </w:tcBorders>
            <w:vAlign w:val="bottom"/>
          </w:tcPr>
          <w:p w14:paraId="05B84DFF" w14:textId="77777777" w:rsidR="003E0838" w:rsidRPr="00F6688F" w:rsidRDefault="003E0838" w:rsidP="003136BB">
            <w:pPr>
              <w:jc w:val="center"/>
              <w:rPr>
                <w:rFonts w:cs="Times New Roman"/>
                <w:sz w:val="24"/>
                <w:szCs w:val="24"/>
              </w:rPr>
            </w:pPr>
            <w:r w:rsidRPr="00F6688F">
              <w:rPr>
                <w:rFonts w:eastAsia="Times New Roman" w:cs="Times New Roman"/>
                <w:b/>
                <w:bCs/>
                <w:color w:val="000000" w:themeColor="text1"/>
                <w:sz w:val="24"/>
                <w:szCs w:val="24"/>
              </w:rPr>
              <w:t>HR</w:t>
            </w:r>
          </w:p>
        </w:tc>
        <w:tc>
          <w:tcPr>
            <w:tcW w:w="1260" w:type="dxa"/>
            <w:tcBorders>
              <w:top w:val="single" w:sz="4" w:space="0" w:color="auto"/>
              <w:bottom w:val="single" w:sz="4" w:space="0" w:color="auto"/>
            </w:tcBorders>
            <w:vAlign w:val="bottom"/>
          </w:tcPr>
          <w:p w14:paraId="0A94D5EE" w14:textId="77777777" w:rsidR="003E0838" w:rsidRPr="00F6688F" w:rsidRDefault="003E0838" w:rsidP="003136BB">
            <w:pPr>
              <w:jc w:val="center"/>
              <w:rPr>
                <w:rFonts w:cs="Times New Roman"/>
                <w:sz w:val="24"/>
                <w:szCs w:val="24"/>
              </w:rPr>
            </w:pPr>
            <w:r w:rsidRPr="00F6688F">
              <w:rPr>
                <w:rFonts w:eastAsia="Times New Roman" w:cs="Times New Roman"/>
                <w:b/>
                <w:bCs/>
                <w:color w:val="000000" w:themeColor="text1"/>
                <w:sz w:val="24"/>
                <w:szCs w:val="24"/>
              </w:rPr>
              <w:t>95% CI</w:t>
            </w:r>
          </w:p>
        </w:tc>
        <w:tc>
          <w:tcPr>
            <w:tcW w:w="990" w:type="dxa"/>
            <w:tcBorders>
              <w:top w:val="single" w:sz="4" w:space="0" w:color="auto"/>
              <w:bottom w:val="single" w:sz="4" w:space="0" w:color="auto"/>
            </w:tcBorders>
            <w:vAlign w:val="bottom"/>
          </w:tcPr>
          <w:p w14:paraId="0ADFB7F9" w14:textId="77777777" w:rsidR="003E0838" w:rsidRPr="00F6688F" w:rsidRDefault="003E0838" w:rsidP="003136BB">
            <w:pPr>
              <w:jc w:val="center"/>
              <w:rPr>
                <w:rFonts w:cs="Times New Roman"/>
                <w:sz w:val="24"/>
                <w:szCs w:val="24"/>
              </w:rPr>
            </w:pPr>
            <w:r w:rsidRPr="00F6688F">
              <w:rPr>
                <w:rFonts w:eastAsia="Times New Roman" w:cs="Times New Roman"/>
                <w:b/>
                <w:bCs/>
                <w:color w:val="000000" w:themeColor="text1"/>
                <w:sz w:val="24"/>
                <w:szCs w:val="24"/>
              </w:rPr>
              <w:t>P value</w:t>
            </w:r>
          </w:p>
        </w:tc>
      </w:tr>
      <w:tr w:rsidR="003E0838" w:rsidRPr="00F6688F" w14:paraId="6C22CCF1" w14:textId="77777777" w:rsidTr="003136BB">
        <w:trPr>
          <w:trHeight w:val="300"/>
        </w:trPr>
        <w:tc>
          <w:tcPr>
            <w:tcW w:w="2132" w:type="dxa"/>
            <w:tcBorders>
              <w:top w:val="single" w:sz="4" w:space="0" w:color="auto"/>
            </w:tcBorders>
          </w:tcPr>
          <w:p w14:paraId="24F42F7B" w14:textId="77777777" w:rsidR="003E0838" w:rsidRPr="00F6688F" w:rsidRDefault="003E0838" w:rsidP="003136BB">
            <w:pPr>
              <w:rPr>
                <w:rFonts w:cs="Times New Roman"/>
                <w:sz w:val="24"/>
                <w:szCs w:val="24"/>
              </w:rPr>
            </w:pPr>
            <w:r w:rsidRPr="00F6688F">
              <w:rPr>
                <w:rFonts w:eastAsia="Times New Roman" w:cs="Times New Roman"/>
                <w:sz w:val="24"/>
                <w:szCs w:val="24"/>
              </w:rPr>
              <w:t>GBM</w:t>
            </w:r>
          </w:p>
        </w:tc>
        <w:tc>
          <w:tcPr>
            <w:tcW w:w="923" w:type="dxa"/>
            <w:tcBorders>
              <w:top w:val="single" w:sz="4" w:space="0" w:color="auto"/>
            </w:tcBorders>
          </w:tcPr>
          <w:p w14:paraId="46CE536E"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County</w:t>
            </w:r>
          </w:p>
        </w:tc>
        <w:tc>
          <w:tcPr>
            <w:tcW w:w="1855" w:type="dxa"/>
            <w:tcBorders>
              <w:top w:val="single" w:sz="4" w:space="0" w:color="auto"/>
            </w:tcBorders>
          </w:tcPr>
          <w:p w14:paraId="74638351"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Per 0.1 increase</w:t>
            </w:r>
          </w:p>
        </w:tc>
        <w:tc>
          <w:tcPr>
            <w:tcW w:w="576" w:type="dxa"/>
            <w:tcBorders>
              <w:top w:val="single" w:sz="4" w:space="0" w:color="auto"/>
            </w:tcBorders>
          </w:tcPr>
          <w:p w14:paraId="28B1AAE5"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397</w:t>
            </w:r>
          </w:p>
        </w:tc>
        <w:tc>
          <w:tcPr>
            <w:tcW w:w="923" w:type="dxa"/>
            <w:tcBorders>
              <w:top w:val="single" w:sz="4" w:space="0" w:color="auto"/>
            </w:tcBorders>
          </w:tcPr>
          <w:p w14:paraId="42F5DF65"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252</w:t>
            </w:r>
          </w:p>
        </w:tc>
        <w:tc>
          <w:tcPr>
            <w:tcW w:w="783" w:type="dxa"/>
            <w:tcBorders>
              <w:top w:val="single" w:sz="4" w:space="0" w:color="auto"/>
            </w:tcBorders>
          </w:tcPr>
          <w:p w14:paraId="6D87F51D"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1.01</w:t>
            </w:r>
          </w:p>
        </w:tc>
        <w:tc>
          <w:tcPr>
            <w:tcW w:w="1260" w:type="dxa"/>
            <w:tcBorders>
              <w:top w:val="single" w:sz="4" w:space="0" w:color="auto"/>
            </w:tcBorders>
          </w:tcPr>
          <w:p w14:paraId="13D3480F"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0.97–1.06</w:t>
            </w:r>
          </w:p>
        </w:tc>
        <w:tc>
          <w:tcPr>
            <w:tcW w:w="990" w:type="dxa"/>
            <w:tcBorders>
              <w:top w:val="single" w:sz="4" w:space="0" w:color="auto"/>
            </w:tcBorders>
          </w:tcPr>
          <w:p w14:paraId="2B8017EE"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0.551</w:t>
            </w:r>
          </w:p>
        </w:tc>
      </w:tr>
      <w:tr w:rsidR="003E0838" w:rsidRPr="00F6688F" w14:paraId="607F11B8" w14:textId="77777777" w:rsidTr="003136BB">
        <w:trPr>
          <w:trHeight w:val="300"/>
        </w:trPr>
        <w:tc>
          <w:tcPr>
            <w:tcW w:w="2132" w:type="dxa"/>
          </w:tcPr>
          <w:p w14:paraId="0E1D1E55" w14:textId="77777777" w:rsidR="003E0838" w:rsidRPr="00F6688F" w:rsidRDefault="003E0838" w:rsidP="003136BB">
            <w:pPr>
              <w:rPr>
                <w:rFonts w:cs="Times New Roman"/>
                <w:sz w:val="24"/>
                <w:szCs w:val="24"/>
              </w:rPr>
            </w:pPr>
            <w:r w:rsidRPr="00F6688F">
              <w:rPr>
                <w:rFonts w:eastAsia="Times New Roman" w:cs="Times New Roman"/>
                <w:sz w:val="24"/>
                <w:szCs w:val="24"/>
              </w:rPr>
              <w:t>GBM</w:t>
            </w:r>
          </w:p>
        </w:tc>
        <w:tc>
          <w:tcPr>
            <w:tcW w:w="923" w:type="dxa"/>
          </w:tcPr>
          <w:p w14:paraId="0E216232"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County</w:t>
            </w:r>
          </w:p>
        </w:tc>
        <w:tc>
          <w:tcPr>
            <w:tcW w:w="1855" w:type="dxa"/>
          </w:tcPr>
          <w:p w14:paraId="31C0DE4C"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Quartile 2 vs quartile 1</w:t>
            </w:r>
          </w:p>
        </w:tc>
        <w:tc>
          <w:tcPr>
            <w:tcW w:w="576" w:type="dxa"/>
          </w:tcPr>
          <w:p w14:paraId="4F1CE40C"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397</w:t>
            </w:r>
          </w:p>
        </w:tc>
        <w:tc>
          <w:tcPr>
            <w:tcW w:w="923" w:type="dxa"/>
          </w:tcPr>
          <w:p w14:paraId="2265836B"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252</w:t>
            </w:r>
          </w:p>
        </w:tc>
        <w:tc>
          <w:tcPr>
            <w:tcW w:w="783" w:type="dxa"/>
          </w:tcPr>
          <w:p w14:paraId="2B6F584B"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1.06</w:t>
            </w:r>
          </w:p>
        </w:tc>
        <w:tc>
          <w:tcPr>
            <w:tcW w:w="1260" w:type="dxa"/>
          </w:tcPr>
          <w:p w14:paraId="699B0677"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0.67–1.65</w:t>
            </w:r>
          </w:p>
        </w:tc>
        <w:tc>
          <w:tcPr>
            <w:tcW w:w="990" w:type="dxa"/>
          </w:tcPr>
          <w:p w14:paraId="7B53FF89"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0.813</w:t>
            </w:r>
          </w:p>
        </w:tc>
      </w:tr>
      <w:tr w:rsidR="003E0838" w:rsidRPr="00F6688F" w14:paraId="4E8EC7A4" w14:textId="77777777" w:rsidTr="003136BB">
        <w:trPr>
          <w:trHeight w:val="300"/>
        </w:trPr>
        <w:tc>
          <w:tcPr>
            <w:tcW w:w="2132" w:type="dxa"/>
          </w:tcPr>
          <w:p w14:paraId="05D7AFDE" w14:textId="77777777" w:rsidR="003E0838" w:rsidRPr="00F6688F" w:rsidRDefault="003E0838" w:rsidP="003136BB">
            <w:pPr>
              <w:rPr>
                <w:rFonts w:cs="Times New Roman"/>
                <w:sz w:val="24"/>
                <w:szCs w:val="24"/>
              </w:rPr>
            </w:pPr>
            <w:r w:rsidRPr="00F6688F">
              <w:rPr>
                <w:rFonts w:eastAsia="Times New Roman" w:cs="Times New Roman"/>
                <w:sz w:val="24"/>
                <w:szCs w:val="24"/>
              </w:rPr>
              <w:t>GBM</w:t>
            </w:r>
          </w:p>
        </w:tc>
        <w:tc>
          <w:tcPr>
            <w:tcW w:w="923" w:type="dxa"/>
          </w:tcPr>
          <w:p w14:paraId="3E8279F7"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County</w:t>
            </w:r>
          </w:p>
        </w:tc>
        <w:tc>
          <w:tcPr>
            <w:tcW w:w="1855" w:type="dxa"/>
          </w:tcPr>
          <w:p w14:paraId="2E8DD9EA"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Quartile 3 vs quartile 1</w:t>
            </w:r>
          </w:p>
        </w:tc>
        <w:tc>
          <w:tcPr>
            <w:tcW w:w="576" w:type="dxa"/>
          </w:tcPr>
          <w:p w14:paraId="12EDB00A"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397</w:t>
            </w:r>
          </w:p>
        </w:tc>
        <w:tc>
          <w:tcPr>
            <w:tcW w:w="923" w:type="dxa"/>
          </w:tcPr>
          <w:p w14:paraId="438734CB"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252</w:t>
            </w:r>
          </w:p>
        </w:tc>
        <w:tc>
          <w:tcPr>
            <w:tcW w:w="783" w:type="dxa"/>
          </w:tcPr>
          <w:p w14:paraId="35011C53"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0.94</w:t>
            </w:r>
          </w:p>
        </w:tc>
        <w:tc>
          <w:tcPr>
            <w:tcW w:w="1260" w:type="dxa"/>
          </w:tcPr>
          <w:p w14:paraId="06A8680F"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0.62–1.42</w:t>
            </w:r>
          </w:p>
        </w:tc>
        <w:tc>
          <w:tcPr>
            <w:tcW w:w="990" w:type="dxa"/>
          </w:tcPr>
          <w:p w14:paraId="05ACBB01"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0.761</w:t>
            </w:r>
          </w:p>
        </w:tc>
      </w:tr>
      <w:tr w:rsidR="003E0838" w:rsidRPr="00F6688F" w14:paraId="3B6EE675" w14:textId="77777777" w:rsidTr="003136BB">
        <w:trPr>
          <w:trHeight w:val="300"/>
        </w:trPr>
        <w:tc>
          <w:tcPr>
            <w:tcW w:w="2132" w:type="dxa"/>
          </w:tcPr>
          <w:p w14:paraId="568DB3D8" w14:textId="77777777" w:rsidR="003E0838" w:rsidRPr="00F6688F" w:rsidRDefault="003E0838" w:rsidP="003136BB">
            <w:pPr>
              <w:rPr>
                <w:rFonts w:cs="Times New Roman"/>
                <w:sz w:val="24"/>
                <w:szCs w:val="24"/>
              </w:rPr>
            </w:pPr>
            <w:r w:rsidRPr="00F6688F">
              <w:rPr>
                <w:rFonts w:eastAsia="Times New Roman" w:cs="Times New Roman"/>
                <w:sz w:val="24"/>
                <w:szCs w:val="24"/>
              </w:rPr>
              <w:t>GBM</w:t>
            </w:r>
          </w:p>
        </w:tc>
        <w:tc>
          <w:tcPr>
            <w:tcW w:w="923" w:type="dxa"/>
          </w:tcPr>
          <w:p w14:paraId="15395A6F"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County</w:t>
            </w:r>
          </w:p>
        </w:tc>
        <w:tc>
          <w:tcPr>
            <w:tcW w:w="1855" w:type="dxa"/>
          </w:tcPr>
          <w:p w14:paraId="544F1C8E"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Quartile 4 vs quartile 1</w:t>
            </w:r>
          </w:p>
        </w:tc>
        <w:tc>
          <w:tcPr>
            <w:tcW w:w="576" w:type="dxa"/>
          </w:tcPr>
          <w:p w14:paraId="7A075151"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397</w:t>
            </w:r>
          </w:p>
        </w:tc>
        <w:tc>
          <w:tcPr>
            <w:tcW w:w="923" w:type="dxa"/>
          </w:tcPr>
          <w:p w14:paraId="05C7998C"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252</w:t>
            </w:r>
          </w:p>
        </w:tc>
        <w:tc>
          <w:tcPr>
            <w:tcW w:w="783" w:type="dxa"/>
          </w:tcPr>
          <w:p w14:paraId="555A52EB"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1.14</w:t>
            </w:r>
          </w:p>
        </w:tc>
        <w:tc>
          <w:tcPr>
            <w:tcW w:w="1260" w:type="dxa"/>
          </w:tcPr>
          <w:p w14:paraId="052BF105"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0.82–1.58</w:t>
            </w:r>
          </w:p>
        </w:tc>
        <w:tc>
          <w:tcPr>
            <w:tcW w:w="990" w:type="dxa"/>
          </w:tcPr>
          <w:p w14:paraId="01C9F2A9"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0.423</w:t>
            </w:r>
          </w:p>
        </w:tc>
      </w:tr>
      <w:tr w:rsidR="003E0838" w:rsidRPr="00F6688F" w14:paraId="4597B2E0" w14:textId="77777777" w:rsidTr="003136BB">
        <w:trPr>
          <w:trHeight w:val="300"/>
        </w:trPr>
        <w:tc>
          <w:tcPr>
            <w:tcW w:w="2132" w:type="dxa"/>
          </w:tcPr>
          <w:p w14:paraId="288BDEAA" w14:textId="77777777" w:rsidR="003E0838" w:rsidRPr="00F6688F" w:rsidRDefault="003E0838" w:rsidP="003136BB">
            <w:pPr>
              <w:rPr>
                <w:rFonts w:cs="Times New Roman"/>
                <w:sz w:val="24"/>
                <w:szCs w:val="24"/>
              </w:rPr>
            </w:pPr>
            <w:r w:rsidRPr="00F6688F">
              <w:rPr>
                <w:rFonts w:eastAsia="Times New Roman" w:cs="Times New Roman"/>
                <w:sz w:val="24"/>
                <w:szCs w:val="24"/>
              </w:rPr>
              <w:t>GBM</w:t>
            </w:r>
          </w:p>
        </w:tc>
        <w:tc>
          <w:tcPr>
            <w:tcW w:w="923" w:type="dxa"/>
          </w:tcPr>
          <w:p w14:paraId="18E9E72B"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Census tract</w:t>
            </w:r>
          </w:p>
        </w:tc>
        <w:tc>
          <w:tcPr>
            <w:tcW w:w="1855" w:type="dxa"/>
          </w:tcPr>
          <w:p w14:paraId="60561411"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Per 0.1 increase</w:t>
            </w:r>
          </w:p>
        </w:tc>
        <w:tc>
          <w:tcPr>
            <w:tcW w:w="576" w:type="dxa"/>
          </w:tcPr>
          <w:p w14:paraId="614CB9E6"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261</w:t>
            </w:r>
          </w:p>
        </w:tc>
        <w:tc>
          <w:tcPr>
            <w:tcW w:w="923" w:type="dxa"/>
          </w:tcPr>
          <w:p w14:paraId="578491B5"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157</w:t>
            </w:r>
          </w:p>
        </w:tc>
        <w:tc>
          <w:tcPr>
            <w:tcW w:w="783" w:type="dxa"/>
          </w:tcPr>
          <w:p w14:paraId="13D6AED7"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1.06</w:t>
            </w:r>
          </w:p>
        </w:tc>
        <w:tc>
          <w:tcPr>
            <w:tcW w:w="1260" w:type="dxa"/>
          </w:tcPr>
          <w:p w14:paraId="2DFE18AB"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0.99–1.14</w:t>
            </w:r>
          </w:p>
        </w:tc>
        <w:tc>
          <w:tcPr>
            <w:tcW w:w="990" w:type="dxa"/>
          </w:tcPr>
          <w:p w14:paraId="08051232"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0.122</w:t>
            </w:r>
          </w:p>
        </w:tc>
      </w:tr>
      <w:tr w:rsidR="003E0838" w:rsidRPr="00F6688F" w14:paraId="2C35E022" w14:textId="77777777" w:rsidTr="003136BB">
        <w:trPr>
          <w:trHeight w:val="300"/>
        </w:trPr>
        <w:tc>
          <w:tcPr>
            <w:tcW w:w="2132" w:type="dxa"/>
          </w:tcPr>
          <w:p w14:paraId="67B60361" w14:textId="77777777" w:rsidR="003E0838" w:rsidRPr="00F6688F" w:rsidRDefault="003E0838" w:rsidP="003136BB">
            <w:pPr>
              <w:rPr>
                <w:rFonts w:cs="Times New Roman"/>
                <w:sz w:val="24"/>
                <w:szCs w:val="24"/>
              </w:rPr>
            </w:pPr>
            <w:r w:rsidRPr="00F6688F">
              <w:rPr>
                <w:rFonts w:eastAsia="Times New Roman" w:cs="Times New Roman"/>
                <w:sz w:val="24"/>
                <w:szCs w:val="24"/>
              </w:rPr>
              <w:t>GBM</w:t>
            </w:r>
          </w:p>
        </w:tc>
        <w:tc>
          <w:tcPr>
            <w:tcW w:w="923" w:type="dxa"/>
          </w:tcPr>
          <w:p w14:paraId="4CAC8F6E"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Census tract</w:t>
            </w:r>
          </w:p>
        </w:tc>
        <w:tc>
          <w:tcPr>
            <w:tcW w:w="1855" w:type="dxa"/>
          </w:tcPr>
          <w:p w14:paraId="13075E15"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Quartile 2 vs quartile 1</w:t>
            </w:r>
          </w:p>
        </w:tc>
        <w:tc>
          <w:tcPr>
            <w:tcW w:w="576" w:type="dxa"/>
          </w:tcPr>
          <w:p w14:paraId="1CB10D6B"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261</w:t>
            </w:r>
          </w:p>
        </w:tc>
        <w:tc>
          <w:tcPr>
            <w:tcW w:w="923" w:type="dxa"/>
          </w:tcPr>
          <w:p w14:paraId="4F5C87C7"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157</w:t>
            </w:r>
          </w:p>
        </w:tc>
        <w:tc>
          <w:tcPr>
            <w:tcW w:w="783" w:type="dxa"/>
          </w:tcPr>
          <w:p w14:paraId="2BD1C931"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1.12</w:t>
            </w:r>
          </w:p>
        </w:tc>
        <w:tc>
          <w:tcPr>
            <w:tcW w:w="1260" w:type="dxa"/>
          </w:tcPr>
          <w:p w14:paraId="2A2025DC"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0.70–1.77</w:t>
            </w:r>
          </w:p>
        </w:tc>
        <w:tc>
          <w:tcPr>
            <w:tcW w:w="990" w:type="dxa"/>
          </w:tcPr>
          <w:p w14:paraId="2E592038"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0.642</w:t>
            </w:r>
          </w:p>
        </w:tc>
      </w:tr>
      <w:tr w:rsidR="003E0838" w:rsidRPr="00F6688F" w14:paraId="1190555C" w14:textId="77777777" w:rsidTr="003136BB">
        <w:trPr>
          <w:trHeight w:val="300"/>
        </w:trPr>
        <w:tc>
          <w:tcPr>
            <w:tcW w:w="2132" w:type="dxa"/>
          </w:tcPr>
          <w:p w14:paraId="29E43F63" w14:textId="77777777" w:rsidR="003E0838" w:rsidRPr="00F6688F" w:rsidRDefault="003E0838" w:rsidP="003136BB">
            <w:pPr>
              <w:rPr>
                <w:rFonts w:cs="Times New Roman"/>
                <w:sz w:val="24"/>
                <w:szCs w:val="24"/>
              </w:rPr>
            </w:pPr>
            <w:r w:rsidRPr="00F6688F">
              <w:rPr>
                <w:rFonts w:eastAsia="Times New Roman" w:cs="Times New Roman"/>
                <w:sz w:val="24"/>
                <w:szCs w:val="24"/>
              </w:rPr>
              <w:t>GBM</w:t>
            </w:r>
          </w:p>
        </w:tc>
        <w:tc>
          <w:tcPr>
            <w:tcW w:w="923" w:type="dxa"/>
          </w:tcPr>
          <w:p w14:paraId="346073EF"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Census tract</w:t>
            </w:r>
          </w:p>
        </w:tc>
        <w:tc>
          <w:tcPr>
            <w:tcW w:w="1855" w:type="dxa"/>
          </w:tcPr>
          <w:p w14:paraId="734C6FCA"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Quartile 3 vs quartile 1</w:t>
            </w:r>
          </w:p>
        </w:tc>
        <w:tc>
          <w:tcPr>
            <w:tcW w:w="576" w:type="dxa"/>
          </w:tcPr>
          <w:p w14:paraId="56697BA9"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261</w:t>
            </w:r>
          </w:p>
        </w:tc>
        <w:tc>
          <w:tcPr>
            <w:tcW w:w="923" w:type="dxa"/>
          </w:tcPr>
          <w:p w14:paraId="27B9F629"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157</w:t>
            </w:r>
          </w:p>
        </w:tc>
        <w:tc>
          <w:tcPr>
            <w:tcW w:w="783" w:type="dxa"/>
          </w:tcPr>
          <w:p w14:paraId="24254EB9"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1.16</w:t>
            </w:r>
          </w:p>
        </w:tc>
        <w:tc>
          <w:tcPr>
            <w:tcW w:w="1260" w:type="dxa"/>
          </w:tcPr>
          <w:p w14:paraId="4649E227"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0.73–1.84</w:t>
            </w:r>
          </w:p>
        </w:tc>
        <w:tc>
          <w:tcPr>
            <w:tcW w:w="990" w:type="dxa"/>
          </w:tcPr>
          <w:p w14:paraId="1B75CEEF"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0.531</w:t>
            </w:r>
          </w:p>
        </w:tc>
      </w:tr>
      <w:tr w:rsidR="003E0838" w:rsidRPr="00F6688F" w14:paraId="789C6CF8" w14:textId="77777777" w:rsidTr="003136BB">
        <w:trPr>
          <w:trHeight w:val="300"/>
        </w:trPr>
        <w:tc>
          <w:tcPr>
            <w:tcW w:w="2132" w:type="dxa"/>
          </w:tcPr>
          <w:p w14:paraId="6927562E" w14:textId="77777777" w:rsidR="003E0838" w:rsidRPr="00F6688F" w:rsidRDefault="003E0838" w:rsidP="003136BB">
            <w:pPr>
              <w:rPr>
                <w:rFonts w:cs="Times New Roman"/>
                <w:sz w:val="24"/>
                <w:szCs w:val="24"/>
              </w:rPr>
            </w:pPr>
            <w:r w:rsidRPr="00F6688F">
              <w:rPr>
                <w:rFonts w:eastAsia="Times New Roman" w:cs="Times New Roman"/>
                <w:sz w:val="24"/>
                <w:szCs w:val="24"/>
              </w:rPr>
              <w:t>GBM</w:t>
            </w:r>
          </w:p>
        </w:tc>
        <w:tc>
          <w:tcPr>
            <w:tcW w:w="923" w:type="dxa"/>
          </w:tcPr>
          <w:p w14:paraId="2521FF8D"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Census tract</w:t>
            </w:r>
          </w:p>
        </w:tc>
        <w:tc>
          <w:tcPr>
            <w:tcW w:w="1855" w:type="dxa"/>
          </w:tcPr>
          <w:p w14:paraId="245579B9"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Quartile 4 vs quartile 1</w:t>
            </w:r>
          </w:p>
        </w:tc>
        <w:tc>
          <w:tcPr>
            <w:tcW w:w="576" w:type="dxa"/>
          </w:tcPr>
          <w:p w14:paraId="7E2B7C34"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261</w:t>
            </w:r>
          </w:p>
        </w:tc>
        <w:tc>
          <w:tcPr>
            <w:tcW w:w="923" w:type="dxa"/>
          </w:tcPr>
          <w:p w14:paraId="6548DA76"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157</w:t>
            </w:r>
          </w:p>
        </w:tc>
        <w:tc>
          <w:tcPr>
            <w:tcW w:w="783" w:type="dxa"/>
          </w:tcPr>
          <w:p w14:paraId="36F1DF92"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1.47</w:t>
            </w:r>
          </w:p>
        </w:tc>
        <w:tc>
          <w:tcPr>
            <w:tcW w:w="1260" w:type="dxa"/>
          </w:tcPr>
          <w:p w14:paraId="781AC3CB"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0.91–2.36</w:t>
            </w:r>
          </w:p>
        </w:tc>
        <w:tc>
          <w:tcPr>
            <w:tcW w:w="990" w:type="dxa"/>
          </w:tcPr>
          <w:p w14:paraId="35D64832"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0.113</w:t>
            </w:r>
          </w:p>
        </w:tc>
      </w:tr>
      <w:tr w:rsidR="003E0838" w:rsidRPr="00F6688F" w14:paraId="243F8C69" w14:textId="77777777" w:rsidTr="003136BB">
        <w:trPr>
          <w:trHeight w:val="300"/>
        </w:trPr>
        <w:tc>
          <w:tcPr>
            <w:tcW w:w="2132" w:type="dxa"/>
          </w:tcPr>
          <w:p w14:paraId="240D58E3" w14:textId="77777777" w:rsidR="003E0838" w:rsidRDefault="003E0838" w:rsidP="003136BB">
            <w:r>
              <w:t>Astrocytoma, IDH-mutant, CNS WHO grade 4</w:t>
            </w:r>
          </w:p>
        </w:tc>
        <w:tc>
          <w:tcPr>
            <w:tcW w:w="923" w:type="dxa"/>
          </w:tcPr>
          <w:p w14:paraId="2F17BA6F" w14:textId="77777777" w:rsidR="003E0838" w:rsidRDefault="003E0838" w:rsidP="003136BB">
            <w:r>
              <w:t>County</w:t>
            </w:r>
          </w:p>
        </w:tc>
        <w:tc>
          <w:tcPr>
            <w:tcW w:w="1855" w:type="dxa"/>
          </w:tcPr>
          <w:p w14:paraId="3C57F01E" w14:textId="77777777" w:rsidR="003E0838" w:rsidRDefault="003E0838" w:rsidP="003136BB">
            <w:r>
              <w:t>Per 0.1 increase</w:t>
            </w:r>
          </w:p>
        </w:tc>
        <w:tc>
          <w:tcPr>
            <w:tcW w:w="576" w:type="dxa"/>
          </w:tcPr>
          <w:p w14:paraId="14A386CB" w14:textId="77777777" w:rsidR="003E0838" w:rsidRDefault="003E0838" w:rsidP="003136BB">
            <w:r>
              <w:t>64</w:t>
            </w:r>
          </w:p>
        </w:tc>
        <w:tc>
          <w:tcPr>
            <w:tcW w:w="923" w:type="dxa"/>
          </w:tcPr>
          <w:p w14:paraId="6076CFB1" w14:textId="77777777" w:rsidR="003E0838" w:rsidRDefault="003E0838" w:rsidP="003136BB">
            <w:r>
              <w:t>24</w:t>
            </w:r>
          </w:p>
        </w:tc>
        <w:tc>
          <w:tcPr>
            <w:tcW w:w="783" w:type="dxa"/>
          </w:tcPr>
          <w:p w14:paraId="490AB11C" w14:textId="77777777" w:rsidR="003E0838" w:rsidRDefault="003E0838" w:rsidP="003136BB">
            <w:r>
              <w:t>1.07</w:t>
            </w:r>
          </w:p>
        </w:tc>
        <w:tc>
          <w:tcPr>
            <w:tcW w:w="1260" w:type="dxa"/>
          </w:tcPr>
          <w:p w14:paraId="3A396A05" w14:textId="77777777" w:rsidR="003E0838" w:rsidRDefault="003E0838" w:rsidP="003136BB">
            <w:r>
              <w:t>0.92–1.24</w:t>
            </w:r>
          </w:p>
        </w:tc>
        <w:tc>
          <w:tcPr>
            <w:tcW w:w="990" w:type="dxa"/>
          </w:tcPr>
          <w:p w14:paraId="47A51C68" w14:textId="77777777" w:rsidR="003E0838" w:rsidRDefault="003E0838" w:rsidP="003136BB">
            <w:r>
              <w:t>0.396</w:t>
            </w:r>
          </w:p>
        </w:tc>
      </w:tr>
      <w:tr w:rsidR="003E0838" w:rsidRPr="00F6688F" w14:paraId="045D94CF" w14:textId="77777777" w:rsidTr="003136BB">
        <w:trPr>
          <w:trHeight w:val="300"/>
        </w:trPr>
        <w:tc>
          <w:tcPr>
            <w:tcW w:w="2132" w:type="dxa"/>
          </w:tcPr>
          <w:p w14:paraId="34FA6EB0" w14:textId="77777777" w:rsidR="003E0838" w:rsidRDefault="003E0838" w:rsidP="003136BB">
            <w:r>
              <w:t>Astrocytoma, IDH-mutant, CNS WHO grade 4</w:t>
            </w:r>
          </w:p>
        </w:tc>
        <w:tc>
          <w:tcPr>
            <w:tcW w:w="923" w:type="dxa"/>
          </w:tcPr>
          <w:p w14:paraId="067527EA" w14:textId="77777777" w:rsidR="003E0838" w:rsidRDefault="003E0838" w:rsidP="003136BB">
            <w:r>
              <w:t>Census tract</w:t>
            </w:r>
          </w:p>
        </w:tc>
        <w:tc>
          <w:tcPr>
            <w:tcW w:w="1855" w:type="dxa"/>
          </w:tcPr>
          <w:p w14:paraId="5788E48B" w14:textId="77777777" w:rsidR="003E0838" w:rsidRDefault="003E0838" w:rsidP="003136BB">
            <w:r>
              <w:t>Per 0.1 increase</w:t>
            </w:r>
          </w:p>
        </w:tc>
        <w:tc>
          <w:tcPr>
            <w:tcW w:w="576" w:type="dxa"/>
          </w:tcPr>
          <w:p w14:paraId="39B48C9A" w14:textId="77777777" w:rsidR="003E0838" w:rsidRDefault="003E0838" w:rsidP="003136BB">
            <w:r>
              <w:t>41</w:t>
            </w:r>
          </w:p>
        </w:tc>
        <w:tc>
          <w:tcPr>
            <w:tcW w:w="923" w:type="dxa"/>
          </w:tcPr>
          <w:p w14:paraId="5E82BD32" w14:textId="77777777" w:rsidR="003E0838" w:rsidRDefault="003E0838" w:rsidP="003136BB">
            <w:r>
              <w:t>12</w:t>
            </w:r>
          </w:p>
        </w:tc>
        <w:tc>
          <w:tcPr>
            <w:tcW w:w="783" w:type="dxa"/>
          </w:tcPr>
          <w:p w14:paraId="58A10B6B" w14:textId="77777777" w:rsidR="003E0838" w:rsidRDefault="003E0838" w:rsidP="003136BB">
            <w:r>
              <w:t>1.10</w:t>
            </w:r>
          </w:p>
        </w:tc>
        <w:tc>
          <w:tcPr>
            <w:tcW w:w="1260" w:type="dxa"/>
          </w:tcPr>
          <w:p w14:paraId="353FE30F" w14:textId="77777777" w:rsidR="003E0838" w:rsidRDefault="003E0838" w:rsidP="003136BB">
            <w:r>
              <w:t>0.84–1.44</w:t>
            </w:r>
          </w:p>
        </w:tc>
        <w:tc>
          <w:tcPr>
            <w:tcW w:w="990" w:type="dxa"/>
          </w:tcPr>
          <w:p w14:paraId="6EF69275" w14:textId="77777777" w:rsidR="003E0838" w:rsidRDefault="003E0838" w:rsidP="003136BB">
            <w:r>
              <w:t>0.503</w:t>
            </w:r>
          </w:p>
        </w:tc>
      </w:tr>
    </w:tbl>
    <w:p w14:paraId="152277E2" w14:textId="77777777" w:rsidR="003E0838" w:rsidRPr="00F6688F" w:rsidRDefault="003E0838" w:rsidP="003E0838">
      <w:pPr>
        <w:spacing w:after="0" w:line="480" w:lineRule="auto"/>
        <w:rPr>
          <w:rFonts w:eastAsia="Times New Roman" w:cs="Times New Roman"/>
          <w:sz w:val="24"/>
          <w:szCs w:val="24"/>
        </w:rPr>
      </w:pPr>
      <w:r w:rsidRPr="00F6688F">
        <w:rPr>
          <w:rFonts w:eastAsia="Times New Roman" w:cs="Times New Roman"/>
          <w:sz w:val="24"/>
          <w:szCs w:val="24"/>
        </w:rPr>
        <w:t xml:space="preserve">Abbreviations: CI, confidence interval; GBM, IDH-wildtype glioblastoma; HR, hazard ratio; SVI, Social Vulnerability Index. </w:t>
      </w:r>
    </w:p>
    <w:p w14:paraId="665DD2CB" w14:textId="77777777" w:rsidR="003E0838" w:rsidRPr="00F6688F" w:rsidRDefault="003E0838" w:rsidP="003E0838">
      <w:pPr>
        <w:spacing w:after="0" w:line="480" w:lineRule="auto"/>
        <w:rPr>
          <w:rFonts w:eastAsia="Times New Roman" w:cs="Times New Roman"/>
          <w:sz w:val="24"/>
          <w:szCs w:val="24"/>
        </w:rPr>
      </w:pPr>
      <w:r w:rsidRPr="00F6688F">
        <w:rPr>
          <w:rFonts w:eastAsia="Times New Roman" w:cs="Times New Roman"/>
          <w:sz w:val="24"/>
          <w:szCs w:val="24"/>
          <w:vertAlign w:val="superscript"/>
        </w:rPr>
        <w:t xml:space="preserve">a </w:t>
      </w:r>
      <w:r w:rsidRPr="00F6688F">
        <w:rPr>
          <w:rFonts w:eastAsia="Times New Roman" w:cs="Times New Roman"/>
          <w:sz w:val="24"/>
          <w:szCs w:val="24"/>
        </w:rPr>
        <w:t>GBM models adjusted for age at diagnosis, sex, Karnofsky Performance Status at diagnosis, extent of resection, MGMT promoter methylation status, insurance status, and distance to UT MD Anderson. Astrocytoma analyses were exploratory SVI-only Cox models because of smaller sample size and fewer events.</w:t>
      </w:r>
    </w:p>
    <w:p w14:paraId="386CB0B4" w14:textId="77777777" w:rsidR="003E0838" w:rsidRPr="00F6688F" w:rsidRDefault="003E0838" w:rsidP="003E0838">
      <w:pPr>
        <w:spacing w:after="0" w:line="480" w:lineRule="auto"/>
        <w:rPr>
          <w:rFonts w:eastAsia="Times New Roman" w:cs="Times New Roman"/>
          <w:sz w:val="24"/>
          <w:szCs w:val="24"/>
        </w:rPr>
      </w:pPr>
      <w:r w:rsidRPr="00F6688F">
        <w:rPr>
          <w:rFonts w:eastAsia="Times New Roman" w:cs="Times New Roman"/>
          <w:sz w:val="24"/>
          <w:szCs w:val="24"/>
          <w:vertAlign w:val="superscript"/>
        </w:rPr>
        <w:t xml:space="preserve">b </w:t>
      </w:r>
      <w:r w:rsidRPr="00F6688F">
        <w:rPr>
          <w:rFonts w:eastAsia="Times New Roman" w:cs="Times New Roman"/>
          <w:sz w:val="24"/>
          <w:szCs w:val="24"/>
        </w:rPr>
        <w:t>Quartile 1 was the reference group for comparisons between quartile groups.</w:t>
      </w:r>
    </w:p>
    <w:p w14:paraId="3CC3C601" w14:textId="77777777" w:rsidR="003E0838" w:rsidRPr="00F6688F" w:rsidRDefault="003E0838" w:rsidP="003E0838">
      <w:pPr>
        <w:spacing w:after="0" w:line="480" w:lineRule="auto"/>
        <w:rPr>
          <w:rFonts w:eastAsia="Times New Roman" w:cs="Times New Roman"/>
          <w:sz w:val="24"/>
          <w:szCs w:val="24"/>
        </w:rPr>
      </w:pPr>
      <w:r w:rsidRPr="00F6688F">
        <w:rPr>
          <w:rFonts w:eastAsia="Times New Roman" w:cs="Times New Roman"/>
          <w:sz w:val="24"/>
          <w:szCs w:val="24"/>
          <w:vertAlign w:val="superscript"/>
        </w:rPr>
        <w:lastRenderedPageBreak/>
        <w:t>c</w:t>
      </w:r>
      <w:r w:rsidRPr="00F6688F">
        <w:rPr>
          <w:rFonts w:eastAsia="Times New Roman" w:cs="Times New Roman"/>
          <w:sz w:val="24"/>
          <w:szCs w:val="24"/>
          <w:vertAlign w:val="subscript"/>
        </w:rPr>
        <w:t xml:space="preserve"> </w:t>
      </w:r>
      <w:r w:rsidRPr="00F6688F">
        <w:rPr>
          <w:rFonts w:eastAsia="Times New Roman" w:cs="Times New Roman"/>
          <w:sz w:val="24"/>
          <w:szCs w:val="24"/>
        </w:rPr>
        <w:t xml:space="preserve">The astrocytoma cohorts included patients with IDH-mutant World Health Organization Central Nervous System grade 4 astrocytoma. </w:t>
      </w:r>
    </w:p>
    <w:p w14:paraId="3D8FDB52" w14:textId="77777777" w:rsidR="003E0838" w:rsidRPr="00F6688F" w:rsidRDefault="003E0838" w:rsidP="003E0838">
      <w:pPr>
        <w:rPr>
          <w:rFonts w:eastAsia="Times New Roman" w:cs="Times New Roman"/>
          <w:sz w:val="24"/>
          <w:szCs w:val="24"/>
        </w:rPr>
      </w:pPr>
      <w:r w:rsidRPr="00F6688F">
        <w:rPr>
          <w:rFonts w:eastAsia="Times New Roman" w:cs="Times New Roman"/>
          <w:sz w:val="24"/>
          <w:szCs w:val="24"/>
        </w:rPr>
        <w:br w:type="page"/>
      </w:r>
    </w:p>
    <w:p w14:paraId="52DDB327" w14:textId="77777777" w:rsidR="003E0838" w:rsidRPr="00F6688F" w:rsidRDefault="003E0838" w:rsidP="003E0838">
      <w:pPr>
        <w:spacing w:after="0" w:line="480" w:lineRule="auto"/>
        <w:rPr>
          <w:rFonts w:cs="Times New Roman"/>
          <w:sz w:val="24"/>
          <w:szCs w:val="24"/>
        </w:rPr>
      </w:pPr>
      <w:r w:rsidRPr="00F6688F">
        <w:rPr>
          <w:rFonts w:eastAsia="Times New Roman" w:cs="Times New Roman"/>
          <w:b/>
          <w:bCs/>
          <w:sz w:val="24"/>
          <w:szCs w:val="24"/>
        </w:rPr>
        <w:lastRenderedPageBreak/>
        <w:t>Table 3. Access-sensitive findings in the Houston-area GBM cohort</w:t>
      </w:r>
    </w:p>
    <w:p w14:paraId="1E2EBB42" w14:textId="77777777" w:rsidR="003E0838" w:rsidRPr="00F6688F" w:rsidRDefault="003E0838" w:rsidP="003E0838">
      <w:pPr>
        <w:spacing w:after="0" w:line="240" w:lineRule="auto"/>
        <w:rPr>
          <w:rFonts w:cs="Times New Roman"/>
          <w:sz w:val="24"/>
          <w:szCs w:val="24"/>
        </w:rPr>
      </w:pPr>
      <w:r w:rsidRPr="00F6688F">
        <w:rPr>
          <w:rFonts w:eastAsia="Times New Roman" w:cs="Times New Roman"/>
          <w:b/>
          <w:bCs/>
          <w:sz w:val="24"/>
          <w:szCs w:val="24"/>
        </w:rPr>
        <w:t>A. Exploratory screening by Houston-area census tract–level SVI quartile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8"/>
        <w:gridCol w:w="835"/>
        <w:gridCol w:w="1223"/>
        <w:gridCol w:w="1314"/>
        <w:gridCol w:w="3286"/>
      </w:tblGrid>
      <w:tr w:rsidR="003E0838" w:rsidRPr="00F6688F" w14:paraId="67D45951" w14:textId="77777777" w:rsidTr="003136BB">
        <w:trPr>
          <w:trHeight w:val="300"/>
        </w:trPr>
        <w:tc>
          <w:tcPr>
            <w:tcW w:w="3165" w:type="dxa"/>
            <w:tcBorders>
              <w:top w:val="single" w:sz="4" w:space="0" w:color="auto"/>
              <w:bottom w:val="single" w:sz="4" w:space="0" w:color="auto"/>
            </w:tcBorders>
            <w:vAlign w:val="bottom"/>
          </w:tcPr>
          <w:p w14:paraId="01D28F86" w14:textId="77777777" w:rsidR="003E0838" w:rsidRPr="00F6688F" w:rsidRDefault="003E0838" w:rsidP="003136BB">
            <w:pPr>
              <w:rPr>
                <w:rFonts w:cs="Times New Roman"/>
                <w:sz w:val="24"/>
                <w:szCs w:val="24"/>
              </w:rPr>
            </w:pPr>
            <w:r w:rsidRPr="00F6688F">
              <w:rPr>
                <w:rFonts w:eastAsia="Times New Roman" w:cs="Times New Roman"/>
                <w:b/>
                <w:bCs/>
                <w:color w:val="000000" w:themeColor="text1"/>
                <w:sz w:val="24"/>
                <w:szCs w:val="24"/>
              </w:rPr>
              <w:t>Variable</w:t>
            </w:r>
          </w:p>
        </w:tc>
        <w:tc>
          <w:tcPr>
            <w:tcW w:w="1005" w:type="dxa"/>
            <w:tcBorders>
              <w:top w:val="single" w:sz="4" w:space="0" w:color="auto"/>
              <w:bottom w:val="single" w:sz="4" w:space="0" w:color="auto"/>
            </w:tcBorders>
            <w:vAlign w:val="bottom"/>
          </w:tcPr>
          <w:p w14:paraId="05D8B22B" w14:textId="77777777" w:rsidR="003E0838" w:rsidRPr="00F6688F" w:rsidRDefault="003E0838" w:rsidP="003136BB">
            <w:pPr>
              <w:jc w:val="center"/>
              <w:rPr>
                <w:rFonts w:cs="Times New Roman"/>
                <w:sz w:val="24"/>
                <w:szCs w:val="24"/>
              </w:rPr>
            </w:pPr>
            <w:r w:rsidRPr="00F6688F">
              <w:rPr>
                <w:rFonts w:eastAsia="Times New Roman" w:cs="Times New Roman"/>
                <w:b/>
                <w:bCs/>
                <w:color w:val="000000" w:themeColor="text1"/>
                <w:sz w:val="24"/>
                <w:szCs w:val="24"/>
              </w:rPr>
              <w:t>n</w:t>
            </w:r>
          </w:p>
        </w:tc>
        <w:tc>
          <w:tcPr>
            <w:tcW w:w="1440" w:type="dxa"/>
            <w:tcBorders>
              <w:top w:val="single" w:sz="4" w:space="0" w:color="auto"/>
              <w:bottom w:val="single" w:sz="4" w:space="0" w:color="auto"/>
            </w:tcBorders>
            <w:vAlign w:val="bottom"/>
          </w:tcPr>
          <w:p w14:paraId="6537CEB9" w14:textId="77777777" w:rsidR="003E0838" w:rsidRPr="00F6688F" w:rsidRDefault="003E0838" w:rsidP="003136BB">
            <w:pPr>
              <w:jc w:val="center"/>
              <w:rPr>
                <w:rFonts w:cs="Times New Roman"/>
                <w:sz w:val="24"/>
                <w:szCs w:val="24"/>
              </w:rPr>
            </w:pPr>
            <w:r w:rsidRPr="00F6688F">
              <w:rPr>
                <w:rFonts w:eastAsia="Times New Roman" w:cs="Times New Roman"/>
                <w:b/>
                <w:bCs/>
                <w:color w:val="000000" w:themeColor="text1"/>
                <w:sz w:val="24"/>
                <w:szCs w:val="24"/>
              </w:rPr>
              <w:t>P value</w:t>
            </w:r>
          </w:p>
        </w:tc>
        <w:tc>
          <w:tcPr>
            <w:tcW w:w="1590" w:type="dxa"/>
            <w:tcBorders>
              <w:top w:val="single" w:sz="4" w:space="0" w:color="auto"/>
              <w:bottom w:val="single" w:sz="4" w:space="0" w:color="auto"/>
            </w:tcBorders>
            <w:vAlign w:val="bottom"/>
          </w:tcPr>
          <w:p w14:paraId="29027B65" w14:textId="77777777" w:rsidR="003E0838" w:rsidRPr="00F6688F" w:rsidRDefault="003E0838" w:rsidP="003136BB">
            <w:pPr>
              <w:jc w:val="center"/>
              <w:rPr>
                <w:rFonts w:cs="Times New Roman"/>
                <w:sz w:val="24"/>
                <w:szCs w:val="24"/>
              </w:rPr>
            </w:pPr>
            <w:r w:rsidRPr="00F6688F">
              <w:rPr>
                <w:rFonts w:eastAsia="Times New Roman" w:cs="Times New Roman"/>
                <w:b/>
                <w:bCs/>
                <w:color w:val="000000" w:themeColor="text1"/>
                <w:sz w:val="24"/>
                <w:szCs w:val="24"/>
              </w:rPr>
              <w:t>FDR q value</w:t>
            </w:r>
          </w:p>
        </w:tc>
        <w:tc>
          <w:tcPr>
            <w:tcW w:w="4605" w:type="dxa"/>
            <w:tcBorders>
              <w:top w:val="single" w:sz="4" w:space="0" w:color="auto"/>
              <w:bottom w:val="single" w:sz="4" w:space="0" w:color="auto"/>
            </w:tcBorders>
            <w:vAlign w:val="bottom"/>
          </w:tcPr>
          <w:p w14:paraId="5F44A755" w14:textId="77777777" w:rsidR="003E0838" w:rsidRPr="00F6688F" w:rsidRDefault="003E0838" w:rsidP="003136BB">
            <w:pPr>
              <w:jc w:val="center"/>
              <w:rPr>
                <w:rFonts w:cs="Times New Roman"/>
                <w:sz w:val="24"/>
                <w:szCs w:val="24"/>
                <w:vertAlign w:val="superscript"/>
              </w:rPr>
            </w:pPr>
            <w:r w:rsidRPr="00F6688F">
              <w:rPr>
                <w:rFonts w:eastAsia="Times New Roman" w:cs="Times New Roman"/>
                <w:b/>
                <w:bCs/>
                <w:color w:val="000000" w:themeColor="text1"/>
                <w:sz w:val="24"/>
                <w:szCs w:val="24"/>
              </w:rPr>
              <w:t>Screening result</w:t>
            </w:r>
            <w:r w:rsidRPr="00F6688F">
              <w:rPr>
                <w:rFonts w:eastAsia="Times New Roman" w:cs="Times New Roman"/>
                <w:b/>
                <w:bCs/>
                <w:color w:val="000000" w:themeColor="text1"/>
                <w:sz w:val="24"/>
                <w:szCs w:val="24"/>
                <w:vertAlign w:val="superscript"/>
              </w:rPr>
              <w:t>a</w:t>
            </w:r>
          </w:p>
        </w:tc>
      </w:tr>
      <w:tr w:rsidR="003E0838" w:rsidRPr="00F6688F" w14:paraId="7C1363DD" w14:textId="77777777" w:rsidTr="003136BB">
        <w:trPr>
          <w:trHeight w:val="300"/>
        </w:trPr>
        <w:tc>
          <w:tcPr>
            <w:tcW w:w="3165" w:type="dxa"/>
            <w:tcBorders>
              <w:top w:val="single" w:sz="4" w:space="0" w:color="auto"/>
            </w:tcBorders>
          </w:tcPr>
          <w:p w14:paraId="587378C7" w14:textId="77777777" w:rsidR="003E0838" w:rsidRPr="00F6688F" w:rsidRDefault="003E0838" w:rsidP="003136BB">
            <w:pPr>
              <w:rPr>
                <w:rFonts w:cs="Times New Roman"/>
                <w:sz w:val="24"/>
                <w:szCs w:val="24"/>
              </w:rPr>
            </w:pPr>
            <w:r w:rsidRPr="00F6688F">
              <w:rPr>
                <w:rFonts w:eastAsia="Times New Roman" w:cs="Times New Roman"/>
                <w:sz w:val="24"/>
                <w:szCs w:val="24"/>
              </w:rPr>
              <w:t>County of residence</w:t>
            </w:r>
          </w:p>
        </w:tc>
        <w:tc>
          <w:tcPr>
            <w:tcW w:w="1005" w:type="dxa"/>
            <w:tcBorders>
              <w:top w:val="single" w:sz="4" w:space="0" w:color="auto"/>
            </w:tcBorders>
          </w:tcPr>
          <w:p w14:paraId="60ED49E6"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261</w:t>
            </w:r>
          </w:p>
        </w:tc>
        <w:tc>
          <w:tcPr>
            <w:tcW w:w="1440" w:type="dxa"/>
            <w:tcBorders>
              <w:top w:val="single" w:sz="4" w:space="0" w:color="auto"/>
            </w:tcBorders>
          </w:tcPr>
          <w:p w14:paraId="0A38F412"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&lt;0.001</w:t>
            </w:r>
          </w:p>
        </w:tc>
        <w:tc>
          <w:tcPr>
            <w:tcW w:w="1590" w:type="dxa"/>
            <w:tcBorders>
              <w:top w:val="single" w:sz="4" w:space="0" w:color="auto"/>
            </w:tcBorders>
          </w:tcPr>
          <w:p w14:paraId="45F7FF26"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&lt;0.001</w:t>
            </w:r>
          </w:p>
        </w:tc>
        <w:tc>
          <w:tcPr>
            <w:tcW w:w="4605" w:type="dxa"/>
            <w:tcBorders>
              <w:top w:val="single" w:sz="4" w:space="0" w:color="auto"/>
            </w:tcBorders>
          </w:tcPr>
          <w:p w14:paraId="56043FE0"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Significant after FDR correction</w:t>
            </w:r>
          </w:p>
        </w:tc>
      </w:tr>
      <w:tr w:rsidR="003E0838" w:rsidRPr="00F6688F" w14:paraId="456FF368" w14:textId="77777777" w:rsidTr="003136BB">
        <w:trPr>
          <w:trHeight w:val="300"/>
        </w:trPr>
        <w:tc>
          <w:tcPr>
            <w:tcW w:w="3165" w:type="dxa"/>
          </w:tcPr>
          <w:p w14:paraId="0EEB2048" w14:textId="77777777" w:rsidR="003E0838" w:rsidRPr="00F6688F" w:rsidRDefault="003E0838" w:rsidP="003136BB">
            <w:pPr>
              <w:rPr>
                <w:rFonts w:cs="Times New Roman"/>
                <w:sz w:val="24"/>
                <w:szCs w:val="24"/>
              </w:rPr>
            </w:pPr>
            <w:r w:rsidRPr="00F6688F">
              <w:rPr>
                <w:rFonts w:eastAsia="Times New Roman" w:cs="Times New Roman"/>
                <w:sz w:val="24"/>
                <w:szCs w:val="24"/>
              </w:rPr>
              <w:t>KPS category</w:t>
            </w:r>
          </w:p>
        </w:tc>
        <w:tc>
          <w:tcPr>
            <w:tcW w:w="1005" w:type="dxa"/>
          </w:tcPr>
          <w:p w14:paraId="6D421B88"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261</w:t>
            </w:r>
          </w:p>
        </w:tc>
        <w:tc>
          <w:tcPr>
            <w:tcW w:w="1440" w:type="dxa"/>
          </w:tcPr>
          <w:p w14:paraId="1C272526"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0.006</w:t>
            </w:r>
          </w:p>
        </w:tc>
        <w:tc>
          <w:tcPr>
            <w:tcW w:w="1590" w:type="dxa"/>
          </w:tcPr>
          <w:p w14:paraId="24C8D648"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0.020</w:t>
            </w:r>
          </w:p>
        </w:tc>
        <w:tc>
          <w:tcPr>
            <w:tcW w:w="4605" w:type="dxa"/>
          </w:tcPr>
          <w:p w14:paraId="47D159D4"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Significant after FDR correction</w:t>
            </w:r>
          </w:p>
        </w:tc>
      </w:tr>
      <w:tr w:rsidR="003E0838" w:rsidRPr="00F6688F" w14:paraId="3F7A97E9" w14:textId="77777777" w:rsidTr="003136BB">
        <w:trPr>
          <w:trHeight w:val="300"/>
        </w:trPr>
        <w:tc>
          <w:tcPr>
            <w:tcW w:w="3165" w:type="dxa"/>
          </w:tcPr>
          <w:p w14:paraId="72D9AB01" w14:textId="77777777" w:rsidR="003E0838" w:rsidRPr="00F6688F" w:rsidRDefault="003E0838" w:rsidP="003136BB">
            <w:pPr>
              <w:rPr>
                <w:rFonts w:cs="Times New Roman"/>
                <w:sz w:val="24"/>
                <w:szCs w:val="24"/>
              </w:rPr>
            </w:pPr>
            <w:r w:rsidRPr="00F6688F">
              <w:rPr>
                <w:rFonts w:eastAsia="Times New Roman" w:cs="Times New Roman"/>
                <w:sz w:val="24"/>
                <w:szCs w:val="24"/>
              </w:rPr>
              <w:t>Marital status</w:t>
            </w:r>
          </w:p>
        </w:tc>
        <w:tc>
          <w:tcPr>
            <w:tcW w:w="1005" w:type="dxa"/>
          </w:tcPr>
          <w:p w14:paraId="2382377B"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261</w:t>
            </w:r>
          </w:p>
        </w:tc>
        <w:tc>
          <w:tcPr>
            <w:tcW w:w="1440" w:type="dxa"/>
          </w:tcPr>
          <w:p w14:paraId="559735BC"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0.016</w:t>
            </w:r>
          </w:p>
        </w:tc>
        <w:tc>
          <w:tcPr>
            <w:tcW w:w="1590" w:type="dxa"/>
          </w:tcPr>
          <w:p w14:paraId="24F55526"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0.048</w:t>
            </w:r>
          </w:p>
        </w:tc>
        <w:tc>
          <w:tcPr>
            <w:tcW w:w="4605" w:type="dxa"/>
          </w:tcPr>
          <w:p w14:paraId="72D06333"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Significant after FDR correction</w:t>
            </w:r>
          </w:p>
        </w:tc>
      </w:tr>
      <w:tr w:rsidR="003E0838" w:rsidRPr="00F6688F" w14:paraId="6458E5A1" w14:textId="77777777" w:rsidTr="003136BB">
        <w:trPr>
          <w:trHeight w:val="300"/>
        </w:trPr>
        <w:tc>
          <w:tcPr>
            <w:tcW w:w="3165" w:type="dxa"/>
          </w:tcPr>
          <w:p w14:paraId="5D228D33" w14:textId="77777777" w:rsidR="003E0838" w:rsidRPr="00F6688F" w:rsidRDefault="003E0838" w:rsidP="003136BB">
            <w:pPr>
              <w:rPr>
                <w:rFonts w:cs="Times New Roman"/>
                <w:sz w:val="24"/>
                <w:szCs w:val="24"/>
              </w:rPr>
            </w:pPr>
            <w:r w:rsidRPr="00F6688F">
              <w:rPr>
                <w:rFonts w:eastAsia="Times New Roman" w:cs="Times New Roman"/>
                <w:sz w:val="24"/>
                <w:szCs w:val="24"/>
              </w:rPr>
              <w:t>Insurance status</w:t>
            </w:r>
          </w:p>
        </w:tc>
        <w:tc>
          <w:tcPr>
            <w:tcW w:w="1005" w:type="dxa"/>
          </w:tcPr>
          <w:p w14:paraId="118FC947"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261</w:t>
            </w:r>
          </w:p>
        </w:tc>
        <w:tc>
          <w:tcPr>
            <w:tcW w:w="1440" w:type="dxa"/>
          </w:tcPr>
          <w:p w14:paraId="542963E9"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0.021</w:t>
            </w:r>
          </w:p>
        </w:tc>
        <w:tc>
          <w:tcPr>
            <w:tcW w:w="1590" w:type="dxa"/>
          </w:tcPr>
          <w:p w14:paraId="52EAC78C"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0.059</w:t>
            </w:r>
          </w:p>
        </w:tc>
        <w:tc>
          <w:tcPr>
            <w:tcW w:w="4605" w:type="dxa"/>
          </w:tcPr>
          <w:p w14:paraId="13F620E6"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Not significant after FDR correction</w:t>
            </w:r>
          </w:p>
        </w:tc>
      </w:tr>
    </w:tbl>
    <w:p w14:paraId="416E35AB" w14:textId="77777777" w:rsidR="003E0838" w:rsidRPr="00F6688F" w:rsidRDefault="003E0838" w:rsidP="003E0838">
      <w:pPr>
        <w:spacing w:after="0" w:line="240" w:lineRule="auto"/>
        <w:rPr>
          <w:rFonts w:cs="Times New Roman"/>
          <w:sz w:val="24"/>
          <w:szCs w:val="24"/>
        </w:rPr>
      </w:pPr>
      <w:r w:rsidRPr="00F6688F">
        <w:rPr>
          <w:rFonts w:eastAsia="Times New Roman" w:cs="Times New Roman"/>
          <w:b/>
          <w:bCs/>
          <w:sz w:val="24"/>
          <w:szCs w:val="24"/>
        </w:rPr>
        <w:t>B. Selected descriptive patterns by Houston-area census tract–level SVI quartile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4"/>
        <w:gridCol w:w="1641"/>
        <w:gridCol w:w="1641"/>
        <w:gridCol w:w="1641"/>
        <w:gridCol w:w="1729"/>
      </w:tblGrid>
      <w:tr w:rsidR="003E0838" w:rsidRPr="00F6688F" w14:paraId="3B29EC8C" w14:textId="77777777" w:rsidTr="003136BB">
        <w:trPr>
          <w:trHeight w:val="300"/>
        </w:trPr>
        <w:tc>
          <w:tcPr>
            <w:tcW w:w="2527" w:type="dxa"/>
            <w:tcBorders>
              <w:top w:val="single" w:sz="4" w:space="0" w:color="auto"/>
              <w:bottom w:val="single" w:sz="4" w:space="0" w:color="auto"/>
            </w:tcBorders>
            <w:vAlign w:val="bottom"/>
          </w:tcPr>
          <w:p w14:paraId="3C0DB557" w14:textId="77777777" w:rsidR="003E0838" w:rsidRPr="00F6688F" w:rsidRDefault="003E0838" w:rsidP="003136BB">
            <w:pPr>
              <w:rPr>
                <w:rFonts w:cs="Times New Roman"/>
                <w:sz w:val="24"/>
                <w:szCs w:val="24"/>
              </w:rPr>
            </w:pPr>
            <w:r w:rsidRPr="00F6688F">
              <w:rPr>
                <w:rFonts w:eastAsia="Times New Roman" w:cs="Times New Roman"/>
                <w:b/>
                <w:bCs/>
                <w:color w:val="000000" w:themeColor="text1"/>
                <w:sz w:val="24"/>
                <w:szCs w:val="24"/>
              </w:rPr>
              <w:t>Characteristic</w:t>
            </w:r>
          </w:p>
        </w:tc>
        <w:tc>
          <w:tcPr>
            <w:tcW w:w="1766" w:type="dxa"/>
            <w:tcBorders>
              <w:top w:val="single" w:sz="4" w:space="0" w:color="auto"/>
              <w:bottom w:val="single" w:sz="4" w:space="0" w:color="auto"/>
            </w:tcBorders>
            <w:vAlign w:val="bottom"/>
          </w:tcPr>
          <w:p w14:paraId="74F2AABC" w14:textId="77777777" w:rsidR="003E0838" w:rsidRPr="00F6688F" w:rsidRDefault="003E0838" w:rsidP="003136BB">
            <w:pPr>
              <w:jc w:val="center"/>
              <w:rPr>
                <w:rFonts w:cs="Times New Roman"/>
                <w:sz w:val="24"/>
                <w:szCs w:val="24"/>
              </w:rPr>
            </w:pPr>
            <w:r w:rsidRPr="00F6688F">
              <w:rPr>
                <w:rFonts w:eastAsia="Times New Roman" w:cs="Times New Roman"/>
                <w:b/>
                <w:bCs/>
                <w:color w:val="000000" w:themeColor="text1"/>
                <w:sz w:val="24"/>
                <w:szCs w:val="24"/>
              </w:rPr>
              <w:t>Quartile 1</w:t>
            </w:r>
            <w:r w:rsidRPr="00F6688F">
              <w:rPr>
                <w:rFonts w:eastAsia="Times New Roman" w:cs="Times New Roman"/>
                <w:sz w:val="24"/>
                <w:szCs w:val="24"/>
              </w:rPr>
              <w:br/>
            </w:r>
            <w:r w:rsidRPr="00F6688F">
              <w:rPr>
                <w:rFonts w:eastAsia="Times New Roman" w:cs="Times New Roman"/>
                <w:color w:val="000000" w:themeColor="text1"/>
                <w:sz w:val="24"/>
                <w:szCs w:val="24"/>
              </w:rPr>
              <w:t xml:space="preserve"> </w:t>
            </w:r>
            <w:r w:rsidRPr="00F6688F">
              <w:rPr>
                <w:rFonts w:eastAsia="Times New Roman" w:cs="Times New Roman"/>
                <w:b/>
                <w:bCs/>
                <w:color w:val="000000" w:themeColor="text1"/>
                <w:sz w:val="24"/>
                <w:szCs w:val="24"/>
              </w:rPr>
              <w:t>(n=66)</w:t>
            </w:r>
          </w:p>
        </w:tc>
        <w:tc>
          <w:tcPr>
            <w:tcW w:w="1766" w:type="dxa"/>
            <w:tcBorders>
              <w:top w:val="single" w:sz="4" w:space="0" w:color="auto"/>
              <w:bottom w:val="single" w:sz="4" w:space="0" w:color="auto"/>
            </w:tcBorders>
            <w:vAlign w:val="bottom"/>
          </w:tcPr>
          <w:p w14:paraId="1C8CF03A" w14:textId="77777777" w:rsidR="003E0838" w:rsidRPr="00F6688F" w:rsidRDefault="003E0838" w:rsidP="003136BB">
            <w:pPr>
              <w:jc w:val="center"/>
              <w:rPr>
                <w:rFonts w:cs="Times New Roman"/>
                <w:sz w:val="24"/>
                <w:szCs w:val="24"/>
              </w:rPr>
            </w:pPr>
            <w:r w:rsidRPr="00F6688F">
              <w:rPr>
                <w:rFonts w:eastAsia="Times New Roman" w:cs="Times New Roman"/>
                <w:b/>
                <w:bCs/>
                <w:color w:val="000000" w:themeColor="text1"/>
                <w:sz w:val="24"/>
                <w:szCs w:val="24"/>
              </w:rPr>
              <w:t>Quartile 2</w:t>
            </w:r>
            <w:r w:rsidRPr="00F6688F">
              <w:rPr>
                <w:rFonts w:eastAsia="Times New Roman" w:cs="Times New Roman"/>
                <w:sz w:val="24"/>
                <w:szCs w:val="24"/>
              </w:rPr>
              <w:br/>
            </w:r>
            <w:r w:rsidRPr="00F6688F">
              <w:rPr>
                <w:rFonts w:eastAsia="Times New Roman" w:cs="Times New Roman"/>
                <w:color w:val="000000" w:themeColor="text1"/>
                <w:sz w:val="24"/>
                <w:szCs w:val="24"/>
              </w:rPr>
              <w:t xml:space="preserve"> </w:t>
            </w:r>
            <w:r w:rsidRPr="00F6688F">
              <w:rPr>
                <w:rFonts w:eastAsia="Times New Roman" w:cs="Times New Roman"/>
                <w:b/>
                <w:bCs/>
                <w:color w:val="000000" w:themeColor="text1"/>
                <w:sz w:val="24"/>
                <w:szCs w:val="24"/>
              </w:rPr>
              <w:t>(n=66)</w:t>
            </w:r>
          </w:p>
        </w:tc>
        <w:tc>
          <w:tcPr>
            <w:tcW w:w="1766" w:type="dxa"/>
            <w:tcBorders>
              <w:top w:val="single" w:sz="4" w:space="0" w:color="auto"/>
              <w:bottom w:val="single" w:sz="4" w:space="0" w:color="auto"/>
            </w:tcBorders>
            <w:vAlign w:val="bottom"/>
          </w:tcPr>
          <w:p w14:paraId="65E89358" w14:textId="77777777" w:rsidR="003E0838" w:rsidRPr="00F6688F" w:rsidRDefault="003E0838" w:rsidP="003136BB">
            <w:pPr>
              <w:jc w:val="center"/>
              <w:rPr>
                <w:rFonts w:cs="Times New Roman"/>
                <w:sz w:val="24"/>
                <w:szCs w:val="24"/>
              </w:rPr>
            </w:pPr>
            <w:r w:rsidRPr="00F6688F">
              <w:rPr>
                <w:rFonts w:eastAsia="Times New Roman" w:cs="Times New Roman"/>
                <w:b/>
                <w:bCs/>
                <w:color w:val="000000" w:themeColor="text1"/>
                <w:sz w:val="24"/>
                <w:szCs w:val="24"/>
              </w:rPr>
              <w:t>Quartile 3</w:t>
            </w:r>
            <w:r w:rsidRPr="00F6688F">
              <w:rPr>
                <w:rFonts w:eastAsia="Times New Roman" w:cs="Times New Roman"/>
                <w:sz w:val="24"/>
                <w:szCs w:val="24"/>
              </w:rPr>
              <w:br/>
            </w:r>
            <w:r w:rsidRPr="00F6688F">
              <w:rPr>
                <w:rFonts w:eastAsia="Times New Roman" w:cs="Times New Roman"/>
                <w:color w:val="000000" w:themeColor="text1"/>
                <w:sz w:val="24"/>
                <w:szCs w:val="24"/>
              </w:rPr>
              <w:t xml:space="preserve"> </w:t>
            </w:r>
            <w:r w:rsidRPr="00F6688F">
              <w:rPr>
                <w:rFonts w:eastAsia="Times New Roman" w:cs="Times New Roman"/>
                <w:b/>
                <w:bCs/>
                <w:color w:val="000000" w:themeColor="text1"/>
                <w:sz w:val="24"/>
                <w:szCs w:val="24"/>
              </w:rPr>
              <w:t>(n=64)</w:t>
            </w:r>
          </w:p>
        </w:tc>
        <w:tc>
          <w:tcPr>
            <w:tcW w:w="1873" w:type="dxa"/>
            <w:tcBorders>
              <w:top w:val="single" w:sz="4" w:space="0" w:color="auto"/>
              <w:bottom w:val="single" w:sz="4" w:space="0" w:color="auto"/>
            </w:tcBorders>
            <w:vAlign w:val="bottom"/>
          </w:tcPr>
          <w:p w14:paraId="2669929A" w14:textId="77777777" w:rsidR="003E0838" w:rsidRPr="00F6688F" w:rsidRDefault="003E0838" w:rsidP="003136BB">
            <w:pPr>
              <w:jc w:val="center"/>
              <w:rPr>
                <w:rFonts w:cs="Times New Roman"/>
                <w:sz w:val="24"/>
                <w:szCs w:val="24"/>
              </w:rPr>
            </w:pPr>
            <w:r w:rsidRPr="00F6688F">
              <w:rPr>
                <w:rFonts w:eastAsia="Times New Roman" w:cs="Times New Roman"/>
                <w:b/>
                <w:bCs/>
                <w:color w:val="000000" w:themeColor="text1"/>
                <w:sz w:val="24"/>
                <w:szCs w:val="24"/>
              </w:rPr>
              <w:t>Quartile 4</w:t>
            </w:r>
            <w:r w:rsidRPr="00F6688F">
              <w:rPr>
                <w:rFonts w:eastAsia="Times New Roman" w:cs="Times New Roman"/>
                <w:sz w:val="24"/>
                <w:szCs w:val="24"/>
              </w:rPr>
              <w:br/>
            </w:r>
            <w:r w:rsidRPr="00F6688F">
              <w:rPr>
                <w:rFonts w:eastAsia="Times New Roman" w:cs="Times New Roman"/>
                <w:color w:val="000000" w:themeColor="text1"/>
                <w:sz w:val="24"/>
                <w:szCs w:val="24"/>
              </w:rPr>
              <w:t xml:space="preserve"> </w:t>
            </w:r>
            <w:r w:rsidRPr="00F6688F">
              <w:rPr>
                <w:rFonts w:eastAsia="Times New Roman" w:cs="Times New Roman"/>
                <w:b/>
                <w:bCs/>
                <w:color w:val="000000" w:themeColor="text1"/>
                <w:sz w:val="24"/>
                <w:szCs w:val="24"/>
              </w:rPr>
              <w:t>(n=65)</w:t>
            </w:r>
          </w:p>
        </w:tc>
      </w:tr>
      <w:tr w:rsidR="003E0838" w:rsidRPr="00F6688F" w14:paraId="3213A75C" w14:textId="77777777" w:rsidTr="003136BB">
        <w:trPr>
          <w:trHeight w:val="300"/>
        </w:trPr>
        <w:tc>
          <w:tcPr>
            <w:tcW w:w="2527" w:type="dxa"/>
            <w:tcBorders>
              <w:top w:val="single" w:sz="4" w:space="0" w:color="auto"/>
            </w:tcBorders>
          </w:tcPr>
          <w:p w14:paraId="52647F17" w14:textId="77777777" w:rsidR="003E0838" w:rsidRPr="00F6688F" w:rsidRDefault="003E0838" w:rsidP="003136BB">
            <w:pPr>
              <w:rPr>
                <w:rFonts w:cs="Times New Roman"/>
                <w:sz w:val="24"/>
                <w:szCs w:val="24"/>
              </w:rPr>
            </w:pPr>
            <w:r w:rsidRPr="00F6688F">
              <w:rPr>
                <w:rFonts w:eastAsia="Times New Roman" w:cs="Times New Roman"/>
                <w:sz w:val="24"/>
                <w:szCs w:val="24"/>
              </w:rPr>
              <w:t>Non-private insurance, n (%)</w:t>
            </w:r>
          </w:p>
        </w:tc>
        <w:tc>
          <w:tcPr>
            <w:tcW w:w="1766" w:type="dxa"/>
            <w:tcBorders>
              <w:top w:val="single" w:sz="4" w:space="0" w:color="auto"/>
            </w:tcBorders>
          </w:tcPr>
          <w:p w14:paraId="746C7316"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26 (39.4)</w:t>
            </w:r>
          </w:p>
        </w:tc>
        <w:tc>
          <w:tcPr>
            <w:tcW w:w="1766" w:type="dxa"/>
            <w:tcBorders>
              <w:top w:val="single" w:sz="4" w:space="0" w:color="auto"/>
            </w:tcBorders>
          </w:tcPr>
          <w:p w14:paraId="7F881C1B"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30 (45.5)</w:t>
            </w:r>
          </w:p>
        </w:tc>
        <w:tc>
          <w:tcPr>
            <w:tcW w:w="1766" w:type="dxa"/>
            <w:tcBorders>
              <w:top w:val="single" w:sz="4" w:space="0" w:color="auto"/>
            </w:tcBorders>
          </w:tcPr>
          <w:p w14:paraId="23AB4799"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35 (54.7)</w:t>
            </w:r>
          </w:p>
        </w:tc>
        <w:tc>
          <w:tcPr>
            <w:tcW w:w="1873" w:type="dxa"/>
            <w:tcBorders>
              <w:top w:val="single" w:sz="4" w:space="0" w:color="auto"/>
            </w:tcBorders>
          </w:tcPr>
          <w:p w14:paraId="7CE681EF"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34 (52.3)</w:t>
            </w:r>
          </w:p>
        </w:tc>
      </w:tr>
      <w:tr w:rsidR="003E0838" w:rsidRPr="00F6688F" w14:paraId="515D6EFF" w14:textId="77777777" w:rsidTr="003136BB">
        <w:trPr>
          <w:trHeight w:val="300"/>
        </w:trPr>
        <w:tc>
          <w:tcPr>
            <w:tcW w:w="2527" w:type="dxa"/>
          </w:tcPr>
          <w:p w14:paraId="37083FE0" w14:textId="77777777" w:rsidR="003E0838" w:rsidRPr="00F6688F" w:rsidRDefault="003E0838" w:rsidP="003136BB">
            <w:pPr>
              <w:rPr>
                <w:rFonts w:cs="Times New Roman"/>
                <w:sz w:val="24"/>
                <w:szCs w:val="24"/>
              </w:rPr>
            </w:pPr>
            <w:r w:rsidRPr="00F6688F">
              <w:rPr>
                <w:rFonts w:eastAsia="Times New Roman" w:cs="Times New Roman"/>
                <w:sz w:val="24"/>
                <w:szCs w:val="24"/>
              </w:rPr>
              <w:t>KPS &lt;70, n (%)</w:t>
            </w:r>
          </w:p>
        </w:tc>
        <w:tc>
          <w:tcPr>
            <w:tcW w:w="1766" w:type="dxa"/>
          </w:tcPr>
          <w:p w14:paraId="52874AD7"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 (0.0)</w:t>
            </w:r>
          </w:p>
        </w:tc>
        <w:tc>
          <w:tcPr>
            <w:tcW w:w="1766" w:type="dxa"/>
          </w:tcPr>
          <w:p w14:paraId="2B4F0B79"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8 (12.1)</w:t>
            </w:r>
          </w:p>
        </w:tc>
        <w:tc>
          <w:tcPr>
            <w:tcW w:w="1766" w:type="dxa"/>
          </w:tcPr>
          <w:p w14:paraId="1277F3FB"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1 (1.6)</w:t>
            </w:r>
          </w:p>
        </w:tc>
        <w:tc>
          <w:tcPr>
            <w:tcW w:w="1873" w:type="dxa"/>
          </w:tcPr>
          <w:p w14:paraId="1ED7A18D"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4 (6.2)</w:t>
            </w:r>
          </w:p>
        </w:tc>
      </w:tr>
      <w:tr w:rsidR="003E0838" w:rsidRPr="00F6688F" w14:paraId="71485902" w14:textId="77777777" w:rsidTr="003136BB">
        <w:trPr>
          <w:trHeight w:val="300"/>
        </w:trPr>
        <w:tc>
          <w:tcPr>
            <w:tcW w:w="2527" w:type="dxa"/>
          </w:tcPr>
          <w:p w14:paraId="0877FF23" w14:textId="77777777" w:rsidR="003E0838" w:rsidRPr="00F6688F" w:rsidRDefault="003E0838" w:rsidP="003136BB">
            <w:pPr>
              <w:rPr>
                <w:rFonts w:cs="Times New Roman"/>
                <w:sz w:val="24"/>
                <w:szCs w:val="24"/>
              </w:rPr>
            </w:pPr>
            <w:r w:rsidRPr="00F6688F">
              <w:rPr>
                <w:rFonts w:eastAsia="Times New Roman" w:cs="Times New Roman"/>
                <w:sz w:val="24"/>
                <w:szCs w:val="24"/>
              </w:rPr>
              <w:t>Gross total resection, n (%)</w:t>
            </w:r>
          </w:p>
        </w:tc>
        <w:tc>
          <w:tcPr>
            <w:tcW w:w="1766" w:type="dxa"/>
          </w:tcPr>
          <w:p w14:paraId="7E8394AA"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36 (54.5)</w:t>
            </w:r>
          </w:p>
        </w:tc>
        <w:tc>
          <w:tcPr>
            <w:tcW w:w="1766" w:type="dxa"/>
          </w:tcPr>
          <w:p w14:paraId="18EB2B61"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36 (54.5)</w:t>
            </w:r>
          </w:p>
        </w:tc>
        <w:tc>
          <w:tcPr>
            <w:tcW w:w="1766" w:type="dxa"/>
          </w:tcPr>
          <w:p w14:paraId="10EBF831"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25 (39.1)</w:t>
            </w:r>
          </w:p>
        </w:tc>
        <w:tc>
          <w:tcPr>
            <w:tcW w:w="1873" w:type="dxa"/>
          </w:tcPr>
          <w:p w14:paraId="479D1C02"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28 (43.1)</w:t>
            </w:r>
          </w:p>
        </w:tc>
      </w:tr>
    </w:tbl>
    <w:p w14:paraId="7F8B8B39" w14:textId="77777777" w:rsidR="003E0838" w:rsidRPr="00F6688F" w:rsidRDefault="003E0838" w:rsidP="003E0838">
      <w:pPr>
        <w:spacing w:after="0" w:line="240" w:lineRule="auto"/>
        <w:rPr>
          <w:rFonts w:cs="Times New Roman"/>
          <w:sz w:val="24"/>
          <w:szCs w:val="24"/>
        </w:rPr>
      </w:pPr>
      <w:r w:rsidRPr="00F6688F">
        <w:rPr>
          <w:rFonts w:eastAsia="Times New Roman" w:cs="Times New Roman"/>
          <w:b/>
          <w:bCs/>
          <w:sz w:val="24"/>
          <w:szCs w:val="24"/>
        </w:rPr>
        <w:t>C. Age- and sex-adjusted logistic regression models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7"/>
        <w:gridCol w:w="3237"/>
        <w:gridCol w:w="670"/>
        <w:gridCol w:w="768"/>
        <w:gridCol w:w="1146"/>
        <w:gridCol w:w="1008"/>
      </w:tblGrid>
      <w:tr w:rsidR="003E0838" w:rsidRPr="00F6688F" w14:paraId="2BA67B92" w14:textId="77777777" w:rsidTr="003136BB">
        <w:trPr>
          <w:trHeight w:val="300"/>
        </w:trPr>
        <w:tc>
          <w:tcPr>
            <w:tcW w:w="2391" w:type="dxa"/>
            <w:tcBorders>
              <w:top w:val="single" w:sz="4" w:space="0" w:color="auto"/>
              <w:bottom w:val="single" w:sz="4" w:space="0" w:color="auto"/>
            </w:tcBorders>
          </w:tcPr>
          <w:p w14:paraId="27690052" w14:textId="77777777" w:rsidR="003E0838" w:rsidRPr="00F6688F" w:rsidRDefault="003E0838" w:rsidP="003136BB">
            <w:pPr>
              <w:rPr>
                <w:rFonts w:cs="Times New Roman"/>
                <w:sz w:val="24"/>
                <w:szCs w:val="24"/>
              </w:rPr>
            </w:pPr>
            <w:r w:rsidRPr="00F6688F">
              <w:rPr>
                <w:rFonts w:eastAsia="Times New Roman" w:cs="Times New Roman"/>
                <w:b/>
                <w:bCs/>
                <w:color w:val="000000" w:themeColor="text1"/>
                <w:sz w:val="24"/>
                <w:szCs w:val="24"/>
              </w:rPr>
              <w:t>Outcome</w:t>
            </w:r>
          </w:p>
        </w:tc>
        <w:tc>
          <w:tcPr>
            <w:tcW w:w="3632" w:type="dxa"/>
            <w:tcBorders>
              <w:top w:val="single" w:sz="4" w:space="0" w:color="auto"/>
              <w:bottom w:val="single" w:sz="4" w:space="0" w:color="auto"/>
            </w:tcBorders>
          </w:tcPr>
          <w:p w14:paraId="023E11F3" w14:textId="77777777" w:rsidR="003E0838" w:rsidRPr="00F6688F" w:rsidRDefault="003E0838" w:rsidP="003136BB">
            <w:pPr>
              <w:jc w:val="center"/>
              <w:rPr>
                <w:rFonts w:cs="Times New Roman"/>
                <w:sz w:val="24"/>
                <w:szCs w:val="24"/>
              </w:rPr>
            </w:pPr>
            <w:r w:rsidRPr="00F6688F">
              <w:rPr>
                <w:rFonts w:eastAsia="Times New Roman" w:cs="Times New Roman"/>
                <w:b/>
                <w:bCs/>
                <w:color w:val="000000" w:themeColor="text1"/>
                <w:sz w:val="24"/>
                <w:szCs w:val="24"/>
              </w:rPr>
              <w:t>SVI measure</w:t>
            </w:r>
          </w:p>
        </w:tc>
        <w:tc>
          <w:tcPr>
            <w:tcW w:w="687" w:type="dxa"/>
            <w:tcBorders>
              <w:top w:val="single" w:sz="4" w:space="0" w:color="auto"/>
              <w:bottom w:val="single" w:sz="4" w:space="0" w:color="auto"/>
            </w:tcBorders>
          </w:tcPr>
          <w:p w14:paraId="224347AF" w14:textId="77777777" w:rsidR="003E0838" w:rsidRPr="00F6688F" w:rsidRDefault="003E0838" w:rsidP="003136BB">
            <w:pPr>
              <w:jc w:val="center"/>
              <w:rPr>
                <w:rFonts w:cs="Times New Roman"/>
                <w:sz w:val="24"/>
                <w:szCs w:val="24"/>
              </w:rPr>
            </w:pPr>
            <w:r w:rsidRPr="00F6688F">
              <w:rPr>
                <w:rFonts w:eastAsia="Times New Roman" w:cs="Times New Roman"/>
                <w:b/>
                <w:bCs/>
                <w:color w:val="000000" w:themeColor="text1"/>
                <w:sz w:val="24"/>
                <w:szCs w:val="24"/>
              </w:rPr>
              <w:t>n</w:t>
            </w:r>
          </w:p>
        </w:tc>
        <w:tc>
          <w:tcPr>
            <w:tcW w:w="793" w:type="dxa"/>
            <w:tcBorders>
              <w:top w:val="single" w:sz="4" w:space="0" w:color="auto"/>
              <w:bottom w:val="single" w:sz="4" w:space="0" w:color="auto"/>
            </w:tcBorders>
          </w:tcPr>
          <w:p w14:paraId="0A21C518" w14:textId="77777777" w:rsidR="003E0838" w:rsidRPr="00F6688F" w:rsidRDefault="003E0838" w:rsidP="003136BB">
            <w:pPr>
              <w:jc w:val="center"/>
              <w:rPr>
                <w:rFonts w:cs="Times New Roman"/>
                <w:sz w:val="24"/>
                <w:szCs w:val="24"/>
              </w:rPr>
            </w:pPr>
            <w:r w:rsidRPr="00F6688F">
              <w:rPr>
                <w:rFonts w:eastAsia="Times New Roman" w:cs="Times New Roman"/>
                <w:b/>
                <w:bCs/>
                <w:color w:val="000000" w:themeColor="text1"/>
                <w:sz w:val="24"/>
                <w:szCs w:val="24"/>
              </w:rPr>
              <w:t>OR</w:t>
            </w:r>
          </w:p>
        </w:tc>
        <w:tc>
          <w:tcPr>
            <w:tcW w:w="1219" w:type="dxa"/>
            <w:tcBorders>
              <w:top w:val="single" w:sz="4" w:space="0" w:color="auto"/>
              <w:bottom w:val="single" w:sz="4" w:space="0" w:color="auto"/>
            </w:tcBorders>
          </w:tcPr>
          <w:p w14:paraId="4C92DCE5" w14:textId="77777777" w:rsidR="003E0838" w:rsidRPr="00F6688F" w:rsidRDefault="003E0838" w:rsidP="003136BB">
            <w:pPr>
              <w:jc w:val="center"/>
              <w:rPr>
                <w:rFonts w:cs="Times New Roman"/>
                <w:sz w:val="24"/>
                <w:szCs w:val="24"/>
              </w:rPr>
            </w:pPr>
            <w:r w:rsidRPr="00F6688F">
              <w:rPr>
                <w:rFonts w:eastAsia="Times New Roman" w:cs="Times New Roman"/>
                <w:b/>
                <w:bCs/>
                <w:color w:val="000000" w:themeColor="text1"/>
                <w:sz w:val="24"/>
                <w:szCs w:val="24"/>
              </w:rPr>
              <w:t>95% CI</w:t>
            </w:r>
          </w:p>
        </w:tc>
        <w:tc>
          <w:tcPr>
            <w:tcW w:w="1054" w:type="dxa"/>
            <w:tcBorders>
              <w:top w:val="single" w:sz="4" w:space="0" w:color="auto"/>
              <w:bottom w:val="single" w:sz="4" w:space="0" w:color="auto"/>
            </w:tcBorders>
          </w:tcPr>
          <w:p w14:paraId="3931195B" w14:textId="77777777" w:rsidR="003E0838" w:rsidRPr="00F6688F" w:rsidRDefault="003E0838" w:rsidP="003136BB">
            <w:pPr>
              <w:jc w:val="center"/>
              <w:rPr>
                <w:rFonts w:cs="Times New Roman"/>
                <w:sz w:val="24"/>
                <w:szCs w:val="24"/>
              </w:rPr>
            </w:pPr>
            <w:r w:rsidRPr="00F6688F">
              <w:rPr>
                <w:rFonts w:eastAsia="Times New Roman" w:cs="Times New Roman"/>
                <w:b/>
                <w:bCs/>
                <w:color w:val="000000" w:themeColor="text1"/>
                <w:sz w:val="24"/>
                <w:szCs w:val="24"/>
              </w:rPr>
              <w:t>P value</w:t>
            </w:r>
          </w:p>
        </w:tc>
      </w:tr>
      <w:tr w:rsidR="003E0838" w:rsidRPr="00F6688F" w14:paraId="3E60D430" w14:textId="77777777" w:rsidTr="003136BB">
        <w:trPr>
          <w:trHeight w:val="300"/>
        </w:trPr>
        <w:tc>
          <w:tcPr>
            <w:tcW w:w="2391" w:type="dxa"/>
            <w:tcBorders>
              <w:top w:val="single" w:sz="4" w:space="0" w:color="auto"/>
            </w:tcBorders>
          </w:tcPr>
          <w:p w14:paraId="2CDF5CC4" w14:textId="77777777" w:rsidR="003E0838" w:rsidRPr="00F6688F" w:rsidRDefault="003E0838" w:rsidP="003136BB">
            <w:pPr>
              <w:rPr>
                <w:rFonts w:cs="Times New Roman"/>
                <w:sz w:val="24"/>
                <w:szCs w:val="24"/>
              </w:rPr>
            </w:pPr>
            <w:r w:rsidRPr="00F6688F">
              <w:rPr>
                <w:rFonts w:eastAsia="Times New Roman" w:cs="Times New Roman"/>
                <w:sz w:val="24"/>
                <w:szCs w:val="24"/>
              </w:rPr>
              <w:t>Non-private insurance</w:t>
            </w:r>
          </w:p>
        </w:tc>
        <w:tc>
          <w:tcPr>
            <w:tcW w:w="3632" w:type="dxa"/>
            <w:tcBorders>
              <w:top w:val="single" w:sz="4" w:space="0" w:color="auto"/>
            </w:tcBorders>
          </w:tcPr>
          <w:p w14:paraId="0FF6A50C"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Per 0.1 increase in Houston-area census tract–level SVI</w:t>
            </w:r>
          </w:p>
        </w:tc>
        <w:tc>
          <w:tcPr>
            <w:tcW w:w="687" w:type="dxa"/>
            <w:tcBorders>
              <w:top w:val="single" w:sz="4" w:space="0" w:color="auto"/>
            </w:tcBorders>
          </w:tcPr>
          <w:p w14:paraId="042668AC"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261</w:t>
            </w:r>
          </w:p>
        </w:tc>
        <w:tc>
          <w:tcPr>
            <w:tcW w:w="793" w:type="dxa"/>
            <w:tcBorders>
              <w:top w:val="single" w:sz="4" w:space="0" w:color="auto"/>
            </w:tcBorders>
          </w:tcPr>
          <w:p w14:paraId="508A4183"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1.14</w:t>
            </w:r>
          </w:p>
        </w:tc>
        <w:tc>
          <w:tcPr>
            <w:tcW w:w="1219" w:type="dxa"/>
            <w:tcBorders>
              <w:top w:val="single" w:sz="4" w:space="0" w:color="auto"/>
            </w:tcBorders>
          </w:tcPr>
          <w:p w14:paraId="63000CD0"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1.00–1.28</w:t>
            </w:r>
          </w:p>
        </w:tc>
        <w:tc>
          <w:tcPr>
            <w:tcW w:w="1054" w:type="dxa"/>
            <w:tcBorders>
              <w:top w:val="single" w:sz="4" w:space="0" w:color="auto"/>
            </w:tcBorders>
          </w:tcPr>
          <w:p w14:paraId="13F879AE"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0.044</w:t>
            </w:r>
          </w:p>
        </w:tc>
      </w:tr>
      <w:tr w:rsidR="003E0838" w:rsidRPr="00F6688F" w14:paraId="3AD0C4B3" w14:textId="77777777" w:rsidTr="003136BB">
        <w:trPr>
          <w:trHeight w:val="300"/>
        </w:trPr>
        <w:tc>
          <w:tcPr>
            <w:tcW w:w="2391" w:type="dxa"/>
          </w:tcPr>
          <w:p w14:paraId="23B91652" w14:textId="77777777" w:rsidR="003E0838" w:rsidRPr="00F6688F" w:rsidRDefault="003E0838" w:rsidP="003136BB">
            <w:pPr>
              <w:rPr>
                <w:rFonts w:cs="Times New Roman"/>
                <w:sz w:val="24"/>
                <w:szCs w:val="24"/>
              </w:rPr>
            </w:pPr>
            <w:r w:rsidRPr="00F6688F">
              <w:rPr>
                <w:rFonts w:eastAsia="Times New Roman" w:cs="Times New Roman"/>
                <w:sz w:val="24"/>
                <w:szCs w:val="24"/>
              </w:rPr>
              <w:t>Non-private insurance</w:t>
            </w:r>
          </w:p>
        </w:tc>
        <w:tc>
          <w:tcPr>
            <w:tcW w:w="3632" w:type="dxa"/>
          </w:tcPr>
          <w:p w14:paraId="0E9A1C50"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Quartile 4 vs quartile 1</w:t>
            </w:r>
          </w:p>
        </w:tc>
        <w:tc>
          <w:tcPr>
            <w:tcW w:w="687" w:type="dxa"/>
          </w:tcPr>
          <w:p w14:paraId="493CD858"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261</w:t>
            </w:r>
          </w:p>
        </w:tc>
        <w:tc>
          <w:tcPr>
            <w:tcW w:w="793" w:type="dxa"/>
          </w:tcPr>
          <w:p w14:paraId="3E44730C"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2.39</w:t>
            </w:r>
          </w:p>
        </w:tc>
        <w:tc>
          <w:tcPr>
            <w:tcW w:w="1219" w:type="dxa"/>
          </w:tcPr>
          <w:p w14:paraId="62FE6D59"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1.06–5.41</w:t>
            </w:r>
          </w:p>
        </w:tc>
        <w:tc>
          <w:tcPr>
            <w:tcW w:w="1054" w:type="dxa"/>
          </w:tcPr>
          <w:p w14:paraId="55B5CEF1"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0.036</w:t>
            </w:r>
          </w:p>
        </w:tc>
      </w:tr>
      <w:tr w:rsidR="003E0838" w:rsidRPr="00F6688F" w14:paraId="55F95EE6" w14:textId="77777777" w:rsidTr="003136BB">
        <w:trPr>
          <w:trHeight w:val="300"/>
        </w:trPr>
        <w:tc>
          <w:tcPr>
            <w:tcW w:w="2391" w:type="dxa"/>
          </w:tcPr>
          <w:p w14:paraId="7616D600" w14:textId="77777777" w:rsidR="003E0838" w:rsidRPr="00F6688F" w:rsidRDefault="003E0838" w:rsidP="003136BB">
            <w:pPr>
              <w:rPr>
                <w:rFonts w:cs="Times New Roman"/>
                <w:sz w:val="24"/>
                <w:szCs w:val="24"/>
              </w:rPr>
            </w:pPr>
            <w:r w:rsidRPr="00F6688F">
              <w:rPr>
                <w:rFonts w:eastAsia="Times New Roman" w:cs="Times New Roman"/>
                <w:sz w:val="24"/>
                <w:szCs w:val="24"/>
              </w:rPr>
              <w:t>Less than gross total resection</w:t>
            </w:r>
          </w:p>
        </w:tc>
        <w:tc>
          <w:tcPr>
            <w:tcW w:w="3632" w:type="dxa"/>
          </w:tcPr>
          <w:p w14:paraId="651CA912"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Per 0.1 increase in Houston-area census tract–level SVI</w:t>
            </w:r>
          </w:p>
        </w:tc>
        <w:tc>
          <w:tcPr>
            <w:tcW w:w="687" w:type="dxa"/>
          </w:tcPr>
          <w:p w14:paraId="178F071C"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261</w:t>
            </w:r>
          </w:p>
        </w:tc>
        <w:tc>
          <w:tcPr>
            <w:tcW w:w="793" w:type="dxa"/>
          </w:tcPr>
          <w:p w14:paraId="65108267"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1.10</w:t>
            </w:r>
          </w:p>
        </w:tc>
        <w:tc>
          <w:tcPr>
            <w:tcW w:w="1219" w:type="dxa"/>
          </w:tcPr>
          <w:p w14:paraId="4567A354"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0.99–1.23</w:t>
            </w:r>
          </w:p>
        </w:tc>
        <w:tc>
          <w:tcPr>
            <w:tcW w:w="1054" w:type="dxa"/>
          </w:tcPr>
          <w:p w14:paraId="33F1954C" w14:textId="77777777" w:rsidR="003E0838" w:rsidRPr="00F6688F" w:rsidRDefault="003E0838" w:rsidP="003136BB">
            <w:pPr>
              <w:jc w:val="center"/>
              <w:rPr>
                <w:rFonts w:cs="Times New Roman"/>
                <w:sz w:val="24"/>
                <w:szCs w:val="24"/>
              </w:rPr>
            </w:pPr>
            <w:r w:rsidRPr="00F6688F">
              <w:rPr>
                <w:rFonts w:eastAsia="Times New Roman" w:cs="Times New Roman"/>
                <w:sz w:val="24"/>
                <w:szCs w:val="24"/>
              </w:rPr>
              <w:t>0.070</w:t>
            </w:r>
          </w:p>
        </w:tc>
      </w:tr>
    </w:tbl>
    <w:p w14:paraId="5ABA72AC" w14:textId="77777777" w:rsidR="003E0838" w:rsidRPr="00F6688F" w:rsidRDefault="003E0838" w:rsidP="003E0838">
      <w:pPr>
        <w:spacing w:after="0" w:line="480" w:lineRule="auto"/>
        <w:rPr>
          <w:rFonts w:eastAsia="Times New Roman" w:cs="Times New Roman"/>
          <w:sz w:val="24"/>
          <w:szCs w:val="24"/>
        </w:rPr>
      </w:pPr>
      <w:r w:rsidRPr="00F6688F">
        <w:rPr>
          <w:rFonts w:eastAsia="Times New Roman" w:cs="Times New Roman"/>
          <w:sz w:val="24"/>
          <w:szCs w:val="24"/>
        </w:rPr>
        <w:t xml:space="preserve">Abbreviations: CI, confidence interval; FDR, false discovery rate; GBM, IDH-wildtype glioblastoma; KPS, Karnofsky Performance Status; OR, odds ratio; SVI, Social Vulnerability Index. </w:t>
      </w:r>
    </w:p>
    <w:p w14:paraId="3DCE1783" w14:textId="77777777" w:rsidR="003E0838" w:rsidRPr="00F6688F" w:rsidRDefault="003E0838" w:rsidP="003E0838">
      <w:pPr>
        <w:spacing w:after="0" w:line="480" w:lineRule="auto"/>
        <w:rPr>
          <w:rFonts w:eastAsia="Times New Roman" w:cs="Times New Roman"/>
          <w:sz w:val="24"/>
          <w:szCs w:val="24"/>
        </w:rPr>
      </w:pPr>
      <w:r>
        <w:lastRenderedPageBreak/>
        <w:t>a Screening results are based on comparisons across census tract–level SVI quartiles with Benjamini-Hochberg FDR correction. Insurance status did not remain significant after FDR correction in categorical screening, whereas binary non-private insurance was associated with census tract–level SVI in prespecified age- and sex-adjusted logistic models.</w:t>
      </w:r>
    </w:p>
    <w:p w14:paraId="2668CD11" w14:textId="77777777" w:rsidR="003E0838" w:rsidRPr="00F6688F" w:rsidRDefault="003E0838" w:rsidP="003E0838">
      <w:pPr>
        <w:rPr>
          <w:rFonts w:eastAsia="Times New Roman" w:cs="Times New Roman"/>
          <w:sz w:val="24"/>
          <w:szCs w:val="24"/>
        </w:rPr>
      </w:pPr>
      <w:r w:rsidRPr="00F6688F">
        <w:rPr>
          <w:rFonts w:eastAsia="Times New Roman" w:cs="Times New Roman"/>
          <w:sz w:val="24"/>
          <w:szCs w:val="24"/>
        </w:rPr>
        <w:br w:type="page"/>
      </w:r>
    </w:p>
    <w:p w14:paraId="1D8FBBCD" w14:textId="77777777" w:rsidR="00E023F9" w:rsidRDefault="00E023F9"/>
    <w:sectPr w:rsidR="00E023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38"/>
    <w:rsid w:val="000C4033"/>
    <w:rsid w:val="00173ED8"/>
    <w:rsid w:val="003E0838"/>
    <w:rsid w:val="004B42CB"/>
    <w:rsid w:val="005F2B46"/>
    <w:rsid w:val="006E1731"/>
    <w:rsid w:val="00866D74"/>
    <w:rsid w:val="00882A73"/>
    <w:rsid w:val="00890AB5"/>
    <w:rsid w:val="0095305D"/>
    <w:rsid w:val="00B260B7"/>
    <w:rsid w:val="00B85331"/>
    <w:rsid w:val="00DE7E69"/>
    <w:rsid w:val="00E023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0EA1F"/>
  <w15:chartTrackingRefBased/>
  <w15:docId w15:val="{F7AA4DEA-F973-4662-81FA-3C856D1E3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838"/>
    <w:pPr>
      <w:spacing w:after="200" w:line="276" w:lineRule="auto"/>
    </w:pPr>
    <w:rPr>
      <w:rFonts w:ascii="Times New Roman" w:eastAsiaTheme="minorEastAsia" w:hAnsi="Times New Roman"/>
      <w:kern w:val="0"/>
      <w:sz w:val="22"/>
      <w:szCs w:val="22"/>
      <w:lang w:val="en-US"/>
      <w14:ligatures w14:val="none"/>
    </w:rPr>
  </w:style>
  <w:style w:type="paragraph" w:styleId="Heading1">
    <w:name w:val="heading 1"/>
    <w:basedOn w:val="Normal"/>
    <w:next w:val="Normal"/>
    <w:link w:val="Heading1Char"/>
    <w:uiPriority w:val="9"/>
    <w:qFormat/>
    <w:rsid w:val="003E08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3E08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3E083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3E083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3E083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3E083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3E083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3E083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3E0838"/>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8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8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8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8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8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8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8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8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838"/>
    <w:rPr>
      <w:rFonts w:eastAsiaTheme="majorEastAsia" w:cstheme="majorBidi"/>
      <w:color w:val="272727" w:themeColor="text1" w:themeTint="D8"/>
    </w:rPr>
  </w:style>
  <w:style w:type="paragraph" w:styleId="Title">
    <w:name w:val="Title"/>
    <w:basedOn w:val="Normal"/>
    <w:next w:val="Normal"/>
    <w:link w:val="TitleChar"/>
    <w:uiPriority w:val="10"/>
    <w:qFormat/>
    <w:rsid w:val="003E0838"/>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3E08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83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3E08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838"/>
    <w:pPr>
      <w:spacing w:before="160" w:after="160" w:line="278" w:lineRule="auto"/>
      <w:jc w:val="center"/>
    </w:pPr>
    <w:rPr>
      <w:rFonts w:asciiTheme="minorHAnsi" w:eastAsiaTheme="minorHAnsi" w:hAnsiTheme="minorHAnsi"/>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3E0838"/>
    <w:rPr>
      <w:i/>
      <w:iCs/>
      <w:color w:val="404040" w:themeColor="text1" w:themeTint="BF"/>
    </w:rPr>
  </w:style>
  <w:style w:type="paragraph" w:styleId="ListParagraph">
    <w:name w:val="List Paragraph"/>
    <w:basedOn w:val="Normal"/>
    <w:uiPriority w:val="34"/>
    <w:qFormat/>
    <w:rsid w:val="003E0838"/>
    <w:pPr>
      <w:spacing w:after="160" w:line="278" w:lineRule="auto"/>
      <w:ind w:left="720"/>
      <w:contextualSpacing/>
    </w:pPr>
    <w:rPr>
      <w:rFonts w:asciiTheme="minorHAnsi" w:eastAsiaTheme="minorHAnsi" w:hAnsiTheme="minorHAnsi"/>
      <w:kern w:val="2"/>
      <w:sz w:val="24"/>
      <w:szCs w:val="24"/>
      <w:lang w:val="en-IN"/>
      <w14:ligatures w14:val="standardContextual"/>
    </w:rPr>
  </w:style>
  <w:style w:type="character" w:styleId="IntenseEmphasis">
    <w:name w:val="Intense Emphasis"/>
    <w:basedOn w:val="DefaultParagraphFont"/>
    <w:uiPriority w:val="21"/>
    <w:qFormat/>
    <w:rsid w:val="003E0838"/>
    <w:rPr>
      <w:i/>
      <w:iCs/>
      <w:color w:val="0F4761" w:themeColor="accent1" w:themeShade="BF"/>
    </w:rPr>
  </w:style>
  <w:style w:type="paragraph" w:styleId="IntenseQuote">
    <w:name w:val="Intense Quote"/>
    <w:basedOn w:val="Normal"/>
    <w:next w:val="Normal"/>
    <w:link w:val="IntenseQuoteChar"/>
    <w:uiPriority w:val="30"/>
    <w:qFormat/>
    <w:rsid w:val="003E083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3E0838"/>
    <w:rPr>
      <w:i/>
      <w:iCs/>
      <w:color w:val="0F4761" w:themeColor="accent1" w:themeShade="BF"/>
    </w:rPr>
  </w:style>
  <w:style w:type="character" w:styleId="IntenseReference">
    <w:name w:val="Intense Reference"/>
    <w:basedOn w:val="DefaultParagraphFont"/>
    <w:uiPriority w:val="32"/>
    <w:qFormat/>
    <w:rsid w:val="003E0838"/>
    <w:rPr>
      <w:b/>
      <w:bCs/>
      <w:smallCaps/>
      <w:color w:val="0F4761" w:themeColor="accent1" w:themeShade="BF"/>
      <w:spacing w:val="5"/>
    </w:rPr>
  </w:style>
  <w:style w:type="table" w:styleId="TableGrid">
    <w:name w:val="Table Grid"/>
    <w:basedOn w:val="TableNormal"/>
    <w:uiPriority w:val="59"/>
    <w:rsid w:val="003E0838"/>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740</Words>
  <Characters>4223</Characters>
  <Application>Microsoft Office Word</Application>
  <DocSecurity>0</DocSecurity>
  <Lines>35</Lines>
  <Paragraphs>9</Paragraphs>
  <ScaleCrop>false</ScaleCrop>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 Sudge</dc:creator>
  <cp:keywords/>
  <dc:description/>
  <cp:lastModifiedBy>Trupti Sudge</cp:lastModifiedBy>
  <cp:revision>1</cp:revision>
  <dcterms:created xsi:type="dcterms:W3CDTF">2026-06-08T10:09:00Z</dcterms:created>
  <dcterms:modified xsi:type="dcterms:W3CDTF">2026-06-08T10:09:00Z</dcterms:modified>
</cp:coreProperties>
</file>