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29C4" w14:textId="77777777" w:rsidR="005C75B9" w:rsidRPr="00F6688F" w:rsidRDefault="005C75B9" w:rsidP="005C75B9">
      <w:pPr>
        <w:spacing w:after="0" w:line="480" w:lineRule="auto"/>
        <w:rPr>
          <w:rFonts w:cs="Times New Roman"/>
          <w:sz w:val="24"/>
          <w:szCs w:val="24"/>
        </w:rPr>
      </w:pPr>
      <w:r w:rsidRPr="00F6688F">
        <w:rPr>
          <w:rFonts w:eastAsia="Times New Roman" w:cs="Times New Roman"/>
          <w:b/>
          <w:bCs/>
          <w:sz w:val="24"/>
          <w:szCs w:val="24"/>
        </w:rPr>
        <w:t>Supplementary Table 1. Treatment-augmented sensitivity models</w:t>
      </w:r>
      <w:r w:rsidRPr="00F6688F">
        <w:rPr>
          <w:rFonts w:eastAsia="Times New Roman" w:cs="Times New Roman"/>
          <w:b/>
          <w:bCs/>
          <w:sz w:val="24"/>
          <w:szCs w:val="24"/>
          <w:vertAlign w:val="superscript"/>
        </w:rPr>
        <w:t>a</w:t>
      </w:r>
      <w:r w:rsidRPr="00F6688F">
        <w:rPr>
          <w:rFonts w:eastAsia="Times New Roman" w:cs="Times New Roman"/>
          <w:b/>
          <w:bCs/>
          <w:sz w:val="24"/>
          <w:szCs w:val="24"/>
        </w:rPr>
        <w:t xml:space="preserve"> for SVI and overall survival in GBM</w:t>
      </w:r>
    </w:p>
    <w:tbl>
      <w:tblPr>
        <w:tblStyle w:val="TableGrid"/>
        <w:tblW w:w="96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3188"/>
        <w:gridCol w:w="793"/>
        <w:gridCol w:w="923"/>
        <w:gridCol w:w="793"/>
        <w:gridCol w:w="1361"/>
        <w:gridCol w:w="976"/>
      </w:tblGrid>
      <w:tr w:rsidR="005C75B9" w:rsidRPr="00F6688F" w14:paraId="087FE324" w14:textId="77777777" w:rsidTr="003136BB">
        <w:trPr>
          <w:trHeight w:val="300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14:paraId="70E5EF6F" w14:textId="77777777" w:rsidR="005C75B9" w:rsidRPr="00F6688F" w:rsidRDefault="005C75B9" w:rsidP="003136BB">
            <w:pPr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SVI scale</w:t>
            </w:r>
          </w:p>
        </w:tc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401F6E1C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SVI measure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14:paraId="10CFFA85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14:paraId="15CA8BB2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Deaths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14:paraId="165DFB2A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HR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2E794962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95% CI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7E01073E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5C75B9" w:rsidRPr="00F6688F" w14:paraId="15832610" w14:textId="77777777" w:rsidTr="003136BB">
        <w:trPr>
          <w:trHeight w:val="300"/>
        </w:trPr>
        <w:tc>
          <w:tcPr>
            <w:tcW w:w="1588" w:type="dxa"/>
            <w:tcBorders>
              <w:top w:val="single" w:sz="4" w:space="0" w:color="auto"/>
            </w:tcBorders>
          </w:tcPr>
          <w:p w14:paraId="2D399B3F" w14:textId="77777777" w:rsidR="005C75B9" w:rsidRPr="00F6688F" w:rsidRDefault="005C75B9" w:rsidP="003136BB">
            <w:pPr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County</w:t>
            </w:r>
          </w:p>
        </w:tc>
        <w:tc>
          <w:tcPr>
            <w:tcW w:w="3188" w:type="dxa"/>
            <w:tcBorders>
              <w:top w:val="single" w:sz="4" w:space="0" w:color="auto"/>
            </w:tcBorders>
          </w:tcPr>
          <w:p w14:paraId="16057816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Per 0.1 increase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6ADCA04F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397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CFED902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252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7D7E131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3FE6E8DF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0.97–1.06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18808536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0.486</w:t>
            </w:r>
          </w:p>
        </w:tc>
      </w:tr>
      <w:tr w:rsidR="005C75B9" w:rsidRPr="00F6688F" w14:paraId="69CF12B4" w14:textId="77777777" w:rsidTr="003136BB">
        <w:trPr>
          <w:trHeight w:val="300"/>
        </w:trPr>
        <w:tc>
          <w:tcPr>
            <w:tcW w:w="1588" w:type="dxa"/>
          </w:tcPr>
          <w:p w14:paraId="6357E530" w14:textId="77777777" w:rsidR="005C75B9" w:rsidRPr="00F6688F" w:rsidRDefault="005C75B9" w:rsidP="003136BB">
            <w:pPr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County</w:t>
            </w:r>
          </w:p>
        </w:tc>
        <w:tc>
          <w:tcPr>
            <w:tcW w:w="3188" w:type="dxa"/>
          </w:tcPr>
          <w:p w14:paraId="3E00572D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Quartile 2 vs quartile 1</w:t>
            </w:r>
          </w:p>
        </w:tc>
        <w:tc>
          <w:tcPr>
            <w:tcW w:w="793" w:type="dxa"/>
          </w:tcPr>
          <w:p w14:paraId="2E1D330A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397</w:t>
            </w:r>
          </w:p>
        </w:tc>
        <w:tc>
          <w:tcPr>
            <w:tcW w:w="923" w:type="dxa"/>
          </w:tcPr>
          <w:p w14:paraId="313BCA5F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252</w:t>
            </w:r>
          </w:p>
        </w:tc>
        <w:tc>
          <w:tcPr>
            <w:tcW w:w="793" w:type="dxa"/>
          </w:tcPr>
          <w:p w14:paraId="5DCF59C7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361" w:type="dxa"/>
          </w:tcPr>
          <w:p w14:paraId="76B41B21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0.71–1.78</w:t>
            </w:r>
          </w:p>
        </w:tc>
        <w:tc>
          <w:tcPr>
            <w:tcW w:w="976" w:type="dxa"/>
          </w:tcPr>
          <w:p w14:paraId="7681BA25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0.607</w:t>
            </w:r>
          </w:p>
        </w:tc>
      </w:tr>
      <w:tr w:rsidR="005C75B9" w:rsidRPr="00F6688F" w14:paraId="7059E009" w14:textId="77777777" w:rsidTr="003136BB">
        <w:trPr>
          <w:trHeight w:val="300"/>
        </w:trPr>
        <w:tc>
          <w:tcPr>
            <w:tcW w:w="1588" w:type="dxa"/>
          </w:tcPr>
          <w:p w14:paraId="480D6792" w14:textId="77777777" w:rsidR="005C75B9" w:rsidRPr="00F6688F" w:rsidRDefault="005C75B9" w:rsidP="003136BB">
            <w:pPr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County</w:t>
            </w:r>
          </w:p>
        </w:tc>
        <w:tc>
          <w:tcPr>
            <w:tcW w:w="3188" w:type="dxa"/>
          </w:tcPr>
          <w:p w14:paraId="454B2042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Quartile 3 vs quartile 1</w:t>
            </w:r>
          </w:p>
        </w:tc>
        <w:tc>
          <w:tcPr>
            <w:tcW w:w="793" w:type="dxa"/>
          </w:tcPr>
          <w:p w14:paraId="6E21641B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397</w:t>
            </w:r>
          </w:p>
        </w:tc>
        <w:tc>
          <w:tcPr>
            <w:tcW w:w="923" w:type="dxa"/>
          </w:tcPr>
          <w:p w14:paraId="120A61BD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252</w:t>
            </w:r>
          </w:p>
        </w:tc>
        <w:tc>
          <w:tcPr>
            <w:tcW w:w="793" w:type="dxa"/>
          </w:tcPr>
          <w:p w14:paraId="335441F0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361" w:type="dxa"/>
          </w:tcPr>
          <w:p w14:paraId="42726975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0.66–1.52</w:t>
            </w:r>
          </w:p>
        </w:tc>
        <w:tc>
          <w:tcPr>
            <w:tcW w:w="976" w:type="dxa"/>
          </w:tcPr>
          <w:p w14:paraId="3A447C1B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0.994</w:t>
            </w:r>
          </w:p>
        </w:tc>
      </w:tr>
      <w:tr w:rsidR="005C75B9" w:rsidRPr="00F6688F" w14:paraId="35039B7D" w14:textId="77777777" w:rsidTr="003136BB">
        <w:trPr>
          <w:trHeight w:val="300"/>
        </w:trPr>
        <w:tc>
          <w:tcPr>
            <w:tcW w:w="1588" w:type="dxa"/>
          </w:tcPr>
          <w:p w14:paraId="42F4BD5E" w14:textId="77777777" w:rsidR="005C75B9" w:rsidRPr="00F6688F" w:rsidRDefault="005C75B9" w:rsidP="003136BB">
            <w:pPr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County</w:t>
            </w:r>
          </w:p>
        </w:tc>
        <w:tc>
          <w:tcPr>
            <w:tcW w:w="3188" w:type="dxa"/>
          </w:tcPr>
          <w:p w14:paraId="4211A1FB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Quartile 4 vs quartile 1</w:t>
            </w:r>
          </w:p>
        </w:tc>
        <w:tc>
          <w:tcPr>
            <w:tcW w:w="793" w:type="dxa"/>
          </w:tcPr>
          <w:p w14:paraId="397FE410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397</w:t>
            </w:r>
          </w:p>
        </w:tc>
        <w:tc>
          <w:tcPr>
            <w:tcW w:w="923" w:type="dxa"/>
          </w:tcPr>
          <w:p w14:paraId="7A5D1765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252</w:t>
            </w:r>
          </w:p>
        </w:tc>
        <w:tc>
          <w:tcPr>
            <w:tcW w:w="793" w:type="dxa"/>
          </w:tcPr>
          <w:p w14:paraId="605778DF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361" w:type="dxa"/>
          </w:tcPr>
          <w:p w14:paraId="16C4F488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0.83–1.60</w:t>
            </w:r>
          </w:p>
        </w:tc>
        <w:tc>
          <w:tcPr>
            <w:tcW w:w="976" w:type="dxa"/>
          </w:tcPr>
          <w:p w14:paraId="1CE5C001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0.387</w:t>
            </w:r>
          </w:p>
        </w:tc>
      </w:tr>
      <w:tr w:rsidR="005C75B9" w:rsidRPr="00F6688F" w14:paraId="6BD98C0F" w14:textId="77777777" w:rsidTr="003136BB">
        <w:trPr>
          <w:trHeight w:val="300"/>
        </w:trPr>
        <w:tc>
          <w:tcPr>
            <w:tcW w:w="1588" w:type="dxa"/>
          </w:tcPr>
          <w:p w14:paraId="6670DBEE" w14:textId="77777777" w:rsidR="005C75B9" w:rsidRPr="00F6688F" w:rsidRDefault="005C75B9" w:rsidP="003136BB">
            <w:pPr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Census tract</w:t>
            </w:r>
          </w:p>
        </w:tc>
        <w:tc>
          <w:tcPr>
            <w:tcW w:w="3188" w:type="dxa"/>
          </w:tcPr>
          <w:p w14:paraId="12B22B48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Per 0.1 increase</w:t>
            </w:r>
          </w:p>
        </w:tc>
        <w:tc>
          <w:tcPr>
            <w:tcW w:w="793" w:type="dxa"/>
          </w:tcPr>
          <w:p w14:paraId="58331942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261</w:t>
            </w:r>
          </w:p>
        </w:tc>
        <w:tc>
          <w:tcPr>
            <w:tcW w:w="923" w:type="dxa"/>
          </w:tcPr>
          <w:p w14:paraId="3B5CEA58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157</w:t>
            </w:r>
          </w:p>
        </w:tc>
        <w:tc>
          <w:tcPr>
            <w:tcW w:w="793" w:type="dxa"/>
          </w:tcPr>
          <w:p w14:paraId="769704FC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1.07</w:t>
            </w:r>
          </w:p>
        </w:tc>
        <w:tc>
          <w:tcPr>
            <w:tcW w:w="1361" w:type="dxa"/>
          </w:tcPr>
          <w:p w14:paraId="1AA741A4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1.00–1.15</w:t>
            </w:r>
          </w:p>
        </w:tc>
        <w:tc>
          <w:tcPr>
            <w:tcW w:w="976" w:type="dxa"/>
          </w:tcPr>
          <w:p w14:paraId="1D8E016E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0.055</w:t>
            </w:r>
          </w:p>
        </w:tc>
      </w:tr>
      <w:tr w:rsidR="005C75B9" w:rsidRPr="00F6688F" w14:paraId="3491B9E6" w14:textId="77777777" w:rsidTr="003136BB">
        <w:trPr>
          <w:trHeight w:val="300"/>
        </w:trPr>
        <w:tc>
          <w:tcPr>
            <w:tcW w:w="1588" w:type="dxa"/>
          </w:tcPr>
          <w:p w14:paraId="13DF1702" w14:textId="77777777" w:rsidR="005C75B9" w:rsidRPr="00F6688F" w:rsidRDefault="005C75B9" w:rsidP="003136BB">
            <w:pPr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Census tract</w:t>
            </w:r>
          </w:p>
        </w:tc>
        <w:tc>
          <w:tcPr>
            <w:tcW w:w="3188" w:type="dxa"/>
          </w:tcPr>
          <w:p w14:paraId="70826F6E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Quartile 2 vs quartile 1</w:t>
            </w:r>
          </w:p>
        </w:tc>
        <w:tc>
          <w:tcPr>
            <w:tcW w:w="793" w:type="dxa"/>
          </w:tcPr>
          <w:p w14:paraId="56F9C8A5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261</w:t>
            </w:r>
          </w:p>
        </w:tc>
        <w:tc>
          <w:tcPr>
            <w:tcW w:w="923" w:type="dxa"/>
          </w:tcPr>
          <w:p w14:paraId="47933B2E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157</w:t>
            </w:r>
          </w:p>
        </w:tc>
        <w:tc>
          <w:tcPr>
            <w:tcW w:w="793" w:type="dxa"/>
          </w:tcPr>
          <w:p w14:paraId="76523A5C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361" w:type="dxa"/>
          </w:tcPr>
          <w:p w14:paraId="4B95D5C8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0.73–1.87</w:t>
            </w:r>
          </w:p>
        </w:tc>
        <w:tc>
          <w:tcPr>
            <w:tcW w:w="976" w:type="dxa"/>
          </w:tcPr>
          <w:p w14:paraId="4E3724F5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0.504</w:t>
            </w:r>
          </w:p>
        </w:tc>
      </w:tr>
      <w:tr w:rsidR="005C75B9" w:rsidRPr="00F6688F" w14:paraId="15C9ED77" w14:textId="77777777" w:rsidTr="003136BB">
        <w:trPr>
          <w:trHeight w:val="300"/>
        </w:trPr>
        <w:tc>
          <w:tcPr>
            <w:tcW w:w="1588" w:type="dxa"/>
          </w:tcPr>
          <w:p w14:paraId="55957FCD" w14:textId="77777777" w:rsidR="005C75B9" w:rsidRPr="00F6688F" w:rsidRDefault="005C75B9" w:rsidP="003136BB">
            <w:pPr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Census tract</w:t>
            </w:r>
          </w:p>
        </w:tc>
        <w:tc>
          <w:tcPr>
            <w:tcW w:w="3188" w:type="dxa"/>
          </w:tcPr>
          <w:p w14:paraId="6354ADBE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Quartile 3 vs quartile 1</w:t>
            </w:r>
          </w:p>
        </w:tc>
        <w:tc>
          <w:tcPr>
            <w:tcW w:w="793" w:type="dxa"/>
          </w:tcPr>
          <w:p w14:paraId="429A3CCC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261</w:t>
            </w:r>
          </w:p>
        </w:tc>
        <w:tc>
          <w:tcPr>
            <w:tcW w:w="923" w:type="dxa"/>
          </w:tcPr>
          <w:p w14:paraId="321B31BB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157</w:t>
            </w:r>
          </w:p>
        </w:tc>
        <w:tc>
          <w:tcPr>
            <w:tcW w:w="793" w:type="dxa"/>
          </w:tcPr>
          <w:p w14:paraId="584FA1AF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1.36</w:t>
            </w:r>
          </w:p>
        </w:tc>
        <w:tc>
          <w:tcPr>
            <w:tcW w:w="1361" w:type="dxa"/>
          </w:tcPr>
          <w:p w14:paraId="01FA8CBF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0.84–2.18</w:t>
            </w:r>
          </w:p>
        </w:tc>
        <w:tc>
          <w:tcPr>
            <w:tcW w:w="976" w:type="dxa"/>
          </w:tcPr>
          <w:p w14:paraId="03F62A85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0.207</w:t>
            </w:r>
          </w:p>
        </w:tc>
      </w:tr>
      <w:tr w:rsidR="005C75B9" w:rsidRPr="00F6688F" w14:paraId="0C3A15A2" w14:textId="77777777" w:rsidTr="003136BB">
        <w:trPr>
          <w:trHeight w:val="300"/>
        </w:trPr>
        <w:tc>
          <w:tcPr>
            <w:tcW w:w="1588" w:type="dxa"/>
          </w:tcPr>
          <w:p w14:paraId="7EA79ABA" w14:textId="77777777" w:rsidR="005C75B9" w:rsidRPr="00F6688F" w:rsidRDefault="005C75B9" w:rsidP="003136BB">
            <w:pPr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Census tract</w:t>
            </w:r>
          </w:p>
        </w:tc>
        <w:tc>
          <w:tcPr>
            <w:tcW w:w="3188" w:type="dxa"/>
          </w:tcPr>
          <w:p w14:paraId="7EE7BE7A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Quartile 4 vs quartile 1</w:t>
            </w:r>
          </w:p>
        </w:tc>
        <w:tc>
          <w:tcPr>
            <w:tcW w:w="793" w:type="dxa"/>
          </w:tcPr>
          <w:p w14:paraId="1B833BF1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261</w:t>
            </w:r>
          </w:p>
        </w:tc>
        <w:tc>
          <w:tcPr>
            <w:tcW w:w="923" w:type="dxa"/>
          </w:tcPr>
          <w:p w14:paraId="149F5C81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157</w:t>
            </w:r>
          </w:p>
        </w:tc>
        <w:tc>
          <w:tcPr>
            <w:tcW w:w="793" w:type="dxa"/>
          </w:tcPr>
          <w:p w14:paraId="40AC6D12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1.63</w:t>
            </w:r>
          </w:p>
        </w:tc>
        <w:tc>
          <w:tcPr>
            <w:tcW w:w="1361" w:type="dxa"/>
          </w:tcPr>
          <w:p w14:paraId="31E12BD3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0.99–2.68</w:t>
            </w:r>
          </w:p>
        </w:tc>
        <w:tc>
          <w:tcPr>
            <w:tcW w:w="976" w:type="dxa"/>
          </w:tcPr>
          <w:p w14:paraId="265B00CA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0.056</w:t>
            </w:r>
          </w:p>
        </w:tc>
      </w:tr>
    </w:tbl>
    <w:p w14:paraId="2B5CAFEF" w14:textId="77777777" w:rsidR="005C75B9" w:rsidRPr="00F6688F" w:rsidRDefault="005C75B9" w:rsidP="005C75B9">
      <w:pPr>
        <w:spacing w:after="0" w:line="480" w:lineRule="auto"/>
        <w:rPr>
          <w:rFonts w:eastAsia="Times New Roman" w:cs="Times New Roman"/>
          <w:sz w:val="24"/>
          <w:szCs w:val="24"/>
        </w:rPr>
      </w:pPr>
      <w:r w:rsidRPr="00F6688F">
        <w:rPr>
          <w:rFonts w:eastAsia="Times New Roman" w:cs="Times New Roman"/>
          <w:sz w:val="24"/>
          <w:szCs w:val="24"/>
        </w:rPr>
        <w:t xml:space="preserve">Abbreviations: CI, confidence interval; GBM, IDH-wildtype glioblastoma; HR, hazard ratio; SVI, Social Vulnerability Index. </w:t>
      </w:r>
    </w:p>
    <w:p w14:paraId="1DD633A0" w14:textId="77777777" w:rsidR="005C75B9" w:rsidRPr="00F6688F" w:rsidRDefault="005C75B9" w:rsidP="005C75B9">
      <w:pPr>
        <w:spacing w:after="0" w:line="480" w:lineRule="auto"/>
        <w:rPr>
          <w:rFonts w:eastAsia="Times New Roman" w:cs="Times New Roman"/>
          <w:sz w:val="24"/>
          <w:szCs w:val="24"/>
        </w:rPr>
      </w:pPr>
      <w:r w:rsidRPr="00F6688F">
        <w:rPr>
          <w:rFonts w:eastAsia="Times New Roman" w:cs="Times New Roman"/>
          <w:sz w:val="24"/>
          <w:szCs w:val="24"/>
          <w:vertAlign w:val="superscript"/>
        </w:rPr>
        <w:t xml:space="preserve">a </w:t>
      </w:r>
      <w:r w:rsidRPr="00F6688F">
        <w:rPr>
          <w:rFonts w:eastAsia="Times New Roman" w:cs="Times New Roman"/>
          <w:sz w:val="24"/>
          <w:szCs w:val="24"/>
        </w:rPr>
        <w:t>Treatment-augmented models included the primary adjustment variables plus receipt of surgery, radiation therapy, chemotherapy, and clinical trial treatment.</w:t>
      </w:r>
    </w:p>
    <w:p w14:paraId="3D8745C3" w14:textId="77777777" w:rsidR="005C75B9" w:rsidRPr="00F6688F" w:rsidRDefault="005C75B9" w:rsidP="005C75B9">
      <w:pPr>
        <w:rPr>
          <w:rFonts w:eastAsia="Times New Roman" w:cs="Times New Roman"/>
          <w:sz w:val="24"/>
          <w:szCs w:val="24"/>
        </w:rPr>
      </w:pPr>
      <w:r w:rsidRPr="00F6688F">
        <w:rPr>
          <w:rFonts w:eastAsia="Times New Roman" w:cs="Times New Roman"/>
          <w:sz w:val="24"/>
          <w:szCs w:val="24"/>
        </w:rPr>
        <w:br w:type="page"/>
      </w:r>
    </w:p>
    <w:p w14:paraId="098C0C01" w14:textId="77777777" w:rsidR="005C75B9" w:rsidRPr="00F6688F" w:rsidRDefault="005C75B9" w:rsidP="005C75B9">
      <w:pPr>
        <w:spacing w:after="0" w:line="480" w:lineRule="auto"/>
        <w:rPr>
          <w:rFonts w:cs="Times New Roman"/>
          <w:sz w:val="24"/>
          <w:szCs w:val="24"/>
          <w:vertAlign w:val="superscript"/>
        </w:rPr>
      </w:pPr>
      <w:r w:rsidRPr="00F6688F">
        <w:rPr>
          <w:rFonts w:eastAsia="Times New Roman" w:cs="Times New Roman"/>
          <w:b/>
          <w:sz w:val="24"/>
          <w:szCs w:val="24"/>
        </w:rPr>
        <w:lastRenderedPageBreak/>
        <w:t>Supplementary Table 2. Secondary regional survival comparisons</w:t>
      </w:r>
      <w:r w:rsidRPr="00F6688F">
        <w:rPr>
          <w:rFonts w:eastAsia="Times New Roman" w:cs="Times New Roman"/>
          <w:b/>
          <w:sz w:val="24"/>
          <w:szCs w:val="24"/>
          <w:vertAlign w:val="superscript"/>
        </w:rPr>
        <w:t>a</w:t>
      </w:r>
    </w:p>
    <w:tbl>
      <w:tblPr>
        <w:tblStyle w:val="TableGrid"/>
        <w:tblW w:w="974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447"/>
        <w:gridCol w:w="2403"/>
        <w:gridCol w:w="2445"/>
      </w:tblGrid>
      <w:tr w:rsidR="005C75B9" w:rsidRPr="00F6688F" w14:paraId="2E562EA8" w14:textId="77777777" w:rsidTr="003136BB">
        <w:trPr>
          <w:tblHeader/>
          <w:jc w:val="center"/>
        </w:trPr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544C0" w14:textId="77777777" w:rsidR="005C75B9" w:rsidRPr="00F6688F" w:rsidRDefault="005C75B9" w:rsidP="003136BB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F6688F">
              <w:rPr>
                <w:rFonts w:eastAsia="Times New Roman" w:cs="Times New Roman"/>
                <w:b/>
                <w:sz w:val="24"/>
                <w:szCs w:val="24"/>
              </w:rPr>
              <w:t>Comparison</w:t>
            </w:r>
            <w:r w:rsidRPr="00F6688F">
              <w:rPr>
                <w:rFonts w:eastAsia="Times New Roman" w:cs="Times New Roman"/>
                <w:b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B510B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b/>
                <w:sz w:val="24"/>
                <w:szCs w:val="24"/>
              </w:rPr>
              <w:t>Cohort/analysis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0DDEE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b/>
                <w:sz w:val="24"/>
                <w:szCs w:val="24"/>
              </w:rPr>
              <w:t>Outcome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E9927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b/>
                <w:sz w:val="24"/>
                <w:szCs w:val="24"/>
              </w:rPr>
              <w:t>Result</w:t>
            </w:r>
          </w:p>
        </w:tc>
      </w:tr>
      <w:tr w:rsidR="005C75B9" w:rsidRPr="00F6688F" w14:paraId="3E87E507" w14:textId="77777777" w:rsidTr="003136BB">
        <w:trPr>
          <w:jc w:val="center"/>
        </w:trPr>
        <w:tc>
          <w:tcPr>
            <w:tcW w:w="2445" w:type="dxa"/>
            <w:tcBorders>
              <w:top w:val="single" w:sz="4" w:space="0" w:color="auto"/>
            </w:tcBorders>
          </w:tcPr>
          <w:p w14:paraId="3B48C137" w14:textId="77777777" w:rsidR="005C75B9" w:rsidRPr="00F6688F" w:rsidRDefault="005C75B9" w:rsidP="003136BB">
            <w:pPr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Houston-area vs non-Houston-area</w:t>
            </w:r>
          </w:p>
        </w:tc>
        <w:tc>
          <w:tcPr>
            <w:tcW w:w="2447" w:type="dxa"/>
            <w:tcBorders>
              <w:top w:val="single" w:sz="4" w:space="0" w:color="auto"/>
            </w:tcBorders>
          </w:tcPr>
          <w:p w14:paraId="7129412E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GBM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56B6789F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Median overall survival</w:t>
            </w:r>
          </w:p>
        </w:tc>
        <w:tc>
          <w:tcPr>
            <w:tcW w:w="2445" w:type="dxa"/>
            <w:tcBorders>
              <w:top w:val="single" w:sz="4" w:space="0" w:color="auto"/>
            </w:tcBorders>
          </w:tcPr>
          <w:p w14:paraId="313E4FCB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28.8 months vs 28.3 months</w:t>
            </w:r>
          </w:p>
        </w:tc>
      </w:tr>
      <w:tr w:rsidR="005C75B9" w:rsidRPr="00F6688F" w14:paraId="577D094A" w14:textId="77777777" w:rsidTr="003136BB">
        <w:trPr>
          <w:jc w:val="center"/>
        </w:trPr>
        <w:tc>
          <w:tcPr>
            <w:tcW w:w="2445" w:type="dxa"/>
          </w:tcPr>
          <w:p w14:paraId="7E6A25EA" w14:textId="77777777" w:rsidR="005C75B9" w:rsidRPr="00F6688F" w:rsidRDefault="005C75B9" w:rsidP="003136BB">
            <w:pPr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Houston-area vs non-Houston-area</w:t>
            </w:r>
          </w:p>
        </w:tc>
        <w:tc>
          <w:tcPr>
            <w:tcW w:w="2447" w:type="dxa"/>
          </w:tcPr>
          <w:p w14:paraId="493D832F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GBM</w:t>
            </w:r>
          </w:p>
        </w:tc>
        <w:tc>
          <w:tcPr>
            <w:tcW w:w="2403" w:type="dxa"/>
          </w:tcPr>
          <w:p w14:paraId="57DE819B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24-month overall survival</w:t>
            </w:r>
          </w:p>
        </w:tc>
        <w:tc>
          <w:tcPr>
            <w:tcW w:w="2445" w:type="dxa"/>
          </w:tcPr>
          <w:p w14:paraId="0E1F07DB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48.7% vs 47.9%</w:t>
            </w:r>
          </w:p>
        </w:tc>
      </w:tr>
      <w:tr w:rsidR="005C75B9" w:rsidRPr="00F6688F" w14:paraId="5D5B4DA5" w14:textId="77777777" w:rsidTr="003136BB">
        <w:trPr>
          <w:jc w:val="center"/>
        </w:trPr>
        <w:tc>
          <w:tcPr>
            <w:tcW w:w="2445" w:type="dxa"/>
          </w:tcPr>
          <w:p w14:paraId="72DA4694" w14:textId="77777777" w:rsidR="005C75B9" w:rsidRPr="00F6688F" w:rsidRDefault="005C75B9" w:rsidP="003136BB">
            <w:pPr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Houston-area vs non-Houston-area</w:t>
            </w:r>
          </w:p>
        </w:tc>
        <w:tc>
          <w:tcPr>
            <w:tcW w:w="2447" w:type="dxa"/>
          </w:tcPr>
          <w:p w14:paraId="3AD28EC8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Astrocytoma</w:t>
            </w:r>
            <w:r w:rsidRPr="00F6688F">
              <w:rPr>
                <w:rFonts w:eastAsia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403" w:type="dxa"/>
          </w:tcPr>
          <w:p w14:paraId="3ABC619A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Median overall survival</w:t>
            </w:r>
          </w:p>
        </w:tc>
        <w:tc>
          <w:tcPr>
            <w:tcW w:w="2445" w:type="dxa"/>
          </w:tcPr>
          <w:p w14:paraId="67F92DB4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Not reached</w:t>
            </w:r>
          </w:p>
        </w:tc>
      </w:tr>
      <w:tr w:rsidR="005C75B9" w:rsidRPr="00F6688F" w14:paraId="6C81CBE5" w14:textId="77777777" w:rsidTr="003136BB">
        <w:trPr>
          <w:jc w:val="center"/>
        </w:trPr>
        <w:tc>
          <w:tcPr>
            <w:tcW w:w="2445" w:type="dxa"/>
          </w:tcPr>
          <w:p w14:paraId="12BEAB6E" w14:textId="77777777" w:rsidR="005C75B9" w:rsidRPr="00F6688F" w:rsidRDefault="005C75B9" w:rsidP="003136BB">
            <w:pPr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Houston-area vs non-Houston-area</w:t>
            </w:r>
          </w:p>
        </w:tc>
        <w:tc>
          <w:tcPr>
            <w:tcW w:w="2447" w:type="dxa"/>
          </w:tcPr>
          <w:p w14:paraId="37C3516F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Astrocytoma</w:t>
            </w:r>
            <w:r w:rsidRPr="00F6688F">
              <w:rPr>
                <w:rFonts w:eastAsia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403" w:type="dxa"/>
          </w:tcPr>
          <w:p w14:paraId="5B17EB2F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24-month overall survival</w:t>
            </w:r>
          </w:p>
        </w:tc>
        <w:tc>
          <w:tcPr>
            <w:tcW w:w="2445" w:type="dxa"/>
          </w:tcPr>
          <w:p w14:paraId="3FA65E70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84.0% vs 86.5%</w:t>
            </w:r>
          </w:p>
        </w:tc>
      </w:tr>
      <w:tr w:rsidR="005C75B9" w:rsidRPr="00F6688F" w14:paraId="70D390B7" w14:textId="77777777" w:rsidTr="003136BB">
        <w:trPr>
          <w:jc w:val="center"/>
        </w:trPr>
        <w:tc>
          <w:tcPr>
            <w:tcW w:w="2445" w:type="dxa"/>
          </w:tcPr>
          <w:p w14:paraId="4A780EE5" w14:textId="77777777" w:rsidR="005C75B9" w:rsidRDefault="005C75B9" w:rsidP="003136BB">
            <w:r>
              <w:t>West Texas vs East Texas</w:t>
            </w:r>
          </w:p>
        </w:tc>
        <w:tc>
          <w:tcPr>
            <w:tcW w:w="2447" w:type="dxa"/>
          </w:tcPr>
          <w:p w14:paraId="7AE04705" w14:textId="77777777" w:rsidR="005C75B9" w:rsidRDefault="005C75B9" w:rsidP="003136BB">
            <w:r>
              <w:t>County-based regional comparison</w:t>
            </w:r>
          </w:p>
        </w:tc>
        <w:tc>
          <w:tcPr>
            <w:tcW w:w="2403" w:type="dxa"/>
          </w:tcPr>
          <w:p w14:paraId="0911973C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Median overall survival</w:t>
            </w:r>
          </w:p>
        </w:tc>
        <w:tc>
          <w:tcPr>
            <w:tcW w:w="2445" w:type="dxa"/>
          </w:tcPr>
          <w:p w14:paraId="02E39B90" w14:textId="77777777" w:rsidR="005C75B9" w:rsidRDefault="005C75B9" w:rsidP="003136BB">
            <w:r>
              <w:t>23.36 months vs 21.16 months</w:t>
            </w:r>
          </w:p>
        </w:tc>
      </w:tr>
      <w:tr w:rsidR="005C75B9" w:rsidRPr="00F6688F" w14:paraId="75B652BA" w14:textId="77777777" w:rsidTr="003136BB">
        <w:trPr>
          <w:jc w:val="center"/>
        </w:trPr>
        <w:tc>
          <w:tcPr>
            <w:tcW w:w="2445" w:type="dxa"/>
          </w:tcPr>
          <w:p w14:paraId="7F63BF87" w14:textId="77777777" w:rsidR="005C75B9" w:rsidRDefault="005C75B9" w:rsidP="003136BB">
            <w:r>
              <w:t>West Texas vs East Texas</w:t>
            </w:r>
          </w:p>
        </w:tc>
        <w:tc>
          <w:tcPr>
            <w:tcW w:w="2447" w:type="dxa"/>
          </w:tcPr>
          <w:p w14:paraId="30B7A956" w14:textId="77777777" w:rsidR="005C75B9" w:rsidRDefault="005C75B9" w:rsidP="003136BB">
            <w:r>
              <w:t>County-based regional comparison</w:t>
            </w:r>
          </w:p>
        </w:tc>
        <w:tc>
          <w:tcPr>
            <w:tcW w:w="2403" w:type="dxa"/>
          </w:tcPr>
          <w:p w14:paraId="10E8157F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Log-rank test</w:t>
            </w:r>
          </w:p>
        </w:tc>
        <w:tc>
          <w:tcPr>
            <w:tcW w:w="2445" w:type="dxa"/>
          </w:tcPr>
          <w:p w14:paraId="328D6707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χ²=4.704; P=0.030</w:t>
            </w:r>
          </w:p>
        </w:tc>
      </w:tr>
      <w:tr w:rsidR="005C75B9" w:rsidRPr="00F6688F" w14:paraId="72FC6316" w14:textId="77777777" w:rsidTr="003136BB">
        <w:trPr>
          <w:jc w:val="center"/>
        </w:trPr>
        <w:tc>
          <w:tcPr>
            <w:tcW w:w="2445" w:type="dxa"/>
          </w:tcPr>
          <w:p w14:paraId="6E90ABF1" w14:textId="77777777" w:rsidR="005C75B9" w:rsidRDefault="005C75B9" w:rsidP="003136BB">
            <w:r>
              <w:t>West Texas vs East Texas</w:t>
            </w:r>
          </w:p>
        </w:tc>
        <w:tc>
          <w:tcPr>
            <w:tcW w:w="2447" w:type="dxa"/>
          </w:tcPr>
          <w:p w14:paraId="3F213EDA" w14:textId="77777777" w:rsidR="005C75B9" w:rsidRDefault="005C75B9" w:rsidP="003136BB">
            <w:r>
              <w:t>County-based regional comparison</w:t>
            </w:r>
          </w:p>
        </w:tc>
        <w:tc>
          <w:tcPr>
            <w:tcW w:w="2403" w:type="dxa"/>
          </w:tcPr>
          <w:p w14:paraId="7975063C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Cox model</w:t>
            </w:r>
          </w:p>
        </w:tc>
        <w:tc>
          <w:tcPr>
            <w:tcW w:w="2445" w:type="dxa"/>
          </w:tcPr>
          <w:p w14:paraId="197D3239" w14:textId="77777777" w:rsidR="005C75B9" w:rsidRPr="00F6688F" w:rsidRDefault="005C75B9" w:rsidP="003136B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6688F">
              <w:rPr>
                <w:rFonts w:eastAsia="Times New Roman" w:cs="Times New Roman"/>
                <w:sz w:val="24"/>
                <w:szCs w:val="24"/>
              </w:rPr>
              <w:t>HR, 0.76; 95% CI, 0.58–0.99</w:t>
            </w:r>
          </w:p>
        </w:tc>
      </w:tr>
    </w:tbl>
    <w:p w14:paraId="57722D8A" w14:textId="77777777" w:rsidR="005C75B9" w:rsidRPr="00F6688F" w:rsidRDefault="005C75B9" w:rsidP="005C75B9">
      <w:pPr>
        <w:spacing w:after="0" w:line="480" w:lineRule="auto"/>
        <w:rPr>
          <w:rFonts w:eastAsia="Times New Roman" w:cs="Times New Roman"/>
          <w:sz w:val="24"/>
          <w:szCs w:val="24"/>
        </w:rPr>
      </w:pPr>
      <w:r w:rsidRPr="00F6688F">
        <w:rPr>
          <w:rFonts w:eastAsia="Times New Roman" w:cs="Times New Roman"/>
          <w:sz w:val="24"/>
          <w:szCs w:val="24"/>
        </w:rPr>
        <w:t xml:space="preserve">Abbreviations: CI, confidence interval; GBM, IDH-wildtype glioblastoma; HR, hazard ratio. </w:t>
      </w:r>
    </w:p>
    <w:p w14:paraId="5249EC5C" w14:textId="77777777" w:rsidR="005C75B9" w:rsidRPr="00F6688F" w:rsidRDefault="005C75B9" w:rsidP="005C75B9">
      <w:pPr>
        <w:spacing w:after="0" w:line="480" w:lineRule="auto"/>
        <w:rPr>
          <w:rFonts w:eastAsia="Times New Roman" w:cs="Times New Roman"/>
          <w:sz w:val="24"/>
          <w:szCs w:val="24"/>
        </w:rPr>
      </w:pPr>
      <w:r>
        <w:t>a These analyses were exploratory and contextual and were not part of the primary SVI survival models.</w:t>
      </w:r>
    </w:p>
    <w:p w14:paraId="78FD6E78" w14:textId="77777777" w:rsidR="005C75B9" w:rsidRPr="00F6688F" w:rsidRDefault="005C75B9" w:rsidP="005C75B9">
      <w:pPr>
        <w:spacing w:after="0" w:line="480" w:lineRule="auto"/>
        <w:rPr>
          <w:rFonts w:eastAsia="Times New Roman" w:cs="Times New Roman"/>
          <w:sz w:val="24"/>
          <w:szCs w:val="24"/>
        </w:rPr>
      </w:pPr>
      <w:r w:rsidRPr="00F6688F">
        <w:rPr>
          <w:rFonts w:eastAsia="Times New Roman" w:cs="Times New Roman"/>
          <w:sz w:val="24"/>
          <w:szCs w:val="24"/>
          <w:vertAlign w:val="superscript"/>
        </w:rPr>
        <w:t xml:space="preserve">b </w:t>
      </w:r>
      <w:r w:rsidRPr="00F6688F">
        <w:rPr>
          <w:rFonts w:eastAsia="Times New Roman" w:cs="Times New Roman"/>
          <w:sz w:val="24"/>
          <w:szCs w:val="24"/>
        </w:rPr>
        <w:t>Houston-area refers to the predefined 9-county region; non-Houston-area refers to Texas patients outside that region.</w:t>
      </w:r>
    </w:p>
    <w:p w14:paraId="2D83E4C3" w14:textId="77777777" w:rsidR="005C75B9" w:rsidRPr="00F6688F" w:rsidRDefault="005C75B9" w:rsidP="005C75B9">
      <w:pPr>
        <w:spacing w:after="0" w:line="480" w:lineRule="auto"/>
        <w:rPr>
          <w:rFonts w:eastAsia="Times New Roman" w:cs="Times New Roman"/>
          <w:sz w:val="24"/>
          <w:szCs w:val="24"/>
        </w:rPr>
      </w:pPr>
      <w:r w:rsidRPr="00F6688F">
        <w:rPr>
          <w:rFonts w:eastAsia="Times New Roman" w:cs="Times New Roman"/>
          <w:sz w:val="24"/>
          <w:szCs w:val="24"/>
          <w:vertAlign w:val="superscript"/>
        </w:rPr>
        <w:t>c</w:t>
      </w:r>
      <w:r w:rsidRPr="00F6688F">
        <w:rPr>
          <w:rFonts w:eastAsia="Times New Roman" w:cs="Times New Roman"/>
          <w:sz w:val="24"/>
          <w:szCs w:val="24"/>
          <w:vertAlign w:val="subscript"/>
        </w:rPr>
        <w:t xml:space="preserve"> </w:t>
      </w:r>
      <w:r w:rsidRPr="00F6688F">
        <w:rPr>
          <w:rFonts w:eastAsia="Times New Roman" w:cs="Times New Roman"/>
          <w:sz w:val="24"/>
          <w:szCs w:val="24"/>
        </w:rPr>
        <w:t xml:space="preserve">The astrocytoma cohort includes patients with IDH-mutant World Health Organization Central Nervous System grade 4 astrocytoma. </w:t>
      </w:r>
    </w:p>
    <w:p w14:paraId="37EBC75C" w14:textId="77777777" w:rsidR="005C75B9" w:rsidRPr="00F6688F" w:rsidRDefault="005C75B9" w:rsidP="005C75B9">
      <w:pPr>
        <w:rPr>
          <w:rFonts w:eastAsia="Times New Roman" w:cs="Times New Roman"/>
          <w:sz w:val="24"/>
          <w:szCs w:val="24"/>
        </w:rPr>
      </w:pPr>
      <w:r w:rsidRPr="00F6688F">
        <w:rPr>
          <w:rFonts w:eastAsia="Times New Roman" w:cs="Times New Roman"/>
          <w:sz w:val="24"/>
          <w:szCs w:val="24"/>
        </w:rPr>
        <w:br w:type="page"/>
      </w:r>
    </w:p>
    <w:p w14:paraId="4D4676A0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B9"/>
    <w:rsid w:val="000C4033"/>
    <w:rsid w:val="00173ED8"/>
    <w:rsid w:val="004B42CB"/>
    <w:rsid w:val="005C75B9"/>
    <w:rsid w:val="005F2B46"/>
    <w:rsid w:val="006E1731"/>
    <w:rsid w:val="00866D74"/>
    <w:rsid w:val="00882A73"/>
    <w:rsid w:val="00890AB5"/>
    <w:rsid w:val="0095305D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4696"/>
  <w15:chartTrackingRefBased/>
  <w15:docId w15:val="{666C7BDC-A059-4B3F-BD0D-AB12628C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5B9"/>
    <w:pPr>
      <w:spacing w:after="200" w:line="276" w:lineRule="auto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5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5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5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5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5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5B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5B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5B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5B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7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5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7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5B9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7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5B9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7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5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C75B9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2026-06-08T10:09:00Z</dcterms:created>
  <dcterms:modified xsi:type="dcterms:W3CDTF">2026-06-08T10:09:00Z</dcterms:modified>
</cp:coreProperties>
</file>