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55CFA" w:rsidP="7F561B82" w:rsidRDefault="2F77E749" w14:paraId="031FAB93" w14:textId="6ED3F487">
      <w:pPr>
        <w:pStyle w:val="Heading1"/>
        <w:rPr>
          <w:rFonts w:ascii="Cambria" w:hAnsi="Cambria" w:eastAsia="Cambria" w:cs="Cambria"/>
          <w:b w:val="1"/>
          <w:bCs w:val="1"/>
          <w:color w:val="auto"/>
          <w:sz w:val="24"/>
          <w:szCs w:val="24"/>
        </w:rPr>
      </w:pPr>
      <w:r w:rsidRPr="7EE87A31" w:rsidR="3F87FD63">
        <w:rPr>
          <w:rFonts w:ascii="Cambria" w:hAnsi="Cambria" w:eastAsia="Cambria" w:cs="Cambria"/>
          <w:b w:val="1"/>
          <w:bCs w:val="1"/>
          <w:color w:val="auto"/>
          <w:sz w:val="24"/>
          <w:szCs w:val="24"/>
        </w:rPr>
        <w:t>S</w:t>
      </w:r>
      <w:r w:rsidRPr="7EE87A31" w:rsidR="759E0780">
        <w:rPr>
          <w:rFonts w:ascii="Cambria" w:hAnsi="Cambria" w:eastAsia="Cambria" w:cs="Cambria"/>
          <w:b w:val="1"/>
          <w:bCs w:val="1"/>
          <w:color w:val="auto"/>
          <w:sz w:val="24"/>
          <w:szCs w:val="24"/>
        </w:rPr>
        <w:t>1</w:t>
      </w:r>
      <w:r w:rsidRPr="7EE87A31" w:rsidR="758B5DEA">
        <w:rPr>
          <w:rFonts w:ascii="Cambria" w:hAnsi="Cambria" w:eastAsia="Cambria" w:cs="Cambria"/>
          <w:b w:val="1"/>
          <w:bCs w:val="1"/>
          <w:color w:val="auto"/>
          <w:sz w:val="24"/>
          <w:szCs w:val="24"/>
        </w:rPr>
        <w:t>.</w:t>
      </w:r>
    </w:p>
    <w:p w:rsidR="00E55CFA" w:rsidP="0133F806" w:rsidRDefault="163B70A7" w14:paraId="39F617AE" w14:textId="1BC7285D">
      <w:pPr>
        <w:pStyle w:val="Normal"/>
        <w:jc w:val="both"/>
        <w:rPr>
          <w:rFonts w:ascii="Cambria" w:hAnsi="Cambria" w:eastAsia="Cambria" w:cs="Cambria"/>
        </w:rPr>
      </w:pPr>
      <w:r w:rsidR="24E02891">
        <w:drawing>
          <wp:inline wp14:editId="625CFD58" wp14:anchorId="712D77F3">
            <wp:extent cx="5943600" cy="2657475"/>
            <wp:effectExtent l="0" t="0" r="0" b="0"/>
            <wp:docPr id="132353331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23533315" name="Picture 1323533315"/>
                    <pic:cNvPicPr/>
                  </pic:nvPicPr>
                  <pic:blipFill>
                    <a:blip xmlns:r="http://schemas.openxmlformats.org/officeDocument/2006/relationships" r:embed="rId2104779449">
                      <a:extLst>
                        <a:ext uri="{28A0092B-C50C-407E-A947-70E740481C1C}">
                          <a14:useLocalDpi xmlns:a14="http://schemas.microsoft.com/office/drawing/2010/main"/>
                        </a:ext>
                      </a:extLst>
                    </a:blip>
                    <a:stretch>
                      <a:fillRect/>
                    </a:stretch>
                  </pic:blipFill>
                  <pic:spPr>
                    <a:xfrm>
                      <a:off x="0" y="0"/>
                      <a:ext cx="5943600" cy="2657475"/>
                    </a:xfrm>
                    <a:prstGeom prst="rect">
                      <a:avLst/>
                    </a:prstGeom>
                  </pic:spPr>
                </pic:pic>
              </a:graphicData>
            </a:graphic>
          </wp:inline>
        </w:drawing>
      </w:r>
      <w:r w:rsidRPr="7EE87A31" w:rsidR="0E991538">
        <w:rPr>
          <w:rFonts w:ascii="Cambria" w:hAnsi="Cambria" w:eastAsia="Cambria" w:cs="Cambria"/>
        </w:rPr>
        <w:t xml:space="preserve"> To test the sensitivity of the results to the definition of the winter SPV index, we compare correlations using both DJF and JFM-mean SPV indices. The resulting SPV–ISMR correlations are similar in </w:t>
      </w:r>
      <w:r w:rsidRPr="7EE87A31" w:rsidR="0E991538">
        <w:rPr>
          <w:rFonts w:ascii="Cambria" w:hAnsi="Cambria" w:eastAsia="Cambria" w:cs="Cambria"/>
        </w:rPr>
        <w:t>magnitude</w:t>
      </w:r>
      <w:r w:rsidRPr="7EE87A31" w:rsidR="0E991538">
        <w:rPr>
          <w:rFonts w:ascii="Cambria" w:hAnsi="Cambria" w:eastAsia="Cambria" w:cs="Cambria"/>
        </w:rPr>
        <w:t xml:space="preserve"> (r ≈ 0.12 for DJF and r ≈ 0.13 for JFM), </w:t>
      </w:r>
      <w:r w:rsidRPr="7EE87A31" w:rsidR="0E991538">
        <w:rPr>
          <w:rFonts w:ascii="Cambria" w:hAnsi="Cambria" w:eastAsia="Cambria" w:cs="Cambria"/>
        </w:rPr>
        <w:t>indicating</w:t>
      </w:r>
      <w:r w:rsidRPr="7EE87A31" w:rsidR="0E991538">
        <w:rPr>
          <w:rFonts w:ascii="Cambria" w:hAnsi="Cambria" w:eastAsia="Cambria" w:cs="Cambria"/>
        </w:rPr>
        <w:t xml:space="preserve"> that the identified relationship is not sensitive to the precise temporal averaging of winter stratospheric variability. This suggests that the relevant stratospheric signal persists from early to late winter, consistent with the seasonal evolution of SPV anomalies shown in Fig. </w:t>
      </w:r>
      <w:r w:rsidRPr="7EE87A31" w:rsidR="0E991538">
        <w:rPr>
          <w:rFonts w:ascii="Cambria" w:hAnsi="Cambria" w:eastAsia="Cambria" w:cs="Cambria"/>
        </w:rPr>
        <w:t>S1, and</w:t>
      </w:r>
      <w:r w:rsidRPr="7EE87A31" w:rsidR="0E991538">
        <w:rPr>
          <w:rFonts w:ascii="Cambria" w:hAnsi="Cambria" w:eastAsia="Cambria" w:cs="Cambria"/>
        </w:rPr>
        <w:t xml:space="preserve"> supports the robustness of the</w:t>
      </w:r>
      <w:r w:rsidRPr="7EE87A31" w:rsidR="42B60AE8">
        <w:rPr>
          <w:rFonts w:ascii="Cambria" w:hAnsi="Cambria" w:eastAsia="Cambria" w:cs="Cambria"/>
        </w:rPr>
        <w:t xml:space="preserve"> identified</w:t>
      </w:r>
      <w:r w:rsidRPr="7EE87A31" w:rsidR="0E991538">
        <w:rPr>
          <w:rFonts w:ascii="Cambria" w:hAnsi="Cambria" w:eastAsia="Cambria" w:cs="Cambria"/>
        </w:rPr>
        <w:t xml:space="preserve"> SPV–ISMR linkage.</w:t>
      </w:r>
    </w:p>
    <w:p w:rsidR="3D6F69D5" w:rsidP="0133F806" w:rsidRDefault="3D6F69D5" w14:paraId="53A65231" w14:textId="40E1A61C">
      <w:pPr>
        <w:pStyle w:val="Normal"/>
        <w:jc w:val="both"/>
      </w:pPr>
    </w:p>
    <w:p w:rsidR="7A5C523F" w:rsidP="7EE87A31" w:rsidRDefault="7A5C523F" w14:paraId="57DA472A" w14:textId="243FC417">
      <w:pPr>
        <w:pStyle w:val="Heading1"/>
        <w:rPr>
          <w:rFonts w:ascii="Cambria" w:hAnsi="Cambria" w:eastAsia="Cambria" w:cs="Cambria"/>
          <w:b w:val="1"/>
          <w:bCs w:val="1"/>
          <w:color w:val="auto"/>
          <w:sz w:val="24"/>
          <w:szCs w:val="24"/>
        </w:rPr>
      </w:pPr>
      <w:r w:rsidRPr="7EE87A31" w:rsidR="7A5C523F">
        <w:rPr>
          <w:rFonts w:ascii="Cambria" w:hAnsi="Cambria" w:eastAsia="Cambria" w:cs="Cambria"/>
          <w:b w:val="1"/>
          <w:bCs w:val="1"/>
          <w:color w:val="auto"/>
          <w:sz w:val="24"/>
          <w:szCs w:val="24"/>
        </w:rPr>
        <w:t xml:space="preserve">S2 </w:t>
      </w:r>
      <w:r w:rsidRPr="7EE87A31" w:rsidR="40EB8796">
        <w:rPr>
          <w:rFonts w:ascii="Cambria" w:hAnsi="Cambria" w:eastAsia="Cambria" w:cs="Cambria"/>
          <w:b w:val="1"/>
          <w:bCs w:val="1"/>
          <w:color w:val="auto"/>
          <w:sz w:val="24"/>
          <w:szCs w:val="24"/>
        </w:rPr>
        <w:t>Bootstrapped</w:t>
      </w:r>
      <w:r w:rsidRPr="7EE87A31" w:rsidR="7A5C523F">
        <w:rPr>
          <w:rFonts w:ascii="Cambria" w:hAnsi="Cambria" w:eastAsia="Cambria" w:cs="Cambria"/>
          <w:b w:val="1"/>
          <w:bCs w:val="1"/>
          <w:color w:val="auto"/>
          <w:sz w:val="24"/>
          <w:szCs w:val="24"/>
        </w:rPr>
        <w:t xml:space="preserve"> correlation across ENSO phases for a) observations and </w:t>
      </w:r>
      <w:r w:rsidRPr="7EE87A31" w:rsidR="692BA3DD">
        <w:rPr>
          <w:rFonts w:ascii="Cambria" w:hAnsi="Cambria" w:eastAsia="Cambria" w:cs="Cambria"/>
          <w:b w:val="1"/>
          <w:bCs w:val="1"/>
          <w:color w:val="auto"/>
          <w:sz w:val="24"/>
          <w:szCs w:val="24"/>
        </w:rPr>
        <w:t>b) CESM</w:t>
      </w:r>
      <w:r w:rsidRPr="7EE87A31" w:rsidR="7A5C523F">
        <w:rPr>
          <w:rFonts w:ascii="Cambria" w:hAnsi="Cambria" w:eastAsia="Cambria" w:cs="Cambria"/>
          <w:b w:val="1"/>
          <w:bCs w:val="1"/>
          <w:color w:val="auto"/>
          <w:sz w:val="24"/>
          <w:szCs w:val="24"/>
        </w:rPr>
        <w:t>2-LENS</w:t>
      </w:r>
    </w:p>
    <w:p w:rsidR="7EE87A31" w:rsidP="7EE87A31" w:rsidRDefault="7EE87A31" w14:paraId="6E22E5AE" w14:textId="3A827512">
      <w:pPr>
        <w:pStyle w:val="Normal"/>
        <w:jc w:val="both"/>
        <w:rPr>
          <w:rFonts w:ascii="Cambria" w:hAnsi="Cambria" w:eastAsia="Cambria" w:cs="Cambria"/>
        </w:rPr>
      </w:pPr>
    </w:p>
    <w:p w:rsidR="70530CB3" w:rsidP="71126F44" w:rsidRDefault="70530CB3" w14:paraId="7F5F63B4" w14:textId="72770ACF">
      <w:pPr>
        <w:pStyle w:val="Normal"/>
        <w:jc w:val="both"/>
      </w:pPr>
      <w:r w:rsidRPr="7EE87A31" w:rsidR="743F3872">
        <w:rPr>
          <w:rFonts w:ascii="Cambria" w:hAnsi="Cambria" w:eastAsia="Cambria" w:cs="Cambria"/>
        </w:rPr>
        <w:t xml:space="preserve"> </w:t>
      </w:r>
      <w:r w:rsidR="72B2C155">
        <w:drawing>
          <wp:inline wp14:editId="4FD874B7" wp14:anchorId="4DB766F5">
            <wp:extent cx="5667375" cy="5943600"/>
            <wp:effectExtent l="0" t="0" r="0" b="0"/>
            <wp:docPr id="130757532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07575321" name="Picture 1307575321"/>
                    <pic:cNvPicPr/>
                  </pic:nvPicPr>
                  <pic:blipFill>
                    <a:blip xmlns:r="http://schemas.openxmlformats.org/officeDocument/2006/relationships" r:embed="rId306447150">
                      <a:extLst>
                        <a:ext uri="{28A0092B-C50C-407E-A947-70E740481C1C}">
                          <a14:useLocalDpi xmlns:a14="http://schemas.microsoft.com/office/drawing/2010/main"/>
                        </a:ext>
                      </a:extLst>
                    </a:blip>
                    <a:stretch>
                      <a:fillRect/>
                    </a:stretch>
                  </pic:blipFill>
                  <pic:spPr>
                    <a:xfrm>
                      <a:off x="0" y="0"/>
                      <a:ext cx="5667375" cy="5943600"/>
                    </a:xfrm>
                    <a:prstGeom prst="rect">
                      <a:avLst/>
                    </a:prstGeom>
                  </pic:spPr>
                </pic:pic>
              </a:graphicData>
            </a:graphic>
          </wp:inline>
        </w:drawing>
      </w:r>
    </w:p>
    <w:p w:rsidR="06F3C2B9" w:rsidP="7EE87A31" w:rsidRDefault="06F3C2B9" w14:paraId="395379C2" w14:textId="6C6C9E38">
      <w:pPr>
        <w:pStyle w:val="Normal"/>
        <w:jc w:val="both"/>
        <w:rPr>
          <w:rFonts w:ascii="Cambria" w:hAnsi="Cambria" w:eastAsia="Cambria" w:cs="Cambria"/>
          <w:color w:val="auto"/>
          <w:sz w:val="24"/>
          <w:szCs w:val="24"/>
        </w:rPr>
      </w:pPr>
      <w:r w:rsidRPr="7EE87A31" w:rsidR="76775EEC">
        <w:rPr>
          <w:rFonts w:ascii="Cambria" w:hAnsi="Cambria" w:eastAsia="Cambria" w:cs="Cambria"/>
          <w:color w:val="auto"/>
          <w:sz w:val="24"/>
          <w:szCs w:val="24"/>
        </w:rPr>
        <w:t xml:space="preserve">Figure S2 shows bootstrapped distributions of SPV–ISMR correlations stratified by ENSO phase for observations (Fig. S2a) and the CESM2 large ensemble (Fig. S2b). In observations, the SPV–ISMR relationship is positive when all years are considered and appears strongest during El Niño conditions, while it is weaker and more variable during La Niña winters. The bootstrap distributions </w:t>
      </w:r>
      <w:r w:rsidRPr="7EE87A31" w:rsidR="76775EEC">
        <w:rPr>
          <w:rFonts w:ascii="Cambria" w:hAnsi="Cambria" w:eastAsia="Cambria" w:cs="Cambria"/>
          <w:color w:val="auto"/>
          <w:sz w:val="24"/>
          <w:szCs w:val="24"/>
        </w:rPr>
        <w:t>indicate</w:t>
      </w:r>
      <w:r w:rsidRPr="7EE87A31" w:rsidR="76775EEC">
        <w:rPr>
          <w:rFonts w:ascii="Cambria" w:hAnsi="Cambria" w:eastAsia="Cambria" w:cs="Cambria"/>
          <w:color w:val="auto"/>
          <w:sz w:val="24"/>
          <w:szCs w:val="24"/>
        </w:rPr>
        <w:t xml:space="preserve"> substantial sampling uncertainty, but the median correlations </w:t>
      </w:r>
      <w:r w:rsidRPr="7EE87A31" w:rsidR="76775EEC">
        <w:rPr>
          <w:rFonts w:ascii="Cambria" w:hAnsi="Cambria" w:eastAsia="Cambria" w:cs="Cambria"/>
          <w:color w:val="auto"/>
          <w:sz w:val="24"/>
          <w:szCs w:val="24"/>
        </w:rPr>
        <w:t>remain</w:t>
      </w:r>
      <w:r w:rsidRPr="7EE87A31" w:rsidR="76775EEC">
        <w:rPr>
          <w:rFonts w:ascii="Cambria" w:hAnsi="Cambria" w:eastAsia="Cambria" w:cs="Cambria"/>
          <w:color w:val="auto"/>
          <w:sz w:val="24"/>
          <w:szCs w:val="24"/>
        </w:rPr>
        <w:t xml:space="preserve"> positive across most phases.</w:t>
      </w:r>
    </w:p>
    <w:p w:rsidR="06F3C2B9" w:rsidP="7EE87A31" w:rsidRDefault="06F3C2B9" w14:paraId="24B32C11" w14:textId="4B8DC7ED">
      <w:pPr>
        <w:pStyle w:val="Normal"/>
        <w:jc w:val="both"/>
        <w:rPr>
          <w:rFonts w:ascii="Cambria" w:hAnsi="Cambria" w:eastAsia="Cambria" w:cs="Cambria"/>
          <w:color w:val="auto"/>
          <w:sz w:val="24"/>
          <w:szCs w:val="24"/>
        </w:rPr>
      </w:pPr>
      <w:r w:rsidRPr="7EE87A31" w:rsidR="76775EEC">
        <w:rPr>
          <w:rFonts w:ascii="Cambria" w:hAnsi="Cambria" w:eastAsia="Cambria" w:cs="Cambria"/>
          <w:color w:val="auto"/>
          <w:sz w:val="24"/>
          <w:szCs w:val="24"/>
        </w:rPr>
        <w:t xml:space="preserve">However, CESM2 does not reproduce this behavior. The model shows weak correlations centered near zero across all ENSO phases, with no clear phase dependence and, in some </w:t>
      </w:r>
      <w:r w:rsidRPr="7EE87A31" w:rsidR="27543B69">
        <w:rPr>
          <w:rFonts w:ascii="Cambria" w:hAnsi="Cambria" w:eastAsia="Cambria" w:cs="Cambria"/>
          <w:color w:val="auto"/>
          <w:sz w:val="24"/>
          <w:szCs w:val="24"/>
        </w:rPr>
        <w:t>cases, relationships</w:t>
      </w:r>
      <w:r w:rsidRPr="7EE87A31" w:rsidR="72B85052">
        <w:rPr>
          <w:rFonts w:ascii="Cambria" w:hAnsi="Cambria" w:eastAsia="Cambria" w:cs="Cambria"/>
          <w:color w:val="auto"/>
          <w:sz w:val="24"/>
          <w:szCs w:val="24"/>
        </w:rPr>
        <w:t xml:space="preserve"> of opposite sign </w:t>
      </w:r>
      <w:r w:rsidRPr="7EE87A31" w:rsidR="72B85052">
        <w:rPr>
          <w:rFonts w:ascii="Cambria" w:hAnsi="Cambria" w:eastAsia="Cambria" w:cs="Cambria"/>
          <w:color w:val="auto"/>
          <w:sz w:val="24"/>
          <w:szCs w:val="24"/>
        </w:rPr>
        <w:t>relative</w:t>
      </w:r>
      <w:r w:rsidRPr="7EE87A31" w:rsidR="72B85052">
        <w:rPr>
          <w:rFonts w:ascii="Cambria" w:hAnsi="Cambria" w:eastAsia="Cambria" w:cs="Cambria"/>
          <w:color w:val="auto"/>
          <w:sz w:val="24"/>
          <w:szCs w:val="24"/>
        </w:rPr>
        <w:t xml:space="preserve"> to observations</w:t>
      </w:r>
      <w:r w:rsidRPr="7EE87A31" w:rsidR="76775EEC">
        <w:rPr>
          <w:rFonts w:ascii="Cambria" w:hAnsi="Cambria" w:eastAsia="Cambria" w:cs="Cambria"/>
          <w:color w:val="auto"/>
          <w:sz w:val="24"/>
          <w:szCs w:val="24"/>
        </w:rPr>
        <w:t xml:space="preserve">. The observed estimates </w:t>
      </w:r>
      <w:r w:rsidRPr="7EE87A31" w:rsidR="76775EEC">
        <w:rPr>
          <w:rFonts w:ascii="Cambria" w:hAnsi="Cambria" w:eastAsia="Cambria" w:cs="Cambria"/>
          <w:color w:val="auto"/>
          <w:sz w:val="24"/>
          <w:szCs w:val="24"/>
        </w:rPr>
        <w:t>generally lie</w:t>
      </w:r>
      <w:r w:rsidRPr="7EE87A31" w:rsidR="76775EEC">
        <w:rPr>
          <w:rFonts w:ascii="Cambria" w:hAnsi="Cambria" w:eastAsia="Cambria" w:cs="Cambria"/>
          <w:color w:val="auto"/>
          <w:sz w:val="24"/>
          <w:szCs w:val="24"/>
        </w:rPr>
        <w:t xml:space="preserve"> within the model spread, </w:t>
      </w:r>
      <w:r w:rsidRPr="7EE87A31" w:rsidR="76775EEC">
        <w:rPr>
          <w:rFonts w:ascii="Cambria" w:hAnsi="Cambria" w:eastAsia="Cambria" w:cs="Cambria"/>
          <w:color w:val="auto"/>
          <w:sz w:val="24"/>
          <w:szCs w:val="24"/>
        </w:rPr>
        <w:t>indicating</w:t>
      </w:r>
      <w:r w:rsidRPr="7EE87A31" w:rsidR="76775EEC">
        <w:rPr>
          <w:rFonts w:ascii="Cambria" w:hAnsi="Cambria" w:eastAsia="Cambria" w:cs="Cambria"/>
          <w:color w:val="auto"/>
          <w:sz w:val="24"/>
          <w:szCs w:val="24"/>
        </w:rPr>
        <w:t xml:space="preserve"> that the observed signal is not </w:t>
      </w:r>
      <w:r w:rsidRPr="7EE87A31" w:rsidR="4E3C4E08">
        <w:rPr>
          <w:rFonts w:ascii="Cambria" w:hAnsi="Cambria" w:eastAsia="Cambria" w:cs="Cambria"/>
          <w:color w:val="auto"/>
          <w:sz w:val="24"/>
          <w:szCs w:val="24"/>
        </w:rPr>
        <w:t xml:space="preserve">clearly </w:t>
      </w:r>
      <w:r w:rsidRPr="7EE87A31" w:rsidR="76775EEC">
        <w:rPr>
          <w:rFonts w:ascii="Cambria" w:hAnsi="Cambria" w:eastAsia="Cambria" w:cs="Cambria"/>
          <w:color w:val="auto"/>
          <w:sz w:val="24"/>
          <w:szCs w:val="24"/>
        </w:rPr>
        <w:t>distinguishable from internal variability in the model framework</w:t>
      </w:r>
    </w:p>
    <w:p w:rsidR="70530CB3" w:rsidP="70530CB3" w:rsidRDefault="70530CB3" w14:paraId="48B8179D" w14:textId="510D2F15">
      <w:pPr>
        <w:jc w:val="both"/>
        <w:rPr>
          <w:rFonts w:ascii="Cambria" w:hAnsi="Cambria" w:eastAsia="Cambria" w:cs="Cambria"/>
          <w:b/>
          <w:bCs/>
        </w:rPr>
      </w:pPr>
    </w:p>
    <w:p w:rsidR="00E55CFA" w:rsidP="70530CB3" w:rsidRDefault="24DB0660" w14:paraId="64095996" w14:textId="2963FFEC">
      <w:pPr>
        <w:pStyle w:val="Heading1"/>
        <w:rPr>
          <w:rFonts w:ascii="Cambria" w:hAnsi="Cambria" w:eastAsia="Cambria" w:cs="Cambria"/>
          <w:b/>
          <w:bCs/>
          <w:color w:val="auto"/>
          <w:sz w:val="24"/>
          <w:szCs w:val="24"/>
        </w:rPr>
      </w:pPr>
      <w:r w:rsidRPr="70530CB3">
        <w:rPr>
          <w:rFonts w:ascii="Cambria" w:hAnsi="Cambria" w:eastAsia="Cambria" w:cs="Cambria"/>
          <w:b/>
          <w:bCs/>
          <w:color w:val="auto"/>
          <w:sz w:val="24"/>
          <w:szCs w:val="24"/>
        </w:rPr>
        <w:t>S</w:t>
      </w:r>
      <w:r w:rsidRPr="70530CB3" w:rsidR="4ED6873F">
        <w:rPr>
          <w:rFonts w:ascii="Cambria" w:hAnsi="Cambria" w:eastAsia="Cambria" w:cs="Cambria"/>
          <w:b/>
          <w:bCs/>
          <w:color w:val="auto"/>
          <w:sz w:val="24"/>
          <w:szCs w:val="24"/>
        </w:rPr>
        <w:t>3</w:t>
      </w:r>
      <w:r w:rsidRPr="70530CB3">
        <w:rPr>
          <w:rFonts w:ascii="Cambria" w:hAnsi="Cambria" w:eastAsia="Cambria" w:cs="Cambria"/>
          <w:b/>
          <w:bCs/>
          <w:color w:val="auto"/>
          <w:sz w:val="24"/>
          <w:szCs w:val="24"/>
        </w:rPr>
        <w:t>:</w:t>
      </w:r>
      <w:r w:rsidRPr="70530CB3" w:rsidR="416A632C">
        <w:rPr>
          <w:rFonts w:ascii="Cambria" w:hAnsi="Cambria" w:eastAsia="Cambria" w:cs="Cambria"/>
          <w:b/>
          <w:bCs/>
          <w:color w:val="auto"/>
          <w:sz w:val="24"/>
          <w:szCs w:val="24"/>
        </w:rPr>
        <w:t xml:space="preserve"> Linear causal decomposition of ENSO and SPV influences </w:t>
      </w:r>
    </w:p>
    <w:p w:rsidR="00E55CFA" w:rsidP="70530CB3" w:rsidRDefault="76896CA3" w14:paraId="0D9CFADB" w14:textId="2808E3A1">
      <w:pPr>
        <w:jc w:val="both"/>
        <w:rPr>
          <w:rFonts w:ascii="Cambria" w:hAnsi="Cambria" w:eastAsia="Cambria" w:cs="Cambria"/>
          <w:color w:val="000000" w:themeColor="text1"/>
        </w:rPr>
      </w:pPr>
      <w:r w:rsidRPr="7EE87A31" w:rsidR="67D15509">
        <w:rPr>
          <w:rFonts w:ascii="Cambria" w:hAnsi="Cambria" w:eastAsia="Cambria" w:cs="Cambria"/>
        </w:rPr>
        <w:t xml:space="preserve">Under the assumption that there is no dominant unobserved common driver at the seasonal timescale, the total effect of ENSO on ISMR can be decomposed into these two pathways using linear causal regression analysis. </w:t>
      </w:r>
      <w:r w:rsidRPr="7EE87A31" w:rsidR="1DE440A3">
        <w:rPr>
          <w:rFonts w:ascii="Cambria" w:hAnsi="Cambria" w:eastAsia="Cambria" w:cs="Cambria"/>
        </w:rPr>
        <w:t xml:space="preserve">This assumption is </w:t>
      </w:r>
      <w:r w:rsidRPr="7EE87A31" w:rsidR="4921D9EE">
        <w:rPr>
          <w:rFonts w:ascii="Cambria" w:hAnsi="Cambria" w:eastAsia="Cambria" w:cs="Cambria"/>
        </w:rPr>
        <w:t>reasonable</w:t>
      </w:r>
      <w:r w:rsidRPr="7EE87A31" w:rsidR="1DE440A3">
        <w:rPr>
          <w:rFonts w:ascii="Cambria" w:hAnsi="Cambria" w:eastAsia="Cambria" w:cs="Cambria"/>
        </w:rPr>
        <w:t xml:space="preserve"> at seasonal timescales given the absence of </w:t>
      </w:r>
      <w:r w:rsidRPr="7EE87A31" w:rsidR="1DE440A3">
        <w:rPr>
          <w:rFonts w:ascii="Cambria" w:hAnsi="Cambria" w:eastAsia="Cambria" w:cs="Cambria"/>
        </w:rPr>
        <w:t>additional</w:t>
      </w:r>
      <w:r w:rsidRPr="7EE87A31" w:rsidR="1DE440A3">
        <w:rPr>
          <w:rFonts w:ascii="Cambria" w:hAnsi="Cambria" w:eastAsia="Cambria" w:cs="Cambria"/>
        </w:rPr>
        <w:t xml:space="preserve"> known large-scale drivers that simultaneously influence ENSO, SPV, and ISMR within the same winter–summer window. </w:t>
      </w:r>
      <w:r w:rsidRPr="7EE87A31" w:rsidR="67D15509">
        <w:rPr>
          <w:rFonts w:ascii="Cambria" w:hAnsi="Cambria" w:eastAsia="Cambria" w:cs="Cambria"/>
        </w:rPr>
        <w:t>Regressing ISMR directly on ENSO gives a standardized effect of +0.2</w:t>
      </w:r>
      <w:r w:rsidRPr="7EE87A31" w:rsidR="2ABD5400">
        <w:rPr>
          <w:rFonts w:ascii="Cambria" w:hAnsi="Cambria" w:eastAsia="Cambria" w:cs="Cambria"/>
        </w:rPr>
        <w:t>6</w:t>
      </w:r>
      <w:r w:rsidRPr="7EE87A31" w:rsidR="67D15509">
        <w:rPr>
          <w:rFonts w:ascii="Cambria" w:hAnsi="Cambria" w:eastAsia="Cambria" w:cs="Cambria"/>
        </w:rPr>
        <w:t xml:space="preserve">, </w:t>
      </w:r>
      <w:r w:rsidRPr="7EE87A31" w:rsidR="67D15509">
        <w:rPr>
          <w:rFonts w:ascii="Cambria" w:hAnsi="Cambria" w:eastAsia="Cambria" w:cs="Cambria"/>
        </w:rPr>
        <w:t>representing</w:t>
      </w:r>
      <w:r w:rsidRPr="7EE87A31" w:rsidR="67D15509">
        <w:rPr>
          <w:rFonts w:ascii="Cambria" w:hAnsi="Cambria" w:eastAsia="Cambria" w:cs="Cambria"/>
        </w:rPr>
        <w:t xml:space="preserve"> the combined direct and indirect pathways</w:t>
      </w:r>
    </w:p>
    <w:p w:rsidR="00E55CFA" w:rsidP="70530CB3" w:rsidRDefault="76896CA3" w14:paraId="5ED0D7B7" w14:textId="39F4D194">
      <w:pPr>
        <w:jc w:val="both"/>
        <w:rPr>
          <w:rFonts w:ascii="Cambria" w:hAnsi="Cambria" w:eastAsia="Cambria" w:cs="Cambria"/>
          <w:color w:val="000000" w:themeColor="text1"/>
        </w:rPr>
      </w:pPr>
      <w:r w:rsidRPr="7EE87A31" w:rsidR="76896CA3">
        <w:rPr>
          <w:rFonts w:ascii="Cambria" w:hAnsi="Cambria" w:eastAsia="Cambria" w:cs="Cambria"/>
        </w:rPr>
        <w:t>The individual strengths of the two causal pathways can be estimated separately</w:t>
      </w:r>
      <w:r w:rsidRPr="7EE87A31" w:rsidR="76896CA3">
        <w:rPr>
          <w:rFonts w:ascii="Cambria" w:hAnsi="Cambria" w:eastAsia="Cambria" w:cs="Cambria"/>
        </w:rPr>
        <w:t xml:space="preserve">.  </w:t>
      </w:r>
      <w:r w:rsidRPr="7EE87A31" w:rsidR="76896CA3">
        <w:rPr>
          <w:rFonts w:ascii="Cambria" w:hAnsi="Cambria" w:eastAsia="Cambria" w:cs="Cambria"/>
        </w:rPr>
        <w:t xml:space="preserve">To isolate the direct pathway, we must block the stratospheric contribution by </w:t>
      </w:r>
      <w:r w:rsidRPr="7EE87A31" w:rsidR="76896CA3">
        <w:rPr>
          <w:rFonts w:ascii="Cambria" w:hAnsi="Cambria" w:eastAsia="Cambria" w:cs="Cambria"/>
        </w:rPr>
        <w:t>controlling</w:t>
      </w:r>
      <w:r w:rsidRPr="7EE87A31" w:rsidR="4836E003">
        <w:rPr>
          <w:rFonts w:ascii="Cambria" w:hAnsi="Cambria" w:eastAsia="Cambria" w:cs="Cambria"/>
        </w:rPr>
        <w:t xml:space="preserve"> for</w:t>
      </w:r>
      <w:r w:rsidRPr="7EE87A31" w:rsidR="76896CA3">
        <w:rPr>
          <w:rFonts w:ascii="Cambria" w:hAnsi="Cambria" w:eastAsia="Cambria" w:cs="Cambria"/>
        </w:rPr>
        <w:t xml:space="preserve"> SPV. Because SPV acts as a mediator of the ENSO → ISMR relationship, </w:t>
      </w:r>
      <w:r w:rsidRPr="7EE87A31" w:rsidR="65E2B08A">
        <w:rPr>
          <w:rFonts w:ascii="Cambria" w:hAnsi="Cambria" w:eastAsia="Cambria" w:cs="Cambria"/>
        </w:rPr>
        <w:t>conditioning on SPV blocks the mediated stratospheric pathway</w:t>
      </w:r>
      <w:r w:rsidRPr="7EE87A31" w:rsidR="76896CA3">
        <w:rPr>
          <w:rFonts w:ascii="Cambria" w:hAnsi="Cambria" w:eastAsia="Cambria" w:cs="Cambria"/>
        </w:rPr>
        <w:t xml:space="preserve">. The ENSO coefficient in the regression conditioned on SPV, </w:t>
      </w:r>
      <w:r w:rsidRPr="7EE87A31" w:rsidR="76896CA3">
        <w:rPr>
          <w:rFonts w:ascii="Cambria" w:hAnsi="Cambria" w:eastAsia="Cambria" w:cs="Cambria"/>
        </w:rPr>
        <w:t xml:space="preserve">therefore, </w:t>
      </w:r>
      <w:r w:rsidRPr="7EE87A31" w:rsidR="0D4E4FBC">
        <w:rPr>
          <w:rFonts w:ascii="Cambria" w:hAnsi="Cambria" w:eastAsia="Cambria" w:cs="Cambria"/>
        </w:rPr>
        <w:t>estimated direct effect</w:t>
      </w:r>
      <w:r w:rsidRPr="7EE87A31" w:rsidR="0D4E4FBC">
        <w:rPr>
          <w:rFonts w:ascii="Cambria" w:hAnsi="Cambria" w:eastAsia="Cambria" w:cs="Cambria"/>
        </w:rPr>
        <w:t xml:space="preserve"> under the assumed linear–Gaussian model</w:t>
      </w:r>
      <w:r w:rsidRPr="7EE87A31" w:rsidR="76896CA3">
        <w:rPr>
          <w:rFonts w:ascii="Cambria" w:hAnsi="Cambria" w:eastAsia="Cambria" w:cs="Cambria"/>
        </w:rPr>
        <w:t>, excluding all effects transmitted via the stratospheric vortex.</w:t>
      </w:r>
    </w:p>
    <w:p w:rsidR="00E55CFA" w:rsidP="70530CB3" w:rsidRDefault="76896CA3" w14:paraId="60A5859B" w14:textId="37B8C87F">
      <w:pPr>
        <w:jc w:val="both"/>
        <w:rPr>
          <w:rFonts w:ascii="Cambria" w:hAnsi="Cambria" w:eastAsia="Cambria" w:cs="Cambria"/>
          <w:color w:val="000000" w:themeColor="text1"/>
        </w:rPr>
      </w:pPr>
      <w:r w:rsidRPr="70530CB3">
        <w:rPr>
          <w:rFonts w:ascii="Cambria" w:hAnsi="Cambria" w:eastAsia="Cambria" w:cs="Cambria"/>
        </w:rPr>
        <w:t>Expressed in a linear regression model, this gives,</w:t>
      </w:r>
    </w:p>
    <w:p w:rsidR="00E55CFA" w:rsidP="70530CB3" w:rsidRDefault="76896CA3" w14:paraId="174BB862" w14:textId="615A304C">
      <w:pPr>
        <w:jc w:val="both"/>
        <w:rPr>
          <w:rFonts w:ascii="Cambria" w:hAnsi="Cambria" w:eastAsia="Cambria" w:cs="Cambria"/>
          <w:color w:val="000000" w:themeColor="text1"/>
        </w:rPr>
      </w:pPr>
      <w:r w:rsidRPr="7EE87A31" w:rsidR="67D15509">
        <w:rPr>
          <w:rFonts w:ascii="Cambria" w:hAnsi="Cambria" w:eastAsia="Cambria" w:cs="Cambria"/>
        </w:rPr>
        <w:t xml:space="preserve">ISMR = </w:t>
      </w:r>
      <w:r w:rsidRPr="7EE87A31" w:rsidR="67D15509">
        <w:rPr>
          <w:rFonts w:ascii="Cambria" w:hAnsi="Cambria" w:eastAsia="Cambria" w:cs="Cambria"/>
          <w:b w:val="1"/>
          <w:bCs w:val="1"/>
        </w:rPr>
        <w:t>0.2</w:t>
      </w:r>
      <w:r w:rsidRPr="7EE87A31" w:rsidR="5D7D8131">
        <w:rPr>
          <w:rFonts w:ascii="Cambria" w:hAnsi="Cambria" w:eastAsia="Cambria" w:cs="Cambria"/>
          <w:b w:val="1"/>
          <w:bCs w:val="1"/>
        </w:rPr>
        <w:t>8</w:t>
      </w:r>
      <w:r w:rsidRPr="7EE87A31" w:rsidR="67D15509">
        <w:rPr>
          <w:rFonts w:ascii="Cambria" w:hAnsi="Cambria" w:eastAsia="Cambria" w:cs="Cambria"/>
        </w:rPr>
        <w:t xml:space="preserve"> ENSO</w:t>
      </w:r>
      <w:r w:rsidRPr="7EE87A31" w:rsidR="62EED338">
        <w:rPr>
          <w:rFonts w:ascii="Cambria" w:hAnsi="Cambria" w:eastAsia="Cambria" w:cs="Cambria"/>
        </w:rPr>
        <w:t xml:space="preserve"> </w:t>
      </w:r>
      <w:r w:rsidRPr="7EE87A31" w:rsidR="67D15509">
        <w:rPr>
          <w:rFonts w:ascii="Cambria" w:hAnsi="Cambria" w:eastAsia="Cambria" w:cs="Cambria"/>
        </w:rPr>
        <w:t>+</w:t>
      </w:r>
      <w:r w:rsidRPr="7EE87A31" w:rsidR="309ABB70">
        <w:rPr>
          <w:rFonts w:ascii="Cambria" w:hAnsi="Cambria" w:eastAsia="Cambria" w:cs="Cambria"/>
        </w:rPr>
        <w:t xml:space="preserve"> </w:t>
      </w:r>
      <w:r w:rsidRPr="7EE87A31" w:rsidR="67D15509">
        <w:rPr>
          <w:rFonts w:ascii="Cambria" w:hAnsi="Cambria" w:eastAsia="Cambria" w:cs="Cambria"/>
        </w:rPr>
        <w:t>0.1</w:t>
      </w:r>
      <w:r w:rsidRPr="7EE87A31" w:rsidR="671541FC">
        <w:rPr>
          <w:rFonts w:ascii="Cambria" w:hAnsi="Cambria" w:eastAsia="Cambria" w:cs="Cambria"/>
        </w:rPr>
        <w:t>6</w:t>
      </w:r>
      <w:r w:rsidRPr="7EE87A31" w:rsidR="67D15509">
        <w:rPr>
          <w:rFonts w:ascii="Cambria" w:hAnsi="Cambria" w:eastAsia="Cambria" w:cs="Cambria"/>
        </w:rPr>
        <w:t xml:space="preserve"> SPV + error  </w:t>
      </w:r>
    </w:p>
    <w:p w:rsidR="00E55CFA" w:rsidP="70530CB3" w:rsidRDefault="76896CA3" w14:paraId="1439CDA6" w14:textId="599214AC">
      <w:pPr>
        <w:jc w:val="both"/>
        <w:rPr>
          <w:rFonts w:ascii="Cambria" w:hAnsi="Cambria" w:eastAsia="Cambria" w:cs="Cambria"/>
          <w:color w:val="000000" w:themeColor="text1"/>
        </w:rPr>
      </w:pPr>
      <w:r w:rsidRPr="3D6F69D5" w:rsidR="67D15509">
        <w:rPr>
          <w:rFonts w:ascii="Cambria" w:hAnsi="Cambria" w:eastAsia="Cambria" w:cs="Cambria"/>
        </w:rPr>
        <w:t>meaning that the direct effect of ENSO is estimated to be +0.2</w:t>
      </w:r>
      <w:r w:rsidRPr="3D6F69D5" w:rsidR="2B6C7ED4">
        <w:rPr>
          <w:rFonts w:ascii="Cambria" w:hAnsi="Cambria" w:eastAsia="Cambria" w:cs="Cambria"/>
        </w:rPr>
        <w:t>8</w:t>
      </w:r>
      <w:r w:rsidRPr="3D6F69D5" w:rsidR="67D15509">
        <w:rPr>
          <w:rFonts w:ascii="Cambria" w:hAnsi="Cambria" w:eastAsia="Cambria" w:cs="Cambria"/>
        </w:rPr>
        <w:t>, independent of stratospheric processes</w:t>
      </w:r>
    </w:p>
    <w:p w:rsidR="00E55CFA" w:rsidP="70530CB3" w:rsidRDefault="76896CA3" w14:paraId="49D0297D" w14:textId="1D106E1C">
      <w:pPr>
        <w:jc w:val="both"/>
        <w:rPr>
          <w:rFonts w:ascii="Cambria" w:hAnsi="Cambria" w:eastAsia="Cambria" w:cs="Cambria"/>
          <w:color w:val="000000" w:themeColor="text1"/>
        </w:rPr>
      </w:pPr>
      <w:r w:rsidRPr="7EE87A31" w:rsidR="67D15509">
        <w:rPr>
          <w:rFonts w:ascii="Cambria" w:hAnsi="Cambria" w:eastAsia="Cambria" w:cs="Cambria"/>
        </w:rPr>
        <w:t xml:space="preserve">The indirect (stratospheric) pathway consists of two segments: ENSO -&gt; SPV and SPV -&gt; ISMR. The link from ENSO to SPV can be calculated without further conditioning, i.e., by regressing SPV directly on ENSO, which </w:t>
      </w:r>
      <w:r w:rsidRPr="7EE87A31" w:rsidR="67D15509">
        <w:rPr>
          <w:rFonts w:ascii="Cambria" w:hAnsi="Cambria" w:eastAsia="Cambria" w:cs="Cambria"/>
        </w:rPr>
        <w:t>yields</w:t>
      </w:r>
      <w:r w:rsidRPr="7EE87A31" w:rsidR="67D15509">
        <w:rPr>
          <w:rFonts w:ascii="Cambria" w:hAnsi="Cambria" w:eastAsia="Cambria" w:cs="Cambria"/>
        </w:rPr>
        <w:t xml:space="preserve"> an average effect strength of </w:t>
      </w:r>
      <w:r w:rsidRPr="7EE87A31" w:rsidR="67D15509">
        <w:rPr>
          <w:rFonts w:ascii="Cambria" w:hAnsi="Cambria" w:eastAsia="Cambria" w:cs="Cambria"/>
          <w:b w:val="1"/>
          <w:bCs w:val="1"/>
        </w:rPr>
        <w:t>−0.1</w:t>
      </w:r>
      <w:r w:rsidRPr="7EE87A31" w:rsidR="0FE953D6">
        <w:rPr>
          <w:rFonts w:ascii="Cambria" w:hAnsi="Cambria" w:eastAsia="Cambria" w:cs="Cambria"/>
          <w:b w:val="1"/>
          <w:bCs w:val="1"/>
        </w:rPr>
        <w:t>4</w:t>
      </w:r>
      <w:r w:rsidRPr="7EE87A31" w:rsidR="67D15509">
        <w:rPr>
          <w:rFonts w:ascii="Cambria" w:hAnsi="Cambria" w:eastAsia="Cambria" w:cs="Cambria"/>
        </w:rPr>
        <w:t xml:space="preserve">. </w:t>
      </w:r>
      <w:r w:rsidRPr="7EE87A31" w:rsidR="62B17947">
        <w:rPr>
          <w:rFonts w:ascii="Cambria" w:hAnsi="Cambria" w:eastAsia="Cambria" w:cs="Cambria"/>
        </w:rPr>
        <w:t>To estimate the direct effect of SPV on ISMR, ENSO is included in the regression to block confounding.</w:t>
      </w:r>
      <w:r w:rsidRPr="7EE87A31" w:rsidR="67D15509">
        <w:rPr>
          <w:rFonts w:ascii="Cambria" w:hAnsi="Cambria" w:eastAsia="Cambria" w:cs="Cambria"/>
        </w:rPr>
        <w:t xml:space="preserve"> This </w:t>
      </w:r>
      <w:r w:rsidRPr="7EE87A31" w:rsidR="67D15509">
        <w:rPr>
          <w:rFonts w:ascii="Cambria" w:hAnsi="Cambria" w:eastAsia="Cambria" w:cs="Cambria"/>
        </w:rPr>
        <w:t>yields</w:t>
      </w:r>
      <w:r w:rsidRPr="7EE87A31" w:rsidR="67D15509">
        <w:rPr>
          <w:rFonts w:ascii="Cambria" w:hAnsi="Cambria" w:eastAsia="Cambria" w:cs="Cambria"/>
        </w:rPr>
        <w:t xml:space="preserve"> </w:t>
      </w:r>
      <w:r w:rsidRPr="7EE87A31" w:rsidR="33D7E351">
        <w:rPr>
          <w:rFonts w:ascii="Cambria" w:hAnsi="Cambria" w:eastAsia="Cambria" w:cs="Cambria"/>
        </w:rPr>
        <w:t xml:space="preserve">an </w:t>
      </w:r>
      <w:r w:rsidRPr="7EE87A31" w:rsidR="33D7E351">
        <w:rPr>
          <w:rFonts w:ascii="Cambria" w:hAnsi="Cambria" w:eastAsia="Cambria" w:cs="Cambria"/>
        </w:rPr>
        <w:t>estimated</w:t>
      </w:r>
      <w:r w:rsidRPr="7EE87A31" w:rsidR="33D7E351">
        <w:rPr>
          <w:rFonts w:ascii="Cambria" w:hAnsi="Cambria" w:eastAsia="Cambria" w:cs="Cambria"/>
        </w:rPr>
        <w:t xml:space="preserve"> conditional</w:t>
      </w:r>
      <w:r w:rsidRPr="7EE87A31" w:rsidR="67D15509">
        <w:rPr>
          <w:rFonts w:ascii="Cambria" w:hAnsi="Cambria" w:eastAsia="Cambria" w:cs="Cambria"/>
        </w:rPr>
        <w:t xml:space="preserve"> effect of SPV on ISMR of </w:t>
      </w:r>
      <w:r w:rsidRPr="7EE87A31" w:rsidR="67D15509">
        <w:rPr>
          <w:rFonts w:ascii="Cambria" w:hAnsi="Cambria" w:eastAsia="Cambria" w:cs="Cambria"/>
          <w:b w:val="1"/>
          <w:bCs w:val="1"/>
        </w:rPr>
        <w:t>0.1</w:t>
      </w:r>
      <w:r w:rsidRPr="7EE87A31" w:rsidR="79E059AB">
        <w:rPr>
          <w:rFonts w:ascii="Cambria" w:hAnsi="Cambria" w:eastAsia="Cambria" w:cs="Cambria"/>
          <w:b w:val="1"/>
          <w:bCs w:val="1"/>
        </w:rPr>
        <w:t>6</w:t>
      </w:r>
      <w:r w:rsidRPr="7EE87A31" w:rsidR="67D15509">
        <w:rPr>
          <w:rFonts w:ascii="Cambria" w:hAnsi="Cambria" w:eastAsia="Cambria" w:cs="Cambria"/>
        </w:rPr>
        <w:t>, as already found above.</w:t>
      </w:r>
    </w:p>
    <w:p w:rsidR="00E55CFA" w:rsidP="7EE87A31" w:rsidRDefault="76896CA3" w14:paraId="051788CA" w14:textId="03F02EC9">
      <w:pPr>
        <w:jc w:val="both"/>
        <w:rPr>
          <w:rFonts w:ascii="Cambria" w:hAnsi="Cambria" w:eastAsia="Cambria" w:cs="Cambria"/>
        </w:rPr>
      </w:pPr>
      <w:r w:rsidRPr="7EE87A31" w:rsidR="67D15509">
        <w:rPr>
          <w:rFonts w:ascii="Cambria" w:hAnsi="Cambria" w:eastAsia="Cambria" w:cs="Cambria"/>
        </w:rPr>
        <w:t xml:space="preserve">Put together, it follows that the strength of the indirect, stratospheric pathway is </w:t>
      </w:r>
      <w:r w:rsidRPr="7EE87A31" w:rsidR="67D15509">
        <w:rPr>
          <w:rFonts w:ascii="Cambria" w:hAnsi="Cambria" w:eastAsia="Cambria" w:cs="Cambria"/>
          <w:b w:val="1"/>
          <w:bCs w:val="1"/>
        </w:rPr>
        <w:t>−0.02</w:t>
      </w:r>
      <w:r w:rsidRPr="7EE87A31" w:rsidR="67D15509">
        <w:rPr>
          <w:rFonts w:ascii="Cambria" w:hAnsi="Cambria" w:eastAsia="Cambria" w:cs="Cambria"/>
        </w:rPr>
        <w:t xml:space="preserve"> (=−0.1</w:t>
      </w:r>
      <w:r w:rsidRPr="7EE87A31" w:rsidR="02063CEE">
        <w:rPr>
          <w:rFonts w:ascii="Cambria" w:hAnsi="Cambria" w:eastAsia="Cambria" w:cs="Cambria"/>
        </w:rPr>
        <w:t>4</w:t>
      </w:r>
      <w:r w:rsidRPr="7EE87A31" w:rsidR="67D15509">
        <w:rPr>
          <w:rFonts w:ascii="Cambria" w:hAnsi="Cambria" w:eastAsia="Cambria" w:cs="Cambria"/>
        </w:rPr>
        <w:t xml:space="preserve"> × 0.1</w:t>
      </w:r>
      <w:r w:rsidRPr="7EE87A31" w:rsidR="1C10CE72">
        <w:rPr>
          <w:rFonts w:ascii="Cambria" w:hAnsi="Cambria" w:eastAsia="Cambria" w:cs="Cambria"/>
        </w:rPr>
        <w:t>6</w:t>
      </w:r>
      <w:r w:rsidRPr="7EE87A31" w:rsidR="67D15509">
        <w:rPr>
          <w:rFonts w:ascii="Cambria" w:hAnsi="Cambria" w:eastAsia="Cambria" w:cs="Cambria"/>
        </w:rPr>
        <w:t xml:space="preserve">) while that of the direct, tropospheric pathway is </w:t>
      </w:r>
      <w:r w:rsidRPr="7EE87A31" w:rsidR="46951D8E">
        <w:rPr>
          <w:rFonts w:ascii="Cambria" w:hAnsi="Cambria" w:eastAsia="Cambria" w:cs="Cambria"/>
        </w:rPr>
        <w:t xml:space="preserve">approximately </w:t>
      </w:r>
      <w:r w:rsidRPr="7EE87A31" w:rsidR="67D15509">
        <w:rPr>
          <w:rFonts w:ascii="Cambria" w:hAnsi="Cambria" w:eastAsia="Cambria" w:cs="Cambria"/>
        </w:rPr>
        <w:t>0.2</w:t>
      </w:r>
      <w:r w:rsidRPr="7EE87A31" w:rsidR="2139ADC9">
        <w:rPr>
          <w:rFonts w:ascii="Cambria" w:hAnsi="Cambria" w:eastAsia="Cambria" w:cs="Cambria"/>
        </w:rPr>
        <w:t>8</w:t>
      </w:r>
    </w:p>
    <w:p w:rsidR="0DD930D9" w:rsidP="7F561B82" w:rsidRDefault="0DD930D9" w14:paraId="5C1569B4" w14:textId="2589E79A">
      <w:pPr>
        <w:jc w:val="both"/>
        <w:rPr>
          <w:rFonts w:ascii="Cambria" w:hAnsi="Cambria" w:eastAsia="Cambria" w:cs="Cambria"/>
        </w:rPr>
      </w:pPr>
      <w:r w:rsidRPr="7F561B82" w:rsidR="67D15509">
        <w:rPr>
          <w:rFonts w:ascii="Cambria" w:hAnsi="Cambria" w:eastAsia="Cambria" w:cs="Cambria"/>
        </w:rPr>
        <w:t>We again note that the sum of the tropospheric and stratospheric pathways (+0.2</w:t>
      </w:r>
      <w:r w:rsidRPr="7F561B82" w:rsidR="21F407CF">
        <w:rPr>
          <w:rFonts w:ascii="Cambria" w:hAnsi="Cambria" w:eastAsia="Cambria" w:cs="Cambria"/>
        </w:rPr>
        <w:t>8</w:t>
      </w:r>
      <w:r w:rsidRPr="7F561B82" w:rsidR="67D15509">
        <w:rPr>
          <w:rFonts w:ascii="Cambria" w:hAnsi="Cambria" w:eastAsia="Cambria" w:cs="Cambria"/>
        </w:rPr>
        <w:t xml:space="preserve"> – 0.02 = </w:t>
      </w:r>
      <w:r w:rsidRPr="7F561B82" w:rsidR="67D15509">
        <w:rPr>
          <w:rFonts w:ascii="Cambria" w:hAnsi="Cambria" w:eastAsia="Cambria" w:cs="Cambria"/>
          <w:b w:val="1"/>
          <w:bCs w:val="1"/>
        </w:rPr>
        <w:t>0.2</w:t>
      </w:r>
      <w:r w:rsidRPr="7F561B82" w:rsidR="77F0583B">
        <w:rPr>
          <w:rFonts w:ascii="Cambria" w:hAnsi="Cambria" w:eastAsia="Cambria" w:cs="Cambria"/>
          <w:b w:val="1"/>
          <w:bCs w:val="1"/>
        </w:rPr>
        <w:t>6</w:t>
      </w:r>
      <w:r w:rsidRPr="7F561B82" w:rsidR="67D15509">
        <w:rPr>
          <w:rFonts w:ascii="Cambria" w:hAnsi="Cambria" w:eastAsia="Cambria" w:cs="Cambria"/>
          <w:b w:val="1"/>
          <w:bCs w:val="1"/>
        </w:rPr>
        <w:t>)</w:t>
      </w:r>
      <w:r w:rsidRPr="7F561B82" w:rsidR="67D15509">
        <w:rPr>
          <w:rFonts w:ascii="Cambria" w:hAnsi="Cambria" w:eastAsia="Cambria" w:cs="Cambria"/>
        </w:rPr>
        <w:t xml:space="preserve"> is, as expected from the path-tracing rule, </w:t>
      </w:r>
      <w:r w:rsidRPr="7F561B82" w:rsidR="67D15509">
        <w:rPr>
          <w:rFonts w:ascii="Cambria" w:hAnsi="Cambria" w:eastAsia="Cambria" w:cs="Cambria"/>
        </w:rPr>
        <w:t>approximately equal</w:t>
      </w:r>
      <w:r w:rsidRPr="7F561B82" w:rsidR="67D15509">
        <w:rPr>
          <w:rFonts w:ascii="Cambria" w:hAnsi="Cambria" w:eastAsia="Cambria" w:cs="Cambria"/>
        </w:rPr>
        <w:t xml:space="preserve"> to the total effect of ENSO on ISMR as calculated above</w:t>
      </w:r>
      <w:r w:rsidRPr="7F561B82" w:rsidR="67D15509">
        <w:rPr>
          <w:rFonts w:ascii="Cambria" w:hAnsi="Cambria" w:eastAsia="Cambria" w:cs="Cambria"/>
        </w:rPr>
        <w:t xml:space="preserve">. </w:t>
      </w:r>
    </w:p>
    <w:p w:rsidR="0DD930D9" w:rsidP="70530CB3" w:rsidRDefault="0DD930D9" w14:paraId="3DCFD8C3" w14:textId="6D6F0D61">
      <w:pPr>
        <w:rPr>
          <w:rFonts w:ascii="Cambria" w:hAnsi="Cambria" w:eastAsia="Cambria" w:cs="Cambria"/>
        </w:rPr>
      </w:pPr>
    </w:p>
    <w:p w:rsidR="70FFD2B4" w:rsidP="70530CB3" w:rsidRDefault="45A3D59D" w14:paraId="5781D938" w14:textId="2E280F5C">
      <w:pPr>
        <w:pStyle w:val="Heading1"/>
        <w:rPr>
          <w:rFonts w:ascii="Cambria" w:hAnsi="Cambria" w:eastAsia="Cambria" w:cs="Cambria"/>
          <w:b/>
          <w:bCs/>
          <w:color w:val="auto"/>
          <w:sz w:val="24"/>
          <w:szCs w:val="24"/>
        </w:rPr>
      </w:pPr>
      <w:r w:rsidRPr="70530CB3">
        <w:rPr>
          <w:rFonts w:ascii="Cambria" w:hAnsi="Cambria" w:eastAsia="Cambria" w:cs="Cambria"/>
          <w:b/>
          <w:bCs/>
          <w:color w:val="auto"/>
          <w:sz w:val="24"/>
          <w:szCs w:val="24"/>
        </w:rPr>
        <w:t>S</w:t>
      </w:r>
      <w:r w:rsidRPr="70530CB3" w:rsidR="18BF30E3">
        <w:rPr>
          <w:rFonts w:ascii="Cambria" w:hAnsi="Cambria" w:eastAsia="Cambria" w:cs="Cambria"/>
          <w:b/>
          <w:bCs/>
          <w:color w:val="auto"/>
          <w:sz w:val="24"/>
          <w:szCs w:val="24"/>
        </w:rPr>
        <w:t>4</w:t>
      </w:r>
      <w:r w:rsidRPr="70530CB3">
        <w:rPr>
          <w:rFonts w:ascii="Cambria" w:hAnsi="Cambria" w:eastAsia="Cambria" w:cs="Cambria"/>
          <w:b/>
          <w:bCs/>
          <w:color w:val="auto"/>
          <w:sz w:val="24"/>
          <w:szCs w:val="24"/>
        </w:rPr>
        <w:t>: SPV variability does not explain ENSO–ISMR non-stationarity and ENSO does not explain SPV-ISMR non-stationarity</w:t>
      </w:r>
    </w:p>
    <w:p w:rsidR="70FFD2B4" w:rsidP="70530CB3" w:rsidRDefault="45A3D59D" w14:paraId="5E8300B4" w14:textId="61B32B72">
      <w:pPr>
        <w:jc w:val="both"/>
        <w:rPr>
          <w:rFonts w:ascii="Cambria" w:hAnsi="Cambria" w:eastAsia="Cambria" w:cs="Cambria"/>
          <w:b w:val="1"/>
          <w:bCs w:val="1"/>
        </w:rPr>
      </w:pPr>
      <w:r w:rsidR="619AA5A6">
        <w:drawing>
          <wp:inline wp14:editId="66EC87A1" wp14:anchorId="7DB32AC4">
            <wp:extent cx="5943600" cy="2619375"/>
            <wp:effectExtent l="0" t="0" r="0" b="0"/>
            <wp:docPr id="187637937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6379377" name="Picture 1876379377"/>
                    <pic:cNvPicPr/>
                  </pic:nvPicPr>
                  <pic:blipFill>
                    <a:blip xmlns:r="http://schemas.openxmlformats.org/officeDocument/2006/relationships" r:embed="rId516312835">
                      <a:extLst>
                        <a:ext uri="{28A0092B-C50C-407E-A947-70E740481C1C}">
                          <a14:useLocalDpi xmlns:a14="http://schemas.microsoft.com/office/drawing/2010/main"/>
                        </a:ext>
                      </a:extLst>
                    </a:blip>
                    <a:stretch>
                      <a:fillRect/>
                    </a:stretch>
                  </pic:blipFill>
                  <pic:spPr>
                    <a:xfrm>
                      <a:off x="0" y="0"/>
                      <a:ext cx="5943600" cy="2619375"/>
                    </a:xfrm>
                    <a:prstGeom prst="rect">
                      <a:avLst/>
                    </a:prstGeom>
                  </pic:spPr>
                </pic:pic>
              </a:graphicData>
            </a:graphic>
          </wp:inline>
        </w:drawing>
      </w:r>
    </w:p>
    <w:p w:rsidR="70FFD2B4" w:rsidP="70530CB3" w:rsidRDefault="45A3D59D" w14:paraId="25117B70" w14:textId="19EA85D3">
      <w:pPr>
        <w:jc w:val="both"/>
        <w:rPr>
          <w:rFonts w:ascii="Cambria" w:hAnsi="Cambria" w:eastAsia="Cambria" w:cs="Cambria"/>
        </w:rPr>
      </w:pPr>
      <w:r w:rsidR="61FF5387">
        <w:drawing>
          <wp:inline wp14:editId="2B31E7BB" wp14:anchorId="694BE02F">
            <wp:extent cx="5943600" cy="2581275"/>
            <wp:effectExtent l="0" t="0" r="0" b="0"/>
            <wp:docPr id="12420004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2000409" name="Picture 1242000409"/>
                    <pic:cNvPicPr/>
                  </pic:nvPicPr>
                  <pic:blipFill>
                    <a:blip xmlns:r="http://schemas.openxmlformats.org/officeDocument/2006/relationships" r:embed="rId86272889">
                      <a:extLst>
                        <a:ext uri="{28A0092B-C50C-407E-A947-70E740481C1C}">
                          <a14:useLocalDpi xmlns:a14="http://schemas.microsoft.com/office/drawing/2010/main"/>
                        </a:ext>
                      </a:extLst>
                    </a:blip>
                    <a:stretch>
                      <a:fillRect/>
                    </a:stretch>
                  </pic:blipFill>
                  <pic:spPr>
                    <a:xfrm>
                      <a:off x="0" y="0"/>
                      <a:ext cx="5943600" cy="2581275"/>
                    </a:xfrm>
                    <a:prstGeom prst="rect">
                      <a:avLst/>
                    </a:prstGeom>
                  </pic:spPr>
                </pic:pic>
              </a:graphicData>
            </a:graphic>
          </wp:inline>
        </w:drawing>
      </w:r>
    </w:p>
    <w:p w:rsidR="70FFD2B4" w:rsidP="70530CB3" w:rsidRDefault="70FFD2B4" w14:paraId="1D0BFCD3" w14:textId="6888628D">
      <w:pPr>
        <w:jc w:val="both"/>
        <w:rPr>
          <w:rFonts w:ascii="Cambria" w:hAnsi="Cambria" w:eastAsia="Cambria" w:cs="Cambria"/>
          <w:color w:val="000000" w:themeColor="text1"/>
        </w:rPr>
      </w:pPr>
      <w:r w:rsidRPr="0133F806" w:rsidR="25FD6660">
        <w:rPr>
          <w:rFonts w:ascii="Cambria" w:hAnsi="Cambria" w:eastAsia="Cambria" w:cs="Cambria"/>
          <w:color w:val="000000" w:themeColor="text1" w:themeTint="FF" w:themeShade="FF"/>
        </w:rPr>
        <w:t xml:space="preserve">Figure S4 shows 11-year moving window correlations to assess the temporal stability of the ENSO–ISMR (a) and SPV–ISMR (b) relationships. The ENSO–ISMR correlation exhibits pronounced variability over time, with periods of both strong and weak association, confirming its known non-stationarity. Conditioning on SPV does not </w:t>
      </w:r>
      <w:r w:rsidRPr="0133F806" w:rsidR="25FD6660">
        <w:rPr>
          <w:rFonts w:ascii="Cambria" w:hAnsi="Cambria" w:eastAsia="Cambria" w:cs="Cambria"/>
          <w:color w:val="000000" w:themeColor="text1" w:themeTint="FF" w:themeShade="FF"/>
        </w:rPr>
        <w:t>substantially reduce</w:t>
      </w:r>
      <w:r w:rsidRPr="0133F806" w:rsidR="25FD6660">
        <w:rPr>
          <w:rFonts w:ascii="Cambria" w:hAnsi="Cambria" w:eastAsia="Cambria" w:cs="Cambria"/>
          <w:color w:val="000000" w:themeColor="text1" w:themeTint="FF" w:themeShade="FF"/>
        </w:rPr>
        <w:t xml:space="preserve"> this variability, </w:t>
      </w:r>
      <w:r w:rsidRPr="0133F806" w:rsidR="25FD6660">
        <w:rPr>
          <w:rFonts w:ascii="Cambria" w:hAnsi="Cambria" w:eastAsia="Cambria" w:cs="Cambria"/>
          <w:color w:val="000000" w:themeColor="text1" w:themeTint="FF" w:themeShade="FF"/>
        </w:rPr>
        <w:t>indicating</w:t>
      </w:r>
      <w:r w:rsidRPr="0133F806" w:rsidR="25FD6660">
        <w:rPr>
          <w:rFonts w:ascii="Cambria" w:hAnsi="Cambria" w:eastAsia="Cambria" w:cs="Cambria"/>
          <w:color w:val="000000" w:themeColor="text1" w:themeTint="FF" w:themeShade="FF"/>
        </w:rPr>
        <w:t xml:space="preserve"> that Arctic stratospheric variability does not explain the temporal modulation of the ENSO–ISMR relationship. In contrast, the SPV–ISMR relationship shows a more consistent positive association after the mid-1980s, and conditioning on ENSO does not </w:t>
      </w:r>
      <w:r w:rsidRPr="0133F806" w:rsidR="25FD6660">
        <w:rPr>
          <w:rFonts w:ascii="Cambria" w:hAnsi="Cambria" w:eastAsia="Cambria" w:cs="Cambria"/>
          <w:color w:val="000000" w:themeColor="text1" w:themeTint="FF" w:themeShade="FF"/>
        </w:rPr>
        <w:t>substantially alter</w:t>
      </w:r>
      <w:r w:rsidRPr="0133F806" w:rsidR="25FD6660">
        <w:rPr>
          <w:rFonts w:ascii="Cambria" w:hAnsi="Cambria" w:eastAsia="Cambria" w:cs="Cambria"/>
          <w:color w:val="000000" w:themeColor="text1" w:themeTint="FF" w:themeShade="FF"/>
        </w:rPr>
        <w:t xml:space="preserve"> its temporal evolution. This suggests that the Arctic pathway </w:t>
      </w:r>
      <w:r w:rsidRPr="0133F806" w:rsidR="25FD6660">
        <w:rPr>
          <w:rFonts w:ascii="Cambria" w:hAnsi="Cambria" w:eastAsia="Cambria" w:cs="Cambria"/>
          <w:color w:val="000000" w:themeColor="text1" w:themeTint="FF" w:themeShade="FF"/>
        </w:rPr>
        <w:t>operates</w:t>
      </w:r>
      <w:r w:rsidRPr="0133F806" w:rsidR="25FD6660">
        <w:rPr>
          <w:rFonts w:ascii="Cambria" w:hAnsi="Cambria" w:eastAsia="Cambria" w:cs="Cambria"/>
          <w:color w:val="000000" w:themeColor="text1" w:themeTint="FF" w:themeShade="FF"/>
        </w:rPr>
        <w:t xml:space="preserve"> </w:t>
      </w:r>
      <w:r w:rsidRPr="0133F806" w:rsidR="25FD6660">
        <w:rPr>
          <w:rFonts w:ascii="Cambria" w:hAnsi="Cambria" w:eastAsia="Cambria" w:cs="Cambria"/>
          <w:color w:val="000000" w:themeColor="text1" w:themeTint="FF" w:themeShade="FF"/>
        </w:rPr>
        <w:t>largely independently</w:t>
      </w:r>
      <w:r w:rsidRPr="0133F806" w:rsidR="25FD6660">
        <w:rPr>
          <w:rFonts w:ascii="Cambria" w:hAnsi="Cambria" w:eastAsia="Cambria" w:cs="Cambria"/>
          <w:color w:val="000000" w:themeColor="text1" w:themeTint="FF" w:themeShade="FF"/>
        </w:rPr>
        <w:t xml:space="preserve"> of ENSO and does not account for the observed non-stationarity in tropical–monsoon coupling.</w:t>
      </w:r>
    </w:p>
    <w:p w:rsidR="74A435CE" w:rsidP="7EE87A31" w:rsidRDefault="6E92A9B1" w14:paraId="2F3BE180" w14:textId="65A1F825">
      <w:pPr>
        <w:pStyle w:val="Heading1"/>
        <w:suppressLineNumbers w:val="0"/>
        <w:bidi w:val="0"/>
        <w:spacing w:before="360" w:beforeAutospacing="off" w:after="80" w:afterAutospacing="off" w:line="279" w:lineRule="auto"/>
        <w:ind w:left="0" w:right="0"/>
        <w:jc w:val="left"/>
        <w:rPr>
          <w:rFonts w:ascii="Cambria" w:hAnsi="Cambria" w:eastAsia="Cambria" w:cs="Cambria"/>
          <w:b w:val="1"/>
          <w:bCs w:val="1"/>
          <w:color w:val="auto"/>
          <w:sz w:val="24"/>
          <w:szCs w:val="24"/>
        </w:rPr>
      </w:pPr>
      <w:r w:rsidRPr="7EE87A31" w:rsidR="6E92A9B1">
        <w:rPr>
          <w:rFonts w:ascii="Cambria" w:hAnsi="Cambria" w:eastAsia="Cambria" w:cs="Cambria"/>
          <w:b w:val="1"/>
          <w:bCs w:val="1"/>
          <w:color w:val="auto"/>
          <w:sz w:val="24"/>
          <w:szCs w:val="24"/>
        </w:rPr>
        <w:t xml:space="preserve">S5 </w:t>
      </w:r>
      <w:r w:rsidRPr="7EE87A31" w:rsidR="4059191B">
        <w:rPr>
          <w:rFonts w:ascii="Cambria" w:hAnsi="Cambria" w:eastAsia="Cambria" w:cs="Cambria"/>
          <w:b w:val="1"/>
          <w:bCs w:val="1"/>
          <w:color w:val="auto"/>
          <w:sz w:val="24"/>
          <w:szCs w:val="24"/>
        </w:rPr>
        <w:t xml:space="preserve">Values </w:t>
      </w:r>
      <w:r w:rsidRPr="7EE87A31" w:rsidR="4059191B">
        <w:rPr>
          <w:rFonts w:ascii="Cambria" w:hAnsi="Cambria" w:eastAsia="Cambria" w:cs="Cambria"/>
          <w:b w:val="1"/>
          <w:bCs w:val="1"/>
          <w:color w:val="auto"/>
          <w:sz w:val="24"/>
          <w:szCs w:val="24"/>
        </w:rPr>
        <w:t>indicate</w:t>
      </w:r>
      <w:r w:rsidRPr="7EE87A31" w:rsidR="4059191B">
        <w:rPr>
          <w:rFonts w:ascii="Cambria" w:hAnsi="Cambria" w:eastAsia="Cambria" w:cs="Cambria"/>
          <w:b w:val="1"/>
          <w:bCs w:val="1"/>
          <w:color w:val="auto"/>
          <w:sz w:val="24"/>
          <w:szCs w:val="24"/>
        </w:rPr>
        <w:t xml:space="preserve"> in-sample predictive skill</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575"/>
        <w:gridCol w:w="1656"/>
        <w:gridCol w:w="1215"/>
        <w:gridCol w:w="1677"/>
        <w:gridCol w:w="1387"/>
      </w:tblGrid>
      <w:tr w:rsidR="71126F44" w:rsidTr="7EE87A31" w14:paraId="70E61226">
        <w:trPr>
          <w:trHeight w:val="300"/>
        </w:trPr>
        <w:tc>
          <w:tcPr>
            <w:tcW w:w="1575" w:type="dxa"/>
            <w:tcMar>
              <w:top w:w="15" w:type="dxa"/>
              <w:left w:w="15" w:type="dxa"/>
              <w:right w:w="15" w:type="dxa"/>
            </w:tcMar>
            <w:vAlign w:val="center"/>
          </w:tcPr>
          <w:p w:rsidR="71126F44" w:rsidP="7EE87A31" w:rsidRDefault="71126F44" w14:paraId="28E58105" w14:textId="15DAB7A8">
            <w:pPr>
              <w:spacing w:before="0" w:beforeAutospacing="off" w:after="0" w:afterAutospacing="off"/>
              <w:jc w:val="left"/>
              <w:rPr>
                <w:rFonts w:ascii="Cambria" w:hAnsi="Cambria" w:eastAsia="Cambria" w:cs="Cambria"/>
                <w:b w:val="1"/>
                <w:bCs w:val="1"/>
                <w:i w:val="0"/>
                <w:iCs w:val="0"/>
                <w:strike w:val="0"/>
                <w:dstrike w:val="0"/>
                <w:color w:val="000000" w:themeColor="text1" w:themeTint="FF" w:themeShade="FF"/>
                <w:sz w:val="24"/>
                <w:szCs w:val="24"/>
                <w:u w:val="none"/>
              </w:rPr>
            </w:pP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ENSO</w:t>
            </w:r>
            <w:r w:rsidRPr="7EE87A31" w:rsidR="561091CE">
              <w:rPr>
                <w:rFonts w:ascii="Cambria" w:hAnsi="Cambria" w:eastAsia="Cambria" w:cs="Cambria"/>
                <w:b w:val="1"/>
                <w:bCs w:val="1"/>
                <w:i w:val="0"/>
                <w:iCs w:val="0"/>
                <w:strike w:val="0"/>
                <w:dstrike w:val="0"/>
                <w:color w:val="000000" w:themeColor="text1" w:themeTint="FF" w:themeShade="FF"/>
                <w:sz w:val="24"/>
                <w:szCs w:val="24"/>
                <w:u w:val="none"/>
              </w:rPr>
              <w:t xml:space="preserve"> </w:t>
            </w: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phase</w:t>
            </w:r>
          </w:p>
        </w:tc>
        <w:tc>
          <w:tcPr>
            <w:tcW w:w="1656" w:type="dxa"/>
            <w:tcMar>
              <w:top w:w="15" w:type="dxa"/>
              <w:left w:w="15" w:type="dxa"/>
              <w:right w:w="15" w:type="dxa"/>
            </w:tcMar>
            <w:vAlign w:val="center"/>
          </w:tcPr>
          <w:p w:rsidR="71126F44" w:rsidP="7EE87A31" w:rsidRDefault="71126F44" w14:paraId="42EAA9B0" w14:textId="1233BFAA">
            <w:pPr>
              <w:spacing w:before="0" w:beforeAutospacing="off" w:after="0" w:afterAutospacing="off"/>
              <w:jc w:val="center"/>
              <w:rPr>
                <w:rFonts w:ascii="Cambria" w:hAnsi="Cambria" w:eastAsia="Cambria" w:cs="Cambria"/>
                <w:b w:val="1"/>
                <w:bCs w:val="1"/>
                <w:i w:val="0"/>
                <w:iCs w:val="0"/>
                <w:strike w:val="0"/>
                <w:dstrike w:val="0"/>
                <w:color w:val="000000" w:themeColor="text1" w:themeTint="FF" w:themeShade="FF"/>
                <w:sz w:val="24"/>
                <w:szCs w:val="24"/>
                <w:u w:val="none"/>
              </w:rPr>
            </w:pP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All</w:t>
            </w:r>
            <w:r w:rsidRPr="7EE87A31" w:rsidR="74DDF78B">
              <w:rPr>
                <w:rFonts w:ascii="Cambria" w:hAnsi="Cambria" w:eastAsia="Cambria" w:cs="Cambria"/>
                <w:b w:val="1"/>
                <w:bCs w:val="1"/>
                <w:i w:val="0"/>
                <w:iCs w:val="0"/>
                <w:strike w:val="0"/>
                <w:dstrike w:val="0"/>
                <w:color w:val="000000" w:themeColor="text1" w:themeTint="FF" w:themeShade="FF"/>
                <w:sz w:val="24"/>
                <w:szCs w:val="24"/>
                <w:u w:val="none"/>
              </w:rPr>
              <w:t xml:space="preserve"> </w:t>
            </w: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years</w:t>
            </w:r>
          </w:p>
        </w:tc>
        <w:tc>
          <w:tcPr>
            <w:tcW w:w="1215" w:type="dxa"/>
            <w:tcMar>
              <w:top w:w="15" w:type="dxa"/>
              <w:left w:w="15" w:type="dxa"/>
              <w:right w:w="15" w:type="dxa"/>
            </w:tcMar>
            <w:vAlign w:val="center"/>
          </w:tcPr>
          <w:p w:rsidR="71126F44" w:rsidP="7EE87A31" w:rsidRDefault="71126F44" w14:paraId="27C9C7E0" w14:textId="0DDEEEBB">
            <w:pPr>
              <w:spacing w:before="0" w:beforeAutospacing="off" w:after="0" w:afterAutospacing="off"/>
              <w:jc w:val="center"/>
              <w:rPr>
                <w:rFonts w:ascii="Cambria" w:hAnsi="Cambria" w:eastAsia="Cambria" w:cs="Cambria"/>
                <w:b w:val="1"/>
                <w:bCs w:val="1"/>
                <w:i w:val="0"/>
                <w:iCs w:val="0"/>
                <w:strike w:val="0"/>
                <w:dstrike w:val="0"/>
                <w:color w:val="000000" w:themeColor="text1" w:themeTint="FF" w:themeShade="FF"/>
                <w:sz w:val="24"/>
                <w:szCs w:val="24"/>
                <w:u w:val="none"/>
              </w:rPr>
            </w:pP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El</w:t>
            </w:r>
            <w:r w:rsidRPr="7EE87A31" w:rsidR="487B1E9B">
              <w:rPr>
                <w:rFonts w:ascii="Cambria" w:hAnsi="Cambria" w:eastAsia="Cambria" w:cs="Cambria"/>
                <w:b w:val="1"/>
                <w:bCs w:val="1"/>
                <w:i w:val="0"/>
                <w:iCs w:val="0"/>
                <w:strike w:val="0"/>
                <w:dstrike w:val="0"/>
                <w:color w:val="000000" w:themeColor="text1" w:themeTint="FF" w:themeShade="FF"/>
                <w:sz w:val="24"/>
                <w:szCs w:val="24"/>
                <w:u w:val="none"/>
              </w:rPr>
              <w:t xml:space="preserve"> </w:t>
            </w: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Niño</w:t>
            </w:r>
          </w:p>
        </w:tc>
        <w:tc>
          <w:tcPr>
            <w:tcW w:w="1677" w:type="dxa"/>
            <w:tcMar>
              <w:top w:w="15" w:type="dxa"/>
              <w:left w:w="15" w:type="dxa"/>
              <w:right w:w="15" w:type="dxa"/>
            </w:tcMar>
            <w:vAlign w:val="center"/>
          </w:tcPr>
          <w:p w:rsidR="71126F44" w:rsidP="7EE87A31" w:rsidRDefault="71126F44" w14:paraId="0C79BFC7" w14:textId="019E103E">
            <w:pPr>
              <w:spacing w:before="0" w:beforeAutospacing="off" w:after="0" w:afterAutospacing="off"/>
              <w:jc w:val="center"/>
              <w:rPr>
                <w:rFonts w:ascii="Cambria" w:hAnsi="Cambria" w:eastAsia="Cambria" w:cs="Cambria"/>
                <w:b w:val="1"/>
                <w:bCs w:val="1"/>
                <w:i w:val="0"/>
                <w:iCs w:val="0"/>
                <w:strike w:val="0"/>
                <w:dstrike w:val="0"/>
                <w:color w:val="000000" w:themeColor="text1" w:themeTint="FF" w:themeShade="FF"/>
                <w:sz w:val="24"/>
                <w:szCs w:val="24"/>
                <w:u w:val="none"/>
              </w:rPr>
            </w:pP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La</w:t>
            </w:r>
            <w:r w:rsidRPr="7EE87A31" w:rsidR="05A984A9">
              <w:rPr>
                <w:rFonts w:ascii="Cambria" w:hAnsi="Cambria" w:eastAsia="Cambria" w:cs="Cambria"/>
                <w:b w:val="1"/>
                <w:bCs w:val="1"/>
                <w:i w:val="0"/>
                <w:iCs w:val="0"/>
                <w:strike w:val="0"/>
                <w:dstrike w:val="0"/>
                <w:color w:val="000000" w:themeColor="text1" w:themeTint="FF" w:themeShade="FF"/>
                <w:sz w:val="24"/>
                <w:szCs w:val="24"/>
                <w:u w:val="none"/>
              </w:rPr>
              <w:t xml:space="preserve"> </w:t>
            </w:r>
            <w:r w:rsidRPr="7EE87A31" w:rsidR="04D3D1BD">
              <w:rPr>
                <w:rFonts w:ascii="Cambria" w:hAnsi="Cambria" w:eastAsia="Cambria" w:cs="Cambria"/>
                <w:b w:val="1"/>
                <w:bCs w:val="1"/>
                <w:i w:val="0"/>
                <w:iCs w:val="0"/>
                <w:strike w:val="0"/>
                <w:dstrike w:val="0"/>
                <w:color w:val="000000" w:themeColor="text1" w:themeTint="FF" w:themeShade="FF"/>
                <w:sz w:val="24"/>
                <w:szCs w:val="24"/>
                <w:u w:val="none"/>
              </w:rPr>
              <w:t>Niña</w:t>
            </w:r>
          </w:p>
        </w:tc>
        <w:tc>
          <w:tcPr>
            <w:tcW w:w="1387" w:type="dxa"/>
            <w:tcMar>
              <w:top w:w="15" w:type="dxa"/>
              <w:left w:w="15" w:type="dxa"/>
              <w:right w:w="15" w:type="dxa"/>
            </w:tcMar>
            <w:vAlign w:val="center"/>
          </w:tcPr>
          <w:p w:rsidR="71126F44" w:rsidP="71126F44" w:rsidRDefault="71126F44" w14:paraId="659A10EC" w14:textId="6DDBB1FB">
            <w:pPr>
              <w:spacing w:before="0" w:beforeAutospacing="off" w:after="0" w:afterAutospacing="off"/>
              <w:jc w:val="center"/>
              <w:rPr>
                <w:rFonts w:ascii="Cambria" w:hAnsi="Cambria" w:eastAsia="Cambria" w:cs="Cambria"/>
                <w:b w:val="1"/>
                <w:bCs w:val="1"/>
                <w:i w:val="0"/>
                <w:iCs w:val="0"/>
                <w:strike w:val="0"/>
                <w:dstrike w:val="0"/>
                <w:color w:val="000000" w:themeColor="text1" w:themeTint="FF" w:themeShade="FF"/>
                <w:sz w:val="24"/>
                <w:szCs w:val="24"/>
                <w:u w:val="none"/>
              </w:rPr>
            </w:pPr>
            <w:r w:rsidRPr="71126F44" w:rsidR="71126F44">
              <w:rPr>
                <w:rFonts w:ascii="Cambria" w:hAnsi="Cambria" w:eastAsia="Cambria" w:cs="Cambria"/>
                <w:b w:val="1"/>
                <w:bCs w:val="1"/>
                <w:i w:val="0"/>
                <w:iCs w:val="0"/>
                <w:strike w:val="0"/>
                <w:dstrike w:val="0"/>
                <w:color w:val="000000" w:themeColor="text1" w:themeTint="FF" w:themeShade="FF"/>
                <w:sz w:val="24"/>
                <w:szCs w:val="24"/>
                <w:u w:val="none"/>
              </w:rPr>
              <w:t xml:space="preserve">   Neutral</w:t>
            </w:r>
          </w:p>
        </w:tc>
      </w:tr>
      <w:tr w:rsidR="71126F44" w:rsidTr="7EE87A31" w14:paraId="5E84252D">
        <w:trPr>
          <w:trHeight w:val="300"/>
        </w:trPr>
        <w:tc>
          <w:tcPr>
            <w:tcW w:w="1575" w:type="dxa"/>
            <w:tcMar>
              <w:top w:w="15" w:type="dxa"/>
              <w:left w:w="15" w:type="dxa"/>
              <w:right w:w="15" w:type="dxa"/>
            </w:tcMar>
            <w:vAlign w:val="center"/>
          </w:tcPr>
          <w:p w:rsidR="71126F44" w:rsidP="71126F44" w:rsidRDefault="71126F44" w14:paraId="1E7637AC" w14:textId="14F5BF78">
            <w:pPr>
              <w:spacing w:before="0" w:beforeAutospacing="off" w:after="0" w:afterAutospacing="off"/>
              <w:jc w:val="lef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ENSO+SPV</w:t>
            </w:r>
          </w:p>
        </w:tc>
        <w:tc>
          <w:tcPr>
            <w:tcW w:w="1656" w:type="dxa"/>
            <w:tcMar>
              <w:top w:w="15" w:type="dxa"/>
              <w:left w:w="15" w:type="dxa"/>
              <w:right w:w="15" w:type="dxa"/>
            </w:tcMar>
            <w:vAlign w:val="bottom"/>
          </w:tcPr>
          <w:p w:rsidR="71126F44" w:rsidP="71126F44" w:rsidRDefault="71126F44" w14:paraId="52CBD6A2" w14:textId="6D4FA2DC">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0.32</w:t>
            </w:r>
          </w:p>
        </w:tc>
        <w:tc>
          <w:tcPr>
            <w:tcW w:w="1215" w:type="dxa"/>
            <w:tcMar>
              <w:top w:w="15" w:type="dxa"/>
              <w:left w:w="15" w:type="dxa"/>
              <w:right w:w="15" w:type="dxa"/>
            </w:tcMar>
            <w:vAlign w:val="bottom"/>
          </w:tcPr>
          <w:p w:rsidR="71126F44" w:rsidP="71126F44" w:rsidRDefault="71126F44" w14:paraId="7A20B27F" w14:textId="4F5E7499">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0.37</w:t>
            </w:r>
          </w:p>
        </w:tc>
        <w:tc>
          <w:tcPr>
            <w:tcW w:w="1677" w:type="dxa"/>
            <w:tcMar>
              <w:top w:w="15" w:type="dxa"/>
              <w:left w:w="15" w:type="dxa"/>
              <w:right w:w="15" w:type="dxa"/>
            </w:tcMar>
            <w:vAlign w:val="bottom"/>
          </w:tcPr>
          <w:p w:rsidR="71126F44" w:rsidP="71126F44" w:rsidRDefault="71126F44" w14:paraId="39978EA3" w14:textId="71B1206C">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0.27</w:t>
            </w:r>
          </w:p>
        </w:tc>
        <w:tc>
          <w:tcPr>
            <w:tcW w:w="1387" w:type="dxa"/>
            <w:tcMar>
              <w:top w:w="15" w:type="dxa"/>
              <w:left w:w="15" w:type="dxa"/>
              <w:right w:w="15" w:type="dxa"/>
            </w:tcMar>
            <w:vAlign w:val="bottom"/>
          </w:tcPr>
          <w:p w:rsidR="71126F44" w:rsidP="71126F44" w:rsidRDefault="71126F44" w14:paraId="4D89E24A" w14:textId="0E09D857">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0.32</w:t>
            </w:r>
          </w:p>
        </w:tc>
      </w:tr>
      <w:tr w:rsidR="71126F44" w:rsidTr="7EE87A31" w14:paraId="59E37BA7">
        <w:trPr>
          <w:trHeight w:val="300"/>
        </w:trPr>
        <w:tc>
          <w:tcPr>
            <w:tcW w:w="1575" w:type="dxa"/>
            <w:tcMar>
              <w:top w:w="15" w:type="dxa"/>
              <w:left w:w="15" w:type="dxa"/>
              <w:right w:w="15" w:type="dxa"/>
            </w:tcMar>
            <w:vAlign w:val="center"/>
          </w:tcPr>
          <w:p w:rsidR="71126F44" w:rsidP="7EE87A31" w:rsidRDefault="71126F44" w14:paraId="4F95944D" w14:textId="07446490">
            <w:pPr>
              <w:spacing w:before="0" w:beforeAutospacing="off" w:after="0" w:afterAutospacing="off"/>
              <w:jc w:val="left"/>
              <w:rPr>
                <w:rFonts w:ascii="Cambria" w:hAnsi="Cambria" w:eastAsia="Cambria" w:cs="Cambria"/>
                <w:b w:val="0"/>
                <w:bCs w:val="0"/>
                <w:i w:val="0"/>
                <w:iCs w:val="0"/>
                <w:strike w:val="0"/>
                <w:dstrike w:val="0"/>
                <w:color w:val="000000" w:themeColor="text1" w:themeTint="FF" w:themeShade="FF"/>
                <w:sz w:val="24"/>
                <w:szCs w:val="24"/>
                <w:u w:val="none"/>
              </w:rPr>
            </w:pPr>
            <w:r w:rsidRPr="7EE87A31" w:rsidR="04D3D1BD">
              <w:rPr>
                <w:rFonts w:ascii="Cambria" w:hAnsi="Cambria" w:eastAsia="Cambria" w:cs="Cambria"/>
                <w:b w:val="0"/>
                <w:bCs w:val="0"/>
                <w:i w:val="0"/>
                <w:iCs w:val="0"/>
                <w:strike w:val="0"/>
                <w:dstrike w:val="0"/>
                <w:color w:val="000000" w:themeColor="text1" w:themeTint="FF" w:themeShade="FF"/>
                <w:sz w:val="24"/>
                <w:szCs w:val="24"/>
                <w:u w:val="none"/>
              </w:rPr>
              <w:t>ENSO</w:t>
            </w:r>
            <w:r w:rsidRPr="7EE87A31" w:rsidR="07CAFAD7">
              <w:rPr>
                <w:rFonts w:ascii="Cambria" w:hAnsi="Cambria" w:eastAsia="Cambria" w:cs="Cambria"/>
                <w:b w:val="0"/>
                <w:bCs w:val="0"/>
                <w:i w:val="0"/>
                <w:iCs w:val="0"/>
                <w:strike w:val="0"/>
                <w:dstrike w:val="0"/>
                <w:color w:val="000000" w:themeColor="text1" w:themeTint="FF" w:themeShade="FF"/>
                <w:sz w:val="24"/>
                <w:szCs w:val="24"/>
                <w:u w:val="none"/>
              </w:rPr>
              <w:t xml:space="preserve"> </w:t>
            </w:r>
            <w:r w:rsidRPr="7EE87A31" w:rsidR="04D3D1BD">
              <w:rPr>
                <w:rFonts w:ascii="Cambria" w:hAnsi="Cambria" w:eastAsia="Cambria" w:cs="Cambria"/>
                <w:b w:val="0"/>
                <w:bCs w:val="0"/>
                <w:i w:val="0"/>
                <w:iCs w:val="0"/>
                <w:strike w:val="0"/>
                <w:dstrike w:val="0"/>
                <w:color w:val="000000" w:themeColor="text1" w:themeTint="FF" w:themeShade="FF"/>
                <w:sz w:val="24"/>
                <w:szCs w:val="24"/>
                <w:u w:val="none"/>
              </w:rPr>
              <w:t>only</w:t>
            </w:r>
          </w:p>
        </w:tc>
        <w:tc>
          <w:tcPr>
            <w:tcW w:w="1656" w:type="dxa"/>
            <w:tcMar>
              <w:top w:w="15" w:type="dxa"/>
              <w:left w:w="15" w:type="dxa"/>
              <w:right w:w="15" w:type="dxa"/>
            </w:tcMar>
            <w:vAlign w:val="bottom"/>
          </w:tcPr>
          <w:p w:rsidR="71126F44" w:rsidP="71126F44" w:rsidRDefault="71126F44" w14:paraId="3C602A13" w14:textId="6F1DDD22">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0.26</w:t>
            </w:r>
          </w:p>
        </w:tc>
        <w:tc>
          <w:tcPr>
            <w:tcW w:w="1215" w:type="dxa"/>
            <w:tcMar>
              <w:top w:w="15" w:type="dxa"/>
              <w:left w:w="15" w:type="dxa"/>
              <w:right w:w="15" w:type="dxa"/>
            </w:tcMar>
            <w:vAlign w:val="bottom"/>
          </w:tcPr>
          <w:p w:rsidR="71126F44" w:rsidP="71126F44" w:rsidRDefault="71126F44" w14:paraId="77BB346D" w14:textId="52B1748A">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0.14</w:t>
            </w:r>
          </w:p>
        </w:tc>
        <w:tc>
          <w:tcPr>
            <w:tcW w:w="1677" w:type="dxa"/>
            <w:tcMar>
              <w:top w:w="15" w:type="dxa"/>
              <w:left w:w="15" w:type="dxa"/>
              <w:right w:w="15" w:type="dxa"/>
            </w:tcMar>
            <w:vAlign w:val="bottom"/>
          </w:tcPr>
          <w:p w:rsidR="71126F44" w:rsidP="71126F44" w:rsidRDefault="71126F44" w14:paraId="3DD5FBB2" w14:textId="78EB9BD2">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0.25</w:t>
            </w:r>
          </w:p>
        </w:tc>
        <w:tc>
          <w:tcPr>
            <w:tcW w:w="1387" w:type="dxa"/>
            <w:tcMar>
              <w:top w:w="15" w:type="dxa"/>
              <w:left w:w="15" w:type="dxa"/>
              <w:right w:w="15" w:type="dxa"/>
            </w:tcMar>
            <w:vAlign w:val="bottom"/>
          </w:tcPr>
          <w:p w:rsidR="71126F44" w:rsidP="71126F44" w:rsidRDefault="71126F44" w14:paraId="6089035D" w14:textId="013C65DD">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0.15</w:t>
            </w:r>
          </w:p>
        </w:tc>
      </w:tr>
      <w:tr w:rsidR="71126F44" w:rsidTr="7EE87A31" w14:paraId="45A0D023">
        <w:trPr>
          <w:trHeight w:val="300"/>
        </w:trPr>
        <w:tc>
          <w:tcPr>
            <w:tcW w:w="1575" w:type="dxa"/>
            <w:tcMar>
              <w:top w:w="15" w:type="dxa"/>
              <w:left w:w="15" w:type="dxa"/>
              <w:right w:w="15" w:type="dxa"/>
            </w:tcMar>
            <w:vAlign w:val="center"/>
          </w:tcPr>
          <w:p w:rsidR="71126F44" w:rsidP="7EE87A31" w:rsidRDefault="71126F44" w14:paraId="330154F0" w14:textId="3C75062E">
            <w:pPr>
              <w:spacing w:before="0" w:beforeAutospacing="off" w:after="0" w:afterAutospacing="off"/>
              <w:jc w:val="left"/>
              <w:rPr>
                <w:rFonts w:ascii="Cambria" w:hAnsi="Cambria" w:eastAsia="Cambria" w:cs="Cambria"/>
                <w:b w:val="0"/>
                <w:bCs w:val="0"/>
                <w:i w:val="0"/>
                <w:iCs w:val="0"/>
                <w:strike w:val="0"/>
                <w:dstrike w:val="0"/>
                <w:color w:val="000000" w:themeColor="text1" w:themeTint="FF" w:themeShade="FF"/>
                <w:sz w:val="24"/>
                <w:szCs w:val="24"/>
                <w:u w:val="none"/>
              </w:rPr>
            </w:pPr>
            <w:r w:rsidRPr="7EE87A31" w:rsidR="04D3D1BD">
              <w:rPr>
                <w:rFonts w:ascii="Cambria" w:hAnsi="Cambria" w:eastAsia="Cambria" w:cs="Cambria"/>
                <w:b w:val="0"/>
                <w:bCs w:val="0"/>
                <w:i w:val="0"/>
                <w:iCs w:val="0"/>
                <w:strike w:val="0"/>
                <w:dstrike w:val="0"/>
                <w:color w:val="000000" w:themeColor="text1" w:themeTint="FF" w:themeShade="FF"/>
                <w:sz w:val="24"/>
                <w:szCs w:val="24"/>
                <w:u w:val="none"/>
              </w:rPr>
              <w:t>SPV</w:t>
            </w:r>
            <w:r w:rsidRPr="7EE87A31" w:rsidR="488EC216">
              <w:rPr>
                <w:rFonts w:ascii="Cambria" w:hAnsi="Cambria" w:eastAsia="Cambria" w:cs="Cambria"/>
                <w:b w:val="0"/>
                <w:bCs w:val="0"/>
                <w:i w:val="0"/>
                <w:iCs w:val="0"/>
                <w:strike w:val="0"/>
                <w:dstrike w:val="0"/>
                <w:color w:val="000000" w:themeColor="text1" w:themeTint="FF" w:themeShade="FF"/>
                <w:sz w:val="24"/>
                <w:szCs w:val="24"/>
                <w:u w:val="none"/>
              </w:rPr>
              <w:t xml:space="preserve"> </w:t>
            </w:r>
            <w:r w:rsidRPr="7EE87A31" w:rsidR="04D3D1BD">
              <w:rPr>
                <w:rFonts w:ascii="Cambria" w:hAnsi="Cambria" w:eastAsia="Cambria" w:cs="Cambria"/>
                <w:b w:val="0"/>
                <w:bCs w:val="0"/>
                <w:i w:val="0"/>
                <w:iCs w:val="0"/>
                <w:strike w:val="0"/>
                <w:dstrike w:val="0"/>
                <w:color w:val="000000" w:themeColor="text1" w:themeTint="FF" w:themeShade="FF"/>
                <w:sz w:val="24"/>
                <w:szCs w:val="24"/>
                <w:u w:val="none"/>
              </w:rPr>
              <w:t>only</w:t>
            </w:r>
          </w:p>
        </w:tc>
        <w:tc>
          <w:tcPr>
            <w:tcW w:w="1656" w:type="dxa"/>
            <w:tcMar>
              <w:top w:w="15" w:type="dxa"/>
              <w:left w:w="15" w:type="dxa"/>
              <w:right w:w="15" w:type="dxa"/>
            </w:tcMar>
            <w:vAlign w:val="bottom"/>
          </w:tcPr>
          <w:p w:rsidR="71126F44" w:rsidP="71126F44" w:rsidRDefault="71126F44" w14:paraId="62D8E0E4" w14:textId="392CF3D3">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0.14</w:t>
            </w:r>
          </w:p>
        </w:tc>
        <w:tc>
          <w:tcPr>
            <w:tcW w:w="1215" w:type="dxa"/>
            <w:tcMar>
              <w:top w:w="15" w:type="dxa"/>
              <w:left w:w="15" w:type="dxa"/>
              <w:right w:w="15" w:type="dxa"/>
            </w:tcMar>
            <w:vAlign w:val="bottom"/>
          </w:tcPr>
          <w:p w:rsidR="71126F44" w:rsidP="71126F44" w:rsidRDefault="71126F44" w14:paraId="18999A98" w14:textId="2C2F07DE">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0.37</w:t>
            </w:r>
          </w:p>
        </w:tc>
        <w:tc>
          <w:tcPr>
            <w:tcW w:w="1677" w:type="dxa"/>
            <w:tcMar>
              <w:top w:w="15" w:type="dxa"/>
              <w:left w:w="15" w:type="dxa"/>
              <w:right w:w="15" w:type="dxa"/>
            </w:tcMar>
            <w:vAlign w:val="bottom"/>
          </w:tcPr>
          <w:p w:rsidR="71126F44" w:rsidP="71126F44" w:rsidRDefault="71126F44" w14:paraId="0F10751F" w14:textId="00674487">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0.06</w:t>
            </w:r>
          </w:p>
        </w:tc>
        <w:tc>
          <w:tcPr>
            <w:tcW w:w="1387" w:type="dxa"/>
            <w:tcMar>
              <w:top w:w="15" w:type="dxa"/>
              <w:left w:w="15" w:type="dxa"/>
              <w:right w:w="15" w:type="dxa"/>
            </w:tcMar>
            <w:vAlign w:val="bottom"/>
          </w:tcPr>
          <w:p w:rsidR="71126F44" w:rsidP="71126F44" w:rsidRDefault="71126F44" w14:paraId="06285944" w14:textId="3C22C499">
            <w:pPr>
              <w:spacing w:before="0" w:beforeAutospacing="off" w:after="0" w:afterAutospacing="off"/>
              <w:jc w:val="right"/>
              <w:rPr>
                <w:rFonts w:ascii="Cambria" w:hAnsi="Cambria" w:eastAsia="Cambria" w:cs="Cambria"/>
                <w:b w:val="0"/>
                <w:bCs w:val="0"/>
                <w:i w:val="0"/>
                <w:iCs w:val="0"/>
                <w:strike w:val="0"/>
                <w:dstrike w:val="0"/>
                <w:color w:val="000000" w:themeColor="text1" w:themeTint="FF" w:themeShade="FF"/>
                <w:sz w:val="24"/>
                <w:szCs w:val="24"/>
                <w:u w:val="none"/>
              </w:rPr>
            </w:pPr>
            <w:r w:rsidRPr="71126F44" w:rsidR="71126F44">
              <w:rPr>
                <w:rFonts w:ascii="Cambria" w:hAnsi="Cambria" w:eastAsia="Cambria" w:cs="Cambria"/>
                <w:b w:val="0"/>
                <w:bCs w:val="0"/>
                <w:i w:val="0"/>
                <w:iCs w:val="0"/>
                <w:strike w:val="0"/>
                <w:dstrike w:val="0"/>
                <w:color w:val="000000" w:themeColor="text1" w:themeTint="FF" w:themeShade="FF"/>
                <w:sz w:val="24"/>
                <w:szCs w:val="24"/>
                <w:u w:val="none"/>
              </w:rPr>
              <w:t>0.26</w:t>
            </w:r>
          </w:p>
        </w:tc>
      </w:tr>
    </w:tbl>
    <w:p w:rsidR="71126F44" w:rsidP="71126F44" w:rsidRDefault="71126F44" w14:paraId="1DEF9C69" w14:textId="7931C49E">
      <w:pPr>
        <w:jc w:val="both"/>
        <w:rPr>
          <w:rFonts w:ascii="Cambria" w:hAnsi="Cambria" w:eastAsia="Cambria" w:cs="Cambria"/>
          <w:color w:val="auto"/>
        </w:rPr>
      </w:pPr>
    </w:p>
    <w:p w:rsidR="0DD930D9" w:rsidP="0133F806" w:rsidRDefault="0DD930D9" w14:paraId="69359F81" w14:textId="08F9C10C">
      <w:pPr>
        <w:pStyle w:val="Normal"/>
        <w:jc w:val="both"/>
        <w:rPr>
          <w:rFonts w:ascii="Cambria" w:hAnsi="Cambria" w:eastAsia="Cambria" w:cs="Cambria"/>
          <w:b w:val="1"/>
          <w:bCs w:val="1"/>
        </w:rPr>
      </w:pPr>
    </w:p>
    <w:sectPr w:rsidR="0DD930D9">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611D67"/>
    <w:rsid w:val="001BDEA7"/>
    <w:rsid w:val="003F6AA2"/>
    <w:rsid w:val="00445D3C"/>
    <w:rsid w:val="006B4A82"/>
    <w:rsid w:val="0075D0DE"/>
    <w:rsid w:val="0096404B"/>
    <w:rsid w:val="00B1114A"/>
    <w:rsid w:val="00B56528"/>
    <w:rsid w:val="00E1E14B"/>
    <w:rsid w:val="00E55CFA"/>
    <w:rsid w:val="0133F806"/>
    <w:rsid w:val="02063CEE"/>
    <w:rsid w:val="0304CEE0"/>
    <w:rsid w:val="03F583E1"/>
    <w:rsid w:val="03F73DC5"/>
    <w:rsid w:val="04AEA424"/>
    <w:rsid w:val="04D3D1BD"/>
    <w:rsid w:val="054285B6"/>
    <w:rsid w:val="05A984A9"/>
    <w:rsid w:val="06BCCBCA"/>
    <w:rsid w:val="06F1C7B6"/>
    <w:rsid w:val="06F3C2B9"/>
    <w:rsid w:val="07CAFAD7"/>
    <w:rsid w:val="07ECA572"/>
    <w:rsid w:val="0964A93F"/>
    <w:rsid w:val="09B15CB8"/>
    <w:rsid w:val="0B1E5A69"/>
    <w:rsid w:val="0B6DDF85"/>
    <w:rsid w:val="0C870945"/>
    <w:rsid w:val="0D4E4FBC"/>
    <w:rsid w:val="0DD930D9"/>
    <w:rsid w:val="0E24C97E"/>
    <w:rsid w:val="0E991538"/>
    <w:rsid w:val="0EFA0016"/>
    <w:rsid w:val="0FB9F4AA"/>
    <w:rsid w:val="0FE953D6"/>
    <w:rsid w:val="10AA7B47"/>
    <w:rsid w:val="12285E38"/>
    <w:rsid w:val="130C5291"/>
    <w:rsid w:val="140055C9"/>
    <w:rsid w:val="163B70A7"/>
    <w:rsid w:val="1661B289"/>
    <w:rsid w:val="167FD1A8"/>
    <w:rsid w:val="18BF30E3"/>
    <w:rsid w:val="1ABB1845"/>
    <w:rsid w:val="1AF945EA"/>
    <w:rsid w:val="1B67CD14"/>
    <w:rsid w:val="1B97DFD6"/>
    <w:rsid w:val="1C10CE72"/>
    <w:rsid w:val="1DE440A3"/>
    <w:rsid w:val="1FF327CF"/>
    <w:rsid w:val="20558724"/>
    <w:rsid w:val="20BAAB1F"/>
    <w:rsid w:val="2139ADC9"/>
    <w:rsid w:val="21F407CF"/>
    <w:rsid w:val="22A4CE45"/>
    <w:rsid w:val="24DB0660"/>
    <w:rsid w:val="24E02891"/>
    <w:rsid w:val="2584D3B1"/>
    <w:rsid w:val="25FD6660"/>
    <w:rsid w:val="27543B69"/>
    <w:rsid w:val="27895E07"/>
    <w:rsid w:val="29633893"/>
    <w:rsid w:val="29A47736"/>
    <w:rsid w:val="29AE66FE"/>
    <w:rsid w:val="2ABD5400"/>
    <w:rsid w:val="2B0B8661"/>
    <w:rsid w:val="2B132E1F"/>
    <w:rsid w:val="2B6C7ED4"/>
    <w:rsid w:val="2BC482C0"/>
    <w:rsid w:val="2C87BB7C"/>
    <w:rsid w:val="2D22D539"/>
    <w:rsid w:val="2E154D92"/>
    <w:rsid w:val="2E9DF1F9"/>
    <w:rsid w:val="2F6C4120"/>
    <w:rsid w:val="2F77E749"/>
    <w:rsid w:val="2F9AC61D"/>
    <w:rsid w:val="2FE3E16A"/>
    <w:rsid w:val="30839C40"/>
    <w:rsid w:val="309ABB70"/>
    <w:rsid w:val="3275BDD1"/>
    <w:rsid w:val="32DD8BA7"/>
    <w:rsid w:val="33D7E351"/>
    <w:rsid w:val="340819D3"/>
    <w:rsid w:val="3499EC53"/>
    <w:rsid w:val="35EA14C1"/>
    <w:rsid w:val="3908CD23"/>
    <w:rsid w:val="3A20BCA8"/>
    <w:rsid w:val="3AA43F6E"/>
    <w:rsid w:val="3CF6B2A6"/>
    <w:rsid w:val="3D0E9A85"/>
    <w:rsid w:val="3D6F69D5"/>
    <w:rsid w:val="3DEA640B"/>
    <w:rsid w:val="3F597B87"/>
    <w:rsid w:val="3F87FD63"/>
    <w:rsid w:val="3FAA45D3"/>
    <w:rsid w:val="4059191B"/>
    <w:rsid w:val="40BD3832"/>
    <w:rsid w:val="40EB8796"/>
    <w:rsid w:val="412527B8"/>
    <w:rsid w:val="416A632C"/>
    <w:rsid w:val="4256A405"/>
    <w:rsid w:val="42B60AE8"/>
    <w:rsid w:val="4345349C"/>
    <w:rsid w:val="45A3D59D"/>
    <w:rsid w:val="460DDF84"/>
    <w:rsid w:val="4679459D"/>
    <w:rsid w:val="46951D8E"/>
    <w:rsid w:val="46A438F9"/>
    <w:rsid w:val="46FC6759"/>
    <w:rsid w:val="47155576"/>
    <w:rsid w:val="4836E003"/>
    <w:rsid w:val="487B1E9B"/>
    <w:rsid w:val="488EC216"/>
    <w:rsid w:val="48DDD3CD"/>
    <w:rsid w:val="4921D9EE"/>
    <w:rsid w:val="4948B6C7"/>
    <w:rsid w:val="4A611D67"/>
    <w:rsid w:val="4AD90B1F"/>
    <w:rsid w:val="4CAE0F9C"/>
    <w:rsid w:val="4E3C4E08"/>
    <w:rsid w:val="4ED6873F"/>
    <w:rsid w:val="4EF9C970"/>
    <w:rsid w:val="4F112D60"/>
    <w:rsid w:val="4F740AAE"/>
    <w:rsid w:val="55D48AF6"/>
    <w:rsid w:val="5603524F"/>
    <w:rsid w:val="561091CE"/>
    <w:rsid w:val="592DD6A5"/>
    <w:rsid w:val="5983324B"/>
    <w:rsid w:val="59C9FA35"/>
    <w:rsid w:val="5AA60E45"/>
    <w:rsid w:val="5BAEBB9F"/>
    <w:rsid w:val="5C11652E"/>
    <w:rsid w:val="5D79820F"/>
    <w:rsid w:val="5D7D8131"/>
    <w:rsid w:val="5DD4AA4B"/>
    <w:rsid w:val="5E947F19"/>
    <w:rsid w:val="5F874C08"/>
    <w:rsid w:val="609D3D01"/>
    <w:rsid w:val="619AA5A6"/>
    <w:rsid w:val="61C1F530"/>
    <w:rsid w:val="61DD7762"/>
    <w:rsid w:val="61FF5387"/>
    <w:rsid w:val="62B17947"/>
    <w:rsid w:val="62EED338"/>
    <w:rsid w:val="630655B0"/>
    <w:rsid w:val="63101093"/>
    <w:rsid w:val="63788CFF"/>
    <w:rsid w:val="63B56C83"/>
    <w:rsid w:val="65E2B08A"/>
    <w:rsid w:val="66655C03"/>
    <w:rsid w:val="671541FC"/>
    <w:rsid w:val="671EE5EC"/>
    <w:rsid w:val="67D15509"/>
    <w:rsid w:val="68DEE067"/>
    <w:rsid w:val="692BA3DD"/>
    <w:rsid w:val="6DF21EA8"/>
    <w:rsid w:val="6E92A9B1"/>
    <w:rsid w:val="6F72F17D"/>
    <w:rsid w:val="70530CB3"/>
    <w:rsid w:val="70FFD2B4"/>
    <w:rsid w:val="71126F44"/>
    <w:rsid w:val="714235B8"/>
    <w:rsid w:val="716FD56E"/>
    <w:rsid w:val="7177E01A"/>
    <w:rsid w:val="72B2C155"/>
    <w:rsid w:val="72B85052"/>
    <w:rsid w:val="72ECDAF3"/>
    <w:rsid w:val="743F3872"/>
    <w:rsid w:val="74A31EEB"/>
    <w:rsid w:val="74A435CE"/>
    <w:rsid w:val="74DDF78B"/>
    <w:rsid w:val="7548CD11"/>
    <w:rsid w:val="758B5DEA"/>
    <w:rsid w:val="759E0780"/>
    <w:rsid w:val="76775EEC"/>
    <w:rsid w:val="76896CA3"/>
    <w:rsid w:val="77733D9E"/>
    <w:rsid w:val="77F0583B"/>
    <w:rsid w:val="78D72271"/>
    <w:rsid w:val="79E059AB"/>
    <w:rsid w:val="7A5C523F"/>
    <w:rsid w:val="7B1A8A0C"/>
    <w:rsid w:val="7B4B40B7"/>
    <w:rsid w:val="7BF590A4"/>
    <w:rsid w:val="7CA4A311"/>
    <w:rsid w:val="7CF4B1DD"/>
    <w:rsid w:val="7EC506BC"/>
    <w:rsid w:val="7EE87A31"/>
    <w:rsid w:val="7F561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E701F"/>
  <w15:chartTrackingRefBased/>
  <w15:docId w15:val="{8B2DBC30-DFDB-44D3-B6D6-01224BEC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70530CB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70FFD2B4"/>
    <w:rPr>
      <w:color w:val="467886"/>
      <w:u w:val="single"/>
    </w:rPr>
  </w:style>
  <w:style w:type="character" w:styleId="Heading1Char" w:customStyle="1">
    <w:name w:val="Heading 1 Char"/>
    <w:basedOn w:val="DefaultParagraphFont"/>
    <w:link w:val="Heading1"/>
    <w:uiPriority w:val="9"/>
    <w:rsid w:val="70530CB3"/>
    <w:rPr>
      <w:rFonts w:asciiTheme="majorHAnsi" w:hAnsiTheme="majorHAnsi" w:eastAsiaTheme="majorEastAsia" w:cstheme="majorBidi"/>
      <w:color w:val="0F4761" w:themeColor="accent1" w:themeShade="BF"/>
      <w:sz w:val="40"/>
      <w:szCs w:val="40"/>
    </w:rPr>
  </w:style>
  <w:style w:type="paragraph" w:styleId="Revision">
    <w:name w:val="Revision"/>
    <w:hidden/>
    <w:uiPriority w:val="99"/>
    <w:semiHidden/>
    <w:rsid w:val="0096404B"/>
    <w:pPr>
      <w:spacing w:after="0" w:line="240" w:lineRule="auto"/>
    </w:pPr>
  </w:style>
  <w:style w:type="character" w:styleId="CommentReference">
    <w:name w:val="annotation reference"/>
    <w:basedOn w:val="DefaultParagraphFont"/>
    <w:uiPriority w:val="99"/>
    <w:semiHidden/>
    <w:unhideWhenUsed/>
    <w:rsid w:val="0096404B"/>
    <w:rPr>
      <w:sz w:val="16"/>
      <w:szCs w:val="16"/>
    </w:rPr>
  </w:style>
  <w:style w:type="paragraph" w:styleId="CommentText">
    <w:name w:val="annotation text"/>
    <w:basedOn w:val="Normal"/>
    <w:link w:val="CommentTextChar"/>
    <w:uiPriority w:val="99"/>
    <w:unhideWhenUsed/>
    <w:rsid w:val="0096404B"/>
    <w:pPr>
      <w:spacing w:line="240" w:lineRule="auto"/>
    </w:pPr>
    <w:rPr>
      <w:sz w:val="20"/>
      <w:szCs w:val="20"/>
    </w:rPr>
  </w:style>
  <w:style w:type="character" w:styleId="CommentTextChar" w:customStyle="1">
    <w:name w:val="Comment Text Char"/>
    <w:basedOn w:val="DefaultParagraphFont"/>
    <w:link w:val="CommentText"/>
    <w:uiPriority w:val="99"/>
    <w:rsid w:val="0096404B"/>
    <w:rPr>
      <w:sz w:val="20"/>
      <w:szCs w:val="20"/>
    </w:rPr>
  </w:style>
  <w:style w:type="paragraph" w:styleId="CommentSubject">
    <w:name w:val="annotation subject"/>
    <w:basedOn w:val="CommentText"/>
    <w:next w:val="CommentText"/>
    <w:link w:val="CommentSubjectChar"/>
    <w:uiPriority w:val="99"/>
    <w:semiHidden/>
    <w:unhideWhenUsed/>
    <w:rsid w:val="0096404B"/>
    <w:rPr>
      <w:b/>
      <w:bCs/>
    </w:rPr>
  </w:style>
  <w:style w:type="character" w:styleId="CommentSubjectChar" w:customStyle="1">
    <w:name w:val="Comment Subject Char"/>
    <w:basedOn w:val="CommentTextChar"/>
    <w:link w:val="CommentSubject"/>
    <w:uiPriority w:val="99"/>
    <w:semiHidden/>
    <w:rsid w:val="0096404B"/>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8" /><Relationship Type="http://schemas.openxmlformats.org/officeDocument/2006/relationships/theme" Target="theme/theme1.xml" Id="rId18" /><Relationship Type="http://schemas.openxmlformats.org/officeDocument/2006/relationships/webSettings" Target="webSettings.xml" Id="rId3" /><Relationship Type="http://schemas.microsoft.com/office/2011/relationships/commentsExtended" Target="commentsExtended.xml" Id="rId7" /><Relationship Type="http://schemas.microsoft.com/office/2011/relationships/people" Target="people.xml" Id="rId17" /><Relationship Type="http://schemas.openxmlformats.org/officeDocument/2006/relationships/settings" Target="setting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image" Target="/media/image8.png" Id="rId2104779449" /><Relationship Type="http://schemas.openxmlformats.org/officeDocument/2006/relationships/image" Target="/media/image9.png" Id="rId516312835" /><Relationship Type="http://schemas.openxmlformats.org/officeDocument/2006/relationships/image" Target="/media/imagea.png" Id="rId86272889" /><Relationship Type="http://schemas.openxmlformats.org/officeDocument/2006/relationships/image" Target="/media/image6.png" Id="rId3064471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SUJATA KULKARNI</dc:creator>
  <keywords/>
  <dc:description/>
  <lastModifiedBy>SUJATA KULKARNI</lastModifiedBy>
  <revision>8</revision>
  <dcterms:created xsi:type="dcterms:W3CDTF">2026-03-20T10:19:00.0000000Z</dcterms:created>
  <dcterms:modified xsi:type="dcterms:W3CDTF">2026-05-12T14:13:53.1226342Z</dcterms:modified>
</coreProperties>
</file>