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66F63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 xml:space="preserve">SUPPLEMENTARY FIGURE LEGENDS </w:t>
      </w:r>
    </w:p>
    <w:p w14:paraId="2D4BE895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542657C5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Supplementary Figure 1:</w:t>
      </w:r>
      <w:r w:rsidRPr="00D62526">
        <w:rPr>
          <w:rFonts w:ascii="Arial" w:hAnsi="Arial" w:cs="Arial"/>
          <w:b/>
          <w:bCs/>
          <w:sz w:val="22"/>
          <w:szCs w:val="22"/>
          <w:lang w:val="en-US"/>
        </w:rPr>
        <w:br/>
        <w:t>(A-F)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V600E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Scl+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mice and </w:t>
      </w:r>
      <w:proofErr w:type="spellStart"/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wt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Scl</w:t>
      </w:r>
      <w:proofErr w:type="spellEnd"/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mice were generated as described in Fig 1A. </w:t>
      </w:r>
    </w:p>
    <w:p w14:paraId="5E0210E2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(A)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Representative images of spleen, lung, and femurs at 4 weeks post tamoxifen injections.</w:t>
      </w:r>
    </w:p>
    <w:p w14:paraId="104E92A9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(B)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Liver and spleen weights.</w:t>
      </w:r>
    </w:p>
    <w:p w14:paraId="315D07BB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highlight w:val="lightGray"/>
          <w:lang w:val="en-US"/>
        </w:rPr>
        <w:t>(C)</w:t>
      </w:r>
      <w:r w:rsidRPr="00D62526">
        <w:rPr>
          <w:rFonts w:ascii="Arial" w:hAnsi="Arial" w:cs="Arial"/>
          <w:sz w:val="22"/>
          <w:szCs w:val="22"/>
          <w:highlight w:val="lightGray"/>
          <w:lang w:val="en-US"/>
        </w:rPr>
        <w:t xml:space="preserve"> Absolute number of BM cells in </w:t>
      </w:r>
      <w:r w:rsidRPr="00D62526">
        <w:rPr>
          <w:rFonts w:ascii="Arial" w:hAnsi="Arial" w:cs="Arial"/>
          <w:i/>
          <w:iCs/>
          <w:sz w:val="22"/>
          <w:szCs w:val="22"/>
          <w:highlight w:val="lightGray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highlight w:val="lightGray"/>
          <w:lang w:val="en-US"/>
        </w:rPr>
        <w:t>V600E</w:t>
      </w:r>
      <w:r w:rsidRPr="00D62526">
        <w:rPr>
          <w:rFonts w:ascii="Arial" w:hAnsi="Arial" w:cs="Arial"/>
          <w:sz w:val="22"/>
          <w:szCs w:val="22"/>
          <w:highlight w:val="lightGray"/>
          <w:vertAlign w:val="superscript"/>
          <w:lang w:val="en-US"/>
        </w:rPr>
        <w:t>Scl+</w:t>
      </w:r>
      <w:r w:rsidRPr="00D62526">
        <w:rPr>
          <w:rFonts w:ascii="Arial" w:hAnsi="Arial" w:cs="Arial"/>
          <w:position w:val="10"/>
          <w:sz w:val="22"/>
          <w:szCs w:val="22"/>
          <w:highlight w:val="lightGray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highlight w:val="lightGray"/>
          <w:lang w:val="en-US"/>
        </w:rPr>
        <w:t>mice and control littermates (n= 10 mice per group).</w:t>
      </w:r>
    </w:p>
    <w:p w14:paraId="58FE5C76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(D)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Hematoxylin and eosin staining and CD207 immunohistochemistry staining of tissues isolated from </w:t>
      </w:r>
      <w:proofErr w:type="spellStart"/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wt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Scl</w:t>
      </w:r>
      <w:proofErr w:type="spellEnd"/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mice (n=2-3 mice per group).</w:t>
      </w:r>
    </w:p>
    <w:p w14:paraId="312DF84E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(E)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Absolute numbers of lung, dermal and epidermal immune cells in </w:t>
      </w:r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V600E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Scl+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mice and control littermates. Data are representative of 3 experiments (n= 3-8). </w:t>
      </w:r>
    </w:p>
    <w:p w14:paraId="4B9B8F38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(F)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Percentage of immune cell populations among lung and skin infiltrating </w:t>
      </w:r>
      <w:proofErr w:type="spellStart"/>
      <w:r w:rsidRPr="00D62526">
        <w:rPr>
          <w:rFonts w:ascii="Arial" w:hAnsi="Arial" w:cs="Arial"/>
          <w:sz w:val="22"/>
          <w:szCs w:val="22"/>
          <w:lang w:val="en-US"/>
        </w:rPr>
        <w:t>Rosa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YFP</w:t>
      </w:r>
      <w:proofErr w:type="spellEnd"/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cells in </w:t>
      </w:r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V600E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Scl+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mice and control littermates. Data are representative of 3 experiments (n= 3-8).</w:t>
      </w:r>
    </w:p>
    <w:p w14:paraId="29D22ABE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(G)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Scheme of the lentiviral vector constructs used to transduce human CD34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HPC.</w:t>
      </w:r>
    </w:p>
    <w:p w14:paraId="7EBE74DD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 xml:space="preserve">(H)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Graph shows that the transduction efficiency of </w:t>
      </w:r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V600E and NGFR lentiviral constructs in human CD34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HPC does not exceed 40 %.</w:t>
      </w:r>
    </w:p>
    <w:p w14:paraId="6B964B2D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(I)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Western blot of </w:t>
      </w:r>
      <w:r w:rsidRPr="00D62526">
        <w:rPr>
          <w:rFonts w:ascii="Arial" w:hAnsi="Arial" w:cs="Arial"/>
          <w:i/>
          <w:iCs/>
          <w:sz w:val="22"/>
          <w:szCs w:val="22"/>
          <w:lang w:val="en-US"/>
        </w:rPr>
        <w:t xml:space="preserve">BRAF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and phospho-ERK performed on purified </w:t>
      </w:r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V600E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hu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and </w:t>
      </w:r>
      <w:proofErr w:type="spellStart"/>
      <w:r w:rsidRPr="00D62526">
        <w:rPr>
          <w:rFonts w:ascii="Arial" w:hAnsi="Arial" w:cs="Arial"/>
          <w:sz w:val="22"/>
          <w:szCs w:val="22"/>
          <w:lang w:val="en-US"/>
        </w:rPr>
        <w:t>NGFR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hu</w:t>
      </w:r>
      <w:proofErr w:type="spellEnd"/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human CD34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HPC 7 days after transduction.</w:t>
      </w:r>
    </w:p>
    <w:p w14:paraId="7FCEF827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(J)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Representative flow plot showing the percentage of CD11c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CD14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MNP among circulating blood cells in NSG mice reconstituted with </w:t>
      </w:r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V600E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hu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and </w:t>
      </w:r>
      <w:proofErr w:type="spellStart"/>
      <w:r w:rsidRPr="00D62526">
        <w:rPr>
          <w:rFonts w:ascii="Arial" w:hAnsi="Arial" w:cs="Arial"/>
          <w:sz w:val="22"/>
          <w:szCs w:val="22"/>
          <w:lang w:val="en-US"/>
        </w:rPr>
        <w:t>NGFR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hu</w:t>
      </w:r>
      <w:proofErr w:type="spellEnd"/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HPC. Graph represents the percentage of CD11c and or CD14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cells among human CD45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cells from NSG circulating blood (n= 2-3 mice per group).</w:t>
      </w:r>
    </w:p>
    <w:p w14:paraId="4212E548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69F2D165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sz w:val="22"/>
          <w:szCs w:val="22"/>
          <w:lang w:val="en-US"/>
        </w:rPr>
        <w:t xml:space="preserve">Data are represented as mean ± </w:t>
      </w:r>
      <w:proofErr w:type="spellStart"/>
      <w:r w:rsidRPr="00D62526">
        <w:rPr>
          <w:rFonts w:ascii="Arial" w:hAnsi="Arial" w:cs="Arial"/>
          <w:sz w:val="22"/>
          <w:szCs w:val="22"/>
          <w:lang w:val="en-US"/>
        </w:rPr>
        <w:t>s.e.m</w:t>
      </w:r>
      <w:proofErr w:type="spellEnd"/>
      <w:r w:rsidRPr="00D62526">
        <w:rPr>
          <w:rFonts w:ascii="Arial" w:hAnsi="Arial" w:cs="Arial"/>
          <w:sz w:val="22"/>
          <w:szCs w:val="22"/>
          <w:lang w:val="en-US"/>
        </w:rPr>
        <w:t xml:space="preserve">; statistical significance analyzed by an unpaired two-sided t-test is indicated by *p &lt; 0.05; **p &lt; 0.01; ***p &lt; 0.001. </w:t>
      </w:r>
    </w:p>
    <w:p w14:paraId="23581285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shd w:val="clear" w:color="auto" w:fill="D1D1D1"/>
          <w:lang w:val="en-US"/>
        </w:rPr>
      </w:pPr>
    </w:p>
    <w:p w14:paraId="04CB3157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Supplementary Figure 2:</w:t>
      </w:r>
    </w:p>
    <w:p w14:paraId="023092DA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sz w:val="22"/>
          <w:szCs w:val="22"/>
          <w:lang w:val="en-US"/>
        </w:rPr>
        <w:t xml:space="preserve">Experimental design of the CFU assays performed in Fig 2E is shown. </w:t>
      </w:r>
    </w:p>
    <w:p w14:paraId="1C7E6A2C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shd w:val="clear" w:color="auto" w:fill="D1D1D1"/>
          <w:lang w:val="en-US"/>
        </w:rPr>
      </w:pPr>
    </w:p>
    <w:p w14:paraId="38BBDD93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Supplementary Figure 3:</w:t>
      </w:r>
    </w:p>
    <w:p w14:paraId="1A3014BD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 xml:space="preserve">(A)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Lineage negative BM cells isolated from either </w:t>
      </w:r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V600E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Scl+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CD45.2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or </w:t>
      </w:r>
      <w:proofErr w:type="spellStart"/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wt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Scl</w:t>
      </w:r>
      <w:proofErr w:type="spellEnd"/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CD45.2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mice were injected intravenously together with lineage negative CD45.1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BM cells into lethally irradiated CD45.1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mice at a 2:1 ratio (CD45.2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sz w:val="22"/>
          <w:szCs w:val="22"/>
          <w:lang w:val="en-US"/>
        </w:rPr>
        <w:t>: CD45.1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). Graph shows the ratio of </w:t>
      </w:r>
      <w:r w:rsidRPr="00D62526">
        <w:rPr>
          <w:rFonts w:ascii="Arial" w:hAnsi="Arial" w:cs="Arial"/>
          <w:sz w:val="22"/>
          <w:szCs w:val="22"/>
          <w:lang w:val="en-US"/>
        </w:rPr>
        <w:lastRenderedPageBreak/>
        <w:t>CD45.2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/ CD45.1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in blood circulation in each group measured 8 weeks after transplantation using flow cytometry (n= 8). </w:t>
      </w:r>
    </w:p>
    <w:p w14:paraId="41986350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(B)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Forward scatter measurement of lineage negative </w:t>
      </w:r>
      <w:proofErr w:type="spellStart"/>
      <w:r w:rsidRPr="00D62526">
        <w:rPr>
          <w:rFonts w:ascii="Arial" w:hAnsi="Arial" w:cs="Arial"/>
          <w:sz w:val="22"/>
          <w:szCs w:val="22"/>
          <w:lang w:val="en-US"/>
        </w:rPr>
        <w:t>Rosa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YFP</w:t>
      </w:r>
      <w:proofErr w:type="spellEnd"/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cells in the BM from </w:t>
      </w:r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V600E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Scl+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mice and </w:t>
      </w:r>
      <w:proofErr w:type="spellStart"/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wt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Scl</w:t>
      </w:r>
      <w:proofErr w:type="spellEnd"/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control littermates (n= 5-7 mice per group). </w:t>
      </w:r>
    </w:p>
    <w:p w14:paraId="0E26C6F0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(C)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Expansion of human CD34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cord blood HPC transduced with NGFR (</w:t>
      </w:r>
      <w:proofErr w:type="spellStart"/>
      <w:r w:rsidRPr="00D62526">
        <w:rPr>
          <w:rFonts w:ascii="Arial" w:hAnsi="Arial" w:cs="Arial"/>
          <w:sz w:val="22"/>
          <w:szCs w:val="22"/>
          <w:lang w:val="en-US"/>
        </w:rPr>
        <w:t>NGFR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hu</w:t>
      </w:r>
      <w:proofErr w:type="spellEnd"/>
      <w:r w:rsidRPr="00D62526">
        <w:rPr>
          <w:rFonts w:ascii="Arial" w:hAnsi="Arial" w:cs="Arial"/>
          <w:sz w:val="22"/>
          <w:szCs w:val="22"/>
          <w:lang w:val="en-US"/>
        </w:rPr>
        <w:t xml:space="preserve">) or </w:t>
      </w:r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V600E (</w:t>
      </w:r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V600E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hu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) lentiviral constructs and cultured in stem-cell media. Data are representative of at least 3 experiments (n=3 donors). </w:t>
      </w:r>
    </w:p>
    <w:p w14:paraId="00AA949F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position w:val="10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(D)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Proliferation capacity of </w:t>
      </w:r>
      <w:proofErr w:type="spellStart"/>
      <w:r w:rsidRPr="00D62526">
        <w:rPr>
          <w:rFonts w:ascii="Arial" w:hAnsi="Arial" w:cs="Arial"/>
          <w:sz w:val="22"/>
          <w:szCs w:val="22"/>
          <w:lang w:val="en-US"/>
        </w:rPr>
        <w:t>NGFR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hu</w:t>
      </w:r>
      <w:proofErr w:type="spellEnd"/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and </w:t>
      </w:r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V600E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hu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HPC analyzed by Cell Trace Violet dilution, 92 hours after staining. </w:t>
      </w:r>
    </w:p>
    <w:p w14:paraId="2B144A6A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(E)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Forward scatter measurement of </w:t>
      </w:r>
      <w:proofErr w:type="spellStart"/>
      <w:r w:rsidRPr="00D62526">
        <w:rPr>
          <w:rFonts w:ascii="Arial" w:hAnsi="Arial" w:cs="Arial"/>
          <w:sz w:val="22"/>
          <w:szCs w:val="22"/>
          <w:lang w:val="en-US"/>
        </w:rPr>
        <w:t>NGFR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hu</w:t>
      </w:r>
      <w:proofErr w:type="spellEnd"/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and </w:t>
      </w:r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V600E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hu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HPC (n= 3 different donors) </w:t>
      </w:r>
    </w:p>
    <w:p w14:paraId="44779641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(F)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Heat map representation of SASP genes analyzed by microarray expression profiling of </w:t>
      </w:r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V600E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GFP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HPC and NGFR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GFP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HPC 7 days after transduction (n=4 different donors). </w:t>
      </w:r>
    </w:p>
    <w:p w14:paraId="3ACC2779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 xml:space="preserve">(G-H)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Frozen or FFPE tissue sections isolated from humanized mice reconstituted with </w:t>
      </w:r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V600E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hu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and </w:t>
      </w:r>
      <w:proofErr w:type="spellStart"/>
      <w:r w:rsidRPr="00D62526">
        <w:rPr>
          <w:rFonts w:ascii="Arial" w:hAnsi="Arial" w:cs="Arial"/>
          <w:sz w:val="22"/>
          <w:szCs w:val="22"/>
          <w:lang w:val="en-US"/>
        </w:rPr>
        <w:t>NGFR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hu</w:t>
      </w:r>
      <w:proofErr w:type="spellEnd"/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HPC and stained for (</w:t>
      </w:r>
      <w:r w:rsidRPr="00D62526">
        <w:rPr>
          <w:rFonts w:ascii="Arial" w:hAnsi="Arial" w:cs="Arial"/>
          <w:b/>
          <w:bCs/>
          <w:sz w:val="22"/>
          <w:szCs w:val="22"/>
          <w:lang w:val="en-US"/>
        </w:rPr>
        <w:t>G</w:t>
      </w:r>
      <w:r w:rsidRPr="00D62526">
        <w:rPr>
          <w:rFonts w:ascii="Arial" w:hAnsi="Arial" w:cs="Arial"/>
          <w:sz w:val="22"/>
          <w:szCs w:val="22"/>
          <w:lang w:val="en-US"/>
        </w:rPr>
        <w:t>) SA</w:t>
      </w:r>
      <w:r w:rsidRPr="00E038C9">
        <w:rPr>
          <w:rFonts w:ascii="Arial" w:hAnsi="Arial" w:cs="Arial"/>
          <w:sz w:val="22"/>
          <w:szCs w:val="22"/>
        </w:rPr>
        <w:sym w:font="Symbol" w:char="F062"/>
      </w:r>
      <w:r w:rsidRPr="00D62526">
        <w:rPr>
          <w:rFonts w:ascii="Arial" w:hAnsi="Arial" w:cs="Arial"/>
          <w:sz w:val="22"/>
          <w:szCs w:val="22"/>
          <w:lang w:val="en-US"/>
        </w:rPr>
        <w:t>Gal activity or (</w:t>
      </w:r>
      <w:r w:rsidRPr="00D62526">
        <w:rPr>
          <w:rFonts w:ascii="Arial" w:hAnsi="Arial" w:cs="Arial"/>
          <w:b/>
          <w:bCs/>
          <w:sz w:val="22"/>
          <w:szCs w:val="22"/>
          <w:lang w:val="en-US"/>
        </w:rPr>
        <w:t>H</w:t>
      </w:r>
      <w:r w:rsidRPr="00D62526">
        <w:rPr>
          <w:rFonts w:ascii="Arial" w:hAnsi="Arial" w:cs="Arial"/>
          <w:sz w:val="22"/>
          <w:szCs w:val="22"/>
          <w:lang w:val="en-US"/>
        </w:rPr>
        <w:t>) p16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INK4a</w:t>
      </w:r>
      <w:r w:rsidRPr="00D62526">
        <w:rPr>
          <w:rFonts w:ascii="Arial" w:hAnsi="Arial" w:cs="Arial"/>
          <w:sz w:val="22"/>
          <w:szCs w:val="22"/>
          <w:lang w:val="en-US"/>
        </w:rPr>
        <w:t>. Graph shows the number of positive cells per mm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2</w:t>
      </w:r>
      <w:r w:rsidRPr="00D62526">
        <w:rPr>
          <w:rFonts w:ascii="Arial" w:hAnsi="Arial" w:cs="Arial"/>
          <w:sz w:val="22"/>
          <w:szCs w:val="22"/>
          <w:lang w:val="en-US"/>
        </w:rPr>
        <w:t>.</w:t>
      </w:r>
    </w:p>
    <w:p w14:paraId="451325AC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A9913BA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Supplementary Figure 4:</w:t>
      </w:r>
    </w:p>
    <w:p w14:paraId="2D966AB0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 xml:space="preserve">(A) </w:t>
      </w:r>
      <w:r w:rsidRPr="00D62526">
        <w:rPr>
          <w:rFonts w:ascii="Arial" w:hAnsi="Arial" w:cs="Arial"/>
          <w:sz w:val="22"/>
          <w:szCs w:val="22"/>
          <w:lang w:val="en-US"/>
        </w:rPr>
        <w:t>Heat map representation of SASP associated gene expression measured by RNA sequencing in purified CD34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BM cells isolated from three LCH patients and one age-matched healthy donor (performed as duplicates). </w:t>
      </w:r>
    </w:p>
    <w:p w14:paraId="7E87AA8A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 xml:space="preserve">(B) </w:t>
      </w:r>
      <w:r w:rsidRPr="00D62526">
        <w:rPr>
          <w:rFonts w:ascii="Arial" w:hAnsi="Arial" w:cs="Arial"/>
          <w:sz w:val="22"/>
          <w:szCs w:val="22"/>
          <w:lang w:val="en-US"/>
        </w:rPr>
        <w:t>Skin from LCH patient and healthy age-matched donor were stained for CD207 and p16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INK4a</w:t>
      </w:r>
      <w:r w:rsidRPr="00D62526">
        <w:rPr>
          <w:rFonts w:ascii="Arial" w:hAnsi="Arial" w:cs="Arial"/>
          <w:i/>
          <w:iCs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by immunohistochemistry. </w:t>
      </w:r>
    </w:p>
    <w:p w14:paraId="35A670B6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highlight w:val="lightGray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highlight w:val="lightGray"/>
          <w:lang w:val="en-US"/>
        </w:rPr>
        <w:t>(C)</w:t>
      </w:r>
      <w:r w:rsidRPr="00D62526">
        <w:rPr>
          <w:rFonts w:ascii="Arial" w:hAnsi="Arial" w:cs="Arial"/>
          <w:sz w:val="22"/>
          <w:szCs w:val="22"/>
          <w:highlight w:val="lightGray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SA</w:t>
      </w:r>
      <w:r w:rsidRPr="00E53828">
        <w:rPr>
          <w:rFonts w:ascii="Arial" w:hAnsi="Arial" w:cs="Arial"/>
          <w:sz w:val="22"/>
          <w:szCs w:val="22"/>
        </w:rPr>
        <w:sym w:font="Symbol" w:char="F062"/>
      </w:r>
      <w:r w:rsidRPr="00D62526">
        <w:rPr>
          <w:rFonts w:ascii="Arial" w:hAnsi="Arial" w:cs="Arial"/>
          <w:sz w:val="22"/>
          <w:szCs w:val="22"/>
          <w:lang w:val="en-US"/>
        </w:rPr>
        <w:t>Gal</w:t>
      </w:r>
      <w:r w:rsidRPr="00D62526">
        <w:rPr>
          <w:rFonts w:ascii="Arial" w:hAnsi="Arial" w:cs="Arial"/>
          <w:sz w:val="22"/>
          <w:szCs w:val="22"/>
          <w:highlight w:val="lightGray"/>
          <w:lang w:val="en-US"/>
        </w:rPr>
        <w:t xml:space="preserve"> activity of human tissues and LCH lesions. One representative image of healthy skin, naevus and LCH lesion are shown. Graph shows the number of </w:t>
      </w:r>
      <w:r w:rsidRPr="00D62526">
        <w:rPr>
          <w:rFonts w:ascii="Arial" w:hAnsi="Arial" w:cs="Arial"/>
          <w:sz w:val="22"/>
          <w:szCs w:val="22"/>
          <w:lang w:val="en-US"/>
        </w:rPr>
        <w:t>SA</w:t>
      </w:r>
      <w:r w:rsidRPr="00E53828">
        <w:rPr>
          <w:rFonts w:ascii="Arial" w:hAnsi="Arial" w:cs="Arial"/>
          <w:sz w:val="22"/>
          <w:szCs w:val="22"/>
        </w:rPr>
        <w:sym w:font="Symbol" w:char="F062"/>
      </w:r>
      <w:r w:rsidRPr="00D62526">
        <w:rPr>
          <w:rFonts w:ascii="Arial" w:hAnsi="Arial" w:cs="Arial"/>
          <w:sz w:val="22"/>
          <w:szCs w:val="22"/>
          <w:lang w:val="en-US"/>
        </w:rPr>
        <w:t>Gal</w:t>
      </w:r>
      <w:r w:rsidRPr="00D62526">
        <w:rPr>
          <w:rFonts w:ascii="Arial" w:hAnsi="Arial" w:cs="Arial"/>
          <w:sz w:val="22"/>
          <w:szCs w:val="22"/>
          <w:highlight w:val="lightGray"/>
          <w:lang w:val="en-US"/>
        </w:rPr>
        <w:t xml:space="preserve"> positive cells per mm</w:t>
      </w:r>
      <w:r w:rsidRPr="00D62526">
        <w:rPr>
          <w:rFonts w:ascii="Arial" w:hAnsi="Arial" w:cs="Arial"/>
          <w:sz w:val="22"/>
          <w:szCs w:val="22"/>
          <w:highlight w:val="lightGray"/>
          <w:vertAlign w:val="superscript"/>
          <w:lang w:val="en-US"/>
        </w:rPr>
        <w:t>2</w:t>
      </w:r>
      <w:r w:rsidRPr="00D62526">
        <w:rPr>
          <w:rFonts w:ascii="Arial" w:hAnsi="Arial" w:cs="Arial"/>
          <w:position w:val="10"/>
          <w:sz w:val="22"/>
          <w:szCs w:val="22"/>
          <w:highlight w:val="lightGray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highlight w:val="lightGray"/>
          <w:lang w:val="en-US"/>
        </w:rPr>
        <w:t>in healthy skins (n= 3), naevus (n= 1) and LCH lesions (n= 3).</w:t>
      </w:r>
    </w:p>
    <w:p w14:paraId="4D3EC444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highlight w:val="lightGray"/>
          <w:lang w:val="en-US"/>
        </w:rPr>
        <w:t xml:space="preserve">(D) </w:t>
      </w:r>
      <w:r w:rsidRPr="00D62526">
        <w:rPr>
          <w:rFonts w:ascii="Arial" w:hAnsi="Arial" w:cs="Arial"/>
          <w:sz w:val="22"/>
          <w:szCs w:val="22"/>
          <w:highlight w:val="lightGray"/>
          <w:lang w:val="en-US"/>
        </w:rPr>
        <w:t>Control tissue with rare p16</w:t>
      </w:r>
      <w:r w:rsidRPr="00D62526">
        <w:rPr>
          <w:rFonts w:ascii="Arial" w:hAnsi="Arial" w:cs="Arial"/>
          <w:sz w:val="22"/>
          <w:szCs w:val="22"/>
          <w:highlight w:val="lightGray"/>
          <w:vertAlign w:val="superscript"/>
          <w:lang w:val="en-US"/>
        </w:rPr>
        <w:t>INK4a</w:t>
      </w:r>
      <w:r w:rsidRPr="00D62526">
        <w:rPr>
          <w:rFonts w:ascii="Arial" w:hAnsi="Arial" w:cs="Arial"/>
          <w:sz w:val="22"/>
          <w:szCs w:val="22"/>
          <w:highlight w:val="lightGray"/>
          <w:lang w:val="en-US"/>
        </w:rPr>
        <w:t xml:space="preserve"> positivity by immunohistochemistry in meningioma and no appreciable staining in human brain (non-diseased from autopsy)</w:t>
      </w:r>
      <w:r w:rsidRPr="00D62526">
        <w:rPr>
          <w:rFonts w:ascii="Arial" w:hAnsi="Arial" w:cs="Arial"/>
          <w:sz w:val="22"/>
          <w:szCs w:val="22"/>
          <w:lang w:val="en-US"/>
        </w:rPr>
        <w:t>.</w:t>
      </w:r>
    </w:p>
    <w:p w14:paraId="7BFC4FD9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 xml:space="preserve">(E) </w:t>
      </w:r>
      <w:r w:rsidRPr="00D62526">
        <w:rPr>
          <w:rFonts w:ascii="Arial" w:hAnsi="Arial" w:cs="Arial"/>
          <w:sz w:val="22"/>
          <w:szCs w:val="22"/>
          <w:lang w:val="en-US"/>
        </w:rPr>
        <w:t>Brain section from human patient with neurodegenerative-LCH (see figure 4G) dual-stained for P2RY12 (green) and CD163 (red)</w:t>
      </w:r>
      <w:r w:rsidRPr="00D62526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. </w:t>
      </w:r>
      <w:r w:rsidRPr="00D62526">
        <w:rPr>
          <w:rFonts w:ascii="Arial" w:hAnsi="Arial" w:cs="Arial"/>
          <w:sz w:val="22"/>
          <w:szCs w:val="22"/>
          <w:lang w:val="en-US"/>
        </w:rPr>
        <w:t>Spindled P2RY12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microglial cells surround the aggregates of plump activated CD163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macrophages. There is no dual staining. There is diminished P2RY12 staining within the CD163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macrophage rich aggregate. Image courtesy of Dr. Julia </w:t>
      </w:r>
      <w:proofErr w:type="spellStart"/>
      <w:r w:rsidRPr="00D62526">
        <w:rPr>
          <w:rFonts w:ascii="Arial" w:hAnsi="Arial" w:cs="Arial"/>
          <w:sz w:val="22"/>
          <w:szCs w:val="22"/>
          <w:lang w:val="en-US"/>
        </w:rPr>
        <w:t>Kofler</w:t>
      </w:r>
      <w:proofErr w:type="spellEnd"/>
      <w:r w:rsidRPr="00D62526">
        <w:rPr>
          <w:rFonts w:ascii="Arial" w:hAnsi="Arial" w:cs="Arial"/>
          <w:sz w:val="22"/>
          <w:szCs w:val="22"/>
          <w:lang w:val="en-US"/>
        </w:rPr>
        <w:t xml:space="preserve">, MD UPMC Division of Neuropathology. </w:t>
      </w:r>
    </w:p>
    <w:p w14:paraId="19902E4C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4B4CD3D4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D674B06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 xml:space="preserve">Supplementary Figure 5: </w:t>
      </w:r>
    </w:p>
    <w:p w14:paraId="5EB60B4E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(A-B)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V600E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Scl+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mice and </w:t>
      </w:r>
      <w:proofErr w:type="spellStart"/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wt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Scl</w:t>
      </w:r>
      <w:proofErr w:type="spellEnd"/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control littermates were treated with rapamycin (0.5 mg/ kg body weight/ day) or DMSO for 10 days. </w:t>
      </w:r>
      <w:r w:rsidRPr="00D62526">
        <w:rPr>
          <w:rFonts w:ascii="Arial" w:hAnsi="Arial" w:cs="Arial"/>
          <w:b/>
          <w:bCs/>
          <w:sz w:val="22"/>
          <w:szCs w:val="22"/>
          <w:lang w:val="en-US"/>
        </w:rPr>
        <w:t xml:space="preserve">(A)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Cartoon shows the experimental design to test the clinical benefit of rapamycin on LCH in mice. </w:t>
      </w:r>
      <w:r w:rsidRPr="00D62526">
        <w:rPr>
          <w:rFonts w:ascii="Arial" w:hAnsi="Arial" w:cs="Arial"/>
          <w:b/>
          <w:bCs/>
          <w:sz w:val="22"/>
          <w:szCs w:val="22"/>
          <w:lang w:val="en-US"/>
        </w:rPr>
        <w:t xml:space="preserve">(B)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Graph shows the percentage of </w:t>
      </w:r>
      <w:proofErr w:type="spellStart"/>
      <w:r w:rsidRPr="00D62526">
        <w:rPr>
          <w:rFonts w:ascii="Arial" w:hAnsi="Arial" w:cs="Arial"/>
          <w:sz w:val="22"/>
          <w:szCs w:val="22"/>
          <w:lang w:val="en-US"/>
        </w:rPr>
        <w:t>Rosa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YFP</w:t>
      </w:r>
      <w:proofErr w:type="spellEnd"/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cells among CD45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BM cells (n=3-4 mice per group).</w:t>
      </w:r>
    </w:p>
    <w:p w14:paraId="08DC9F48" w14:textId="77777777" w:rsidR="00063CC6" w:rsidRPr="00D62526" w:rsidRDefault="00063CC6" w:rsidP="00063CC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 xml:space="preserve">(C-F) </w:t>
      </w:r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V600E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Scl+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mice and </w:t>
      </w:r>
      <w:proofErr w:type="spellStart"/>
      <w:r w:rsidRPr="00D62526">
        <w:rPr>
          <w:rFonts w:ascii="Arial" w:hAnsi="Arial" w:cs="Arial"/>
          <w:i/>
          <w:iCs/>
          <w:sz w:val="22"/>
          <w:szCs w:val="22"/>
          <w:lang w:val="en-US"/>
        </w:rPr>
        <w:t>BRAF</w:t>
      </w:r>
      <w:r w:rsidRPr="00D62526">
        <w:rPr>
          <w:rFonts w:ascii="Arial" w:hAnsi="Arial" w:cs="Arial"/>
          <w:sz w:val="22"/>
          <w:szCs w:val="22"/>
          <w:lang w:val="en-US"/>
        </w:rPr>
        <w:t>wt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Scl</w:t>
      </w:r>
      <w:proofErr w:type="spellEnd"/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>control littermates were treated with ABT-263 (</w:t>
      </w:r>
      <w:r w:rsidRPr="00D62526">
        <w:rPr>
          <w:rFonts w:ascii="Arial" w:hAnsi="Arial" w:cs="Arial"/>
          <w:sz w:val="22"/>
          <w:szCs w:val="22"/>
          <w:shd w:val="clear" w:color="auto" w:fill="FFFFFF"/>
          <w:lang w:val="en-US"/>
        </w:rPr>
        <w:t>50 mg/ kg body weight/ day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) or diluent for 21 days. </w:t>
      </w:r>
      <w:r w:rsidRPr="00D62526">
        <w:rPr>
          <w:rFonts w:ascii="Arial" w:hAnsi="Arial" w:cs="Arial"/>
          <w:b/>
          <w:bCs/>
          <w:sz w:val="22"/>
          <w:szCs w:val="22"/>
          <w:lang w:val="en-US"/>
        </w:rPr>
        <w:t>(C)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Cartoon shows the experimental design to test the clinical benefit of ABT-263 on LCH in mice. </w:t>
      </w:r>
      <w:r w:rsidRPr="00D62526">
        <w:rPr>
          <w:rFonts w:ascii="Arial" w:hAnsi="Arial" w:cs="Arial"/>
          <w:b/>
          <w:bCs/>
          <w:sz w:val="22"/>
          <w:szCs w:val="22"/>
          <w:lang w:val="en-US"/>
        </w:rPr>
        <w:t>(D)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Graph shows the absolute numbers of bone marrow </w:t>
      </w:r>
      <w:proofErr w:type="spellStart"/>
      <w:r w:rsidRPr="00D62526">
        <w:rPr>
          <w:rFonts w:ascii="Arial" w:hAnsi="Arial" w:cs="Arial"/>
          <w:sz w:val="22"/>
          <w:szCs w:val="22"/>
          <w:lang w:val="en-US"/>
        </w:rPr>
        <w:t>Rosa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YFP</w:t>
      </w:r>
      <w:proofErr w:type="spellEnd"/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position w:val="10"/>
          <w:sz w:val="22"/>
          <w:szCs w:val="22"/>
          <w:lang w:val="en-US"/>
        </w:rPr>
        <w:t xml:space="preserve">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cells (n= 2-3) </w:t>
      </w:r>
      <w:r w:rsidRPr="00D62526">
        <w:rPr>
          <w:rFonts w:ascii="Arial" w:hAnsi="Arial" w:cs="Arial"/>
          <w:b/>
          <w:bCs/>
          <w:sz w:val="22"/>
          <w:szCs w:val="22"/>
          <w:lang w:val="en-US"/>
        </w:rPr>
        <w:t>(E)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Spleen weight and </w:t>
      </w:r>
      <w:r w:rsidRPr="00D62526">
        <w:rPr>
          <w:rFonts w:ascii="Arial" w:hAnsi="Arial" w:cs="Arial"/>
          <w:b/>
          <w:bCs/>
          <w:sz w:val="22"/>
          <w:szCs w:val="22"/>
          <w:lang w:val="en-US"/>
        </w:rPr>
        <w:t>(F)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lung infiltrating CD207</w:t>
      </w:r>
      <w:r w:rsidRPr="00D62526">
        <w:rPr>
          <w:rFonts w:ascii="Arial" w:hAnsi="Arial" w:cs="Arial"/>
          <w:sz w:val="22"/>
          <w:szCs w:val="22"/>
          <w:vertAlign w:val="superscript"/>
          <w:lang w:val="en-US"/>
        </w:rPr>
        <w:t>+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cells isolated from mice treated with ABT-263 or diluent (n=3-4) with representative images of lung tissue sections isolated from mice treated with ABT-263 or diluent and stained with CD207. Data are representative of 2 experiments (n= 3-4). </w:t>
      </w:r>
    </w:p>
    <w:p w14:paraId="1FC7C2E4" w14:textId="77777777" w:rsidR="00E95803" w:rsidRDefault="00E95803"/>
    <w:sectPr w:rsidR="00E95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CC6"/>
    <w:rsid w:val="00063CC6"/>
    <w:rsid w:val="00E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C8CB1"/>
  <w15:chartTrackingRefBased/>
  <w15:docId w15:val="{8428BD19-C924-4757-BF9D-5862AF3F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790</Words>
  <Characters>4505</Characters>
  <Application>Microsoft Office Word</Application>
  <DocSecurity>0</DocSecurity>
  <Lines>37</Lines>
  <Paragraphs>10</Paragraphs>
  <ScaleCrop>false</ScaleCrop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2020-11-04T16:34:00Z</dcterms:created>
  <dcterms:modified xsi:type="dcterms:W3CDTF">2020-11-04T16:34:00Z</dcterms:modified>
</cp:coreProperties>
</file>