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5F946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noProof/>
          <w:color w:val="000000" w:themeColor="text1"/>
          <w:sz w:val="22"/>
        </w:rPr>
        <w:drawing>
          <wp:inline distT="0" distB="0" distL="0" distR="0">
            <wp:extent cx="5407025" cy="3068285"/>
            <wp:effectExtent l="0" t="0" r="317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880" cy="308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F947" w14:textId="77777777" w:rsidR="008358BA" w:rsidRPr="00233709" w:rsidRDefault="008358BA">
      <w:pPr>
        <w:rPr>
          <w:rFonts w:ascii="Calibri" w:eastAsia="Calibri" w:hAnsi="Calibri" w:cs="Calibri"/>
          <w:b/>
          <w:color w:val="000000" w:themeColor="text1"/>
          <w:sz w:val="22"/>
        </w:rPr>
      </w:pPr>
    </w:p>
    <w:p w14:paraId="4795F948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t>Supplementary Fig. S1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Representative histological and immunohistochemical findings of glypican-3 (GPC3) expression in resected hepatocellular carcinoma (HCC) specimens</w:t>
      </w:r>
    </w:p>
    <w:p w14:paraId="4795F949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>The patient was a 66-year-old man with a solitary HCC in segment 5. The tumor was pathologically diagnosed as moderately differentiated HCC. GPC3 expression in the tumor cells was confirmed via immunohistochemical staining. Atezolizumab plus bevacizumab (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Atezo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/Bev) therapy was initiated 3 years after the surgical resection. The serum full-length GPC3 concentration at the start of treatment was 3.0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pg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>/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mL.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The best overall response to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Atezo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>/Bev therapy was a partial response, according to the Response Evaluation Criteria in Solid Tumors version 1.1.</w:t>
      </w:r>
    </w:p>
    <w:p w14:paraId="4795F94A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a: Hematoxylin and eosin (H&amp;E) staining showing the overall tumor architecture (×40 magnification). Scale bar: 200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μm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>.</w:t>
      </w:r>
    </w:p>
    <w:p w14:paraId="4795F94B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lastRenderedPageBreak/>
        <w:t xml:space="preserve">b: H&amp;E </w:t>
      </w:r>
      <w:proofErr w:type="gramStart"/>
      <w:r w:rsidRPr="00233709">
        <w:rPr>
          <w:rFonts w:ascii="Calibri" w:eastAsia="Calibri" w:hAnsi="Calibri" w:cs="Calibri"/>
          <w:color w:val="000000" w:themeColor="text1"/>
          <w:sz w:val="22"/>
        </w:rPr>
        <w:t>staining demonstrating</w:t>
      </w:r>
      <w:proofErr w:type="gram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typical moderately differentiated HCC (×100). Scale bar: 100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μm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>.</w:t>
      </w:r>
    </w:p>
    <w:p w14:paraId="4795F94C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c: Immunohistochemical staining for GPC3 within the same tumor nodule (×40). Scale bar: 200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μm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>.</w:t>
      </w:r>
    </w:p>
    <w:p w14:paraId="4795F94D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d: GPC3 immunohistochemical staining revealing expression predominantly in tumor cells (×100). Scale bar: 100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μm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>.</w:t>
      </w:r>
    </w:p>
    <w:p w14:paraId="4795F94E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br w:type="page"/>
      </w:r>
    </w:p>
    <w:p w14:paraId="4795F94F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noProof/>
          <w:color w:val="000000" w:themeColor="text1"/>
          <w:sz w:val="22"/>
        </w:rPr>
        <w:lastRenderedPageBreak/>
        <w:drawing>
          <wp:inline distT="0" distB="0" distL="0" distR="0">
            <wp:extent cx="5439841" cy="2519045"/>
            <wp:effectExtent l="0" t="0" r="8890" b="0"/>
            <wp:docPr id="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826" cy="252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F950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t>Supplementary Fig. S2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bookmarkStart w:id="0" w:name="_Hlk493641483"/>
      <w:r w:rsidRPr="00233709">
        <w:rPr>
          <w:rFonts w:ascii="Calibri" w:eastAsia="Calibri" w:hAnsi="Calibri" w:cs="Calibri"/>
          <w:color w:val="000000" w:themeColor="text1"/>
          <w:sz w:val="22"/>
        </w:rPr>
        <w:t>Patient survival</w:t>
      </w:r>
    </w:p>
    <w:p w14:paraId="4795F951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>a: Progression-free survival (median: 4.1 months, 95% CI: 3.4–5.5).</w:t>
      </w:r>
    </w:p>
    <w:p w14:paraId="4795F952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>b: Overall survival (median: 21.2 months, 95% CI: 15.8–26.7).</w:t>
      </w:r>
      <w:bookmarkEnd w:id="0"/>
    </w:p>
    <w:p w14:paraId="4795F953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br w:type="page"/>
      </w:r>
    </w:p>
    <w:p w14:paraId="4795F954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noProof/>
          <w:color w:val="000000" w:themeColor="text1"/>
          <w:sz w:val="22"/>
        </w:rPr>
        <w:lastRenderedPageBreak/>
        <w:drawing>
          <wp:inline distT="0" distB="0" distL="0" distR="0">
            <wp:extent cx="5314950" cy="2503697"/>
            <wp:effectExtent l="0" t="0" r="0" b="0"/>
            <wp:docPr id="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481" cy="252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F955" w14:textId="77777777" w:rsidR="008358BA" w:rsidRPr="00233709" w:rsidRDefault="008358BA">
      <w:pPr>
        <w:rPr>
          <w:rFonts w:ascii="Calibri" w:eastAsia="Calibri" w:hAnsi="Calibri" w:cs="Calibri"/>
          <w:b/>
          <w:color w:val="000000" w:themeColor="text1"/>
          <w:sz w:val="22"/>
        </w:rPr>
      </w:pPr>
    </w:p>
    <w:p w14:paraId="4795F956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t>Supplementary Fig. S3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Serum FL-GPC3 concentration stratified according to therapeutic effectiveness</w:t>
      </w:r>
    </w:p>
    <w:p w14:paraId="4795F957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a: Median FL-GPC3 concentration according to objective response: Objective response: no vs. yes = 18.7 vs. 11.8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pg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/mL, </w:t>
      </w:r>
      <w:r w:rsidRPr="00233709">
        <w:rPr>
          <w:rFonts w:ascii="Calibri" w:eastAsia="Calibri" w:hAnsi="Calibri" w:cs="Calibri"/>
          <w:i/>
          <w:color w:val="000000" w:themeColor="text1"/>
          <w:sz w:val="22"/>
        </w:rPr>
        <w:t>p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= 0.059.</w:t>
      </w:r>
    </w:p>
    <w:p w14:paraId="4795F958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b: Median FL-GPC3 concentration according to disease control: Disease control: no vs. yes = 26.7 vs. 10.8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pg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/mL, </w:t>
      </w:r>
      <w:r w:rsidRPr="00233709">
        <w:rPr>
          <w:rFonts w:ascii="Calibri" w:eastAsia="Calibri" w:hAnsi="Calibri" w:cs="Calibri"/>
          <w:i/>
          <w:color w:val="000000" w:themeColor="text1"/>
          <w:sz w:val="22"/>
        </w:rPr>
        <w:t>p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= 0.002.</w:t>
      </w:r>
    </w:p>
    <w:p w14:paraId="4795F959" w14:textId="77777777" w:rsidR="008358BA" w:rsidRPr="00233709" w:rsidRDefault="00000000">
      <w:pPr>
        <w:spacing w:after="120" w:line="360" w:lineRule="auto"/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Significance was determined using the Mann–Whitney U-test. A </w:t>
      </w:r>
      <w:r w:rsidRPr="00233709">
        <w:rPr>
          <w:rFonts w:ascii="Calibri" w:eastAsia="Calibri" w:hAnsi="Calibri" w:cs="Calibri"/>
          <w:i/>
          <w:color w:val="000000" w:themeColor="text1"/>
          <w:sz w:val="22"/>
        </w:rPr>
        <w:t>p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-value &lt; 0.05 was considered statistically significant. Abbreviations: </w:t>
      </w:r>
      <w:r w:rsidRPr="00233709">
        <w:rPr>
          <w:rFonts w:ascii="Calibri" w:eastAsia="Calibri" w:hAnsi="Calibri" w:cs="Calibri"/>
          <w:color w:val="000000" w:themeColor="text1"/>
          <w:sz w:val="22"/>
          <w:shd w:val="clear" w:color="auto" w:fill="FFFFFF"/>
        </w:rPr>
        <w:t>FL-</w:t>
      </w:r>
      <w:r w:rsidRPr="00233709">
        <w:rPr>
          <w:rFonts w:ascii="Calibri" w:eastAsia="Calibri" w:hAnsi="Calibri" w:cs="Calibri"/>
          <w:color w:val="000000" w:themeColor="text1"/>
          <w:sz w:val="22"/>
        </w:rPr>
        <w:t>GPC3, full-length glypican-3.</w:t>
      </w:r>
    </w:p>
    <w:p w14:paraId="4795F95A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br w:type="page"/>
      </w:r>
    </w:p>
    <w:p w14:paraId="4795F95B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lastRenderedPageBreak/>
        <w:t>Supplementary Table S1. Confirmation of FL-GPC3 expression in resected specimens from patients who previously underwent surgical resection.</w:t>
      </w:r>
    </w:p>
    <w:p w14:paraId="4795F95C" w14:textId="77777777" w:rsidR="008358BA" w:rsidRPr="00233709" w:rsidRDefault="008358BA">
      <w:pPr>
        <w:rPr>
          <w:rFonts w:ascii="Calibri" w:eastAsia="Calibri" w:hAnsi="Calibri" w:cs="Calibri"/>
          <w:b/>
          <w:color w:val="000000" w:themeColor="text1"/>
          <w:sz w:val="22"/>
        </w:rPr>
      </w:pPr>
    </w:p>
    <w:tbl>
      <w:tblPr>
        <w:tblW w:w="82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1443"/>
      </w:tblGrid>
      <w:tr w:rsidR="00A618B3" w:rsidRPr="00233709" w14:paraId="4795F95F" w14:textId="77777777">
        <w:trPr>
          <w:trHeight w:val="401"/>
        </w:trPr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795F95D" w14:textId="77777777" w:rsidR="008358BA" w:rsidRPr="00233709" w:rsidRDefault="008358BA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795F95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n=10</w:t>
            </w:r>
          </w:p>
        </w:tc>
      </w:tr>
      <w:tr w:rsidR="00A618B3" w:rsidRPr="00233709" w14:paraId="4795F962" w14:textId="77777777">
        <w:trPr>
          <w:trHeight w:val="401"/>
        </w:trPr>
        <w:tc>
          <w:tcPr>
            <w:tcW w:w="680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795F960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Interval from liver resection to start of </w:t>
            </w: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Atezo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/Bev therapy, days</w:t>
            </w: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795F96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725 (414-809)</w:t>
            </w:r>
          </w:p>
        </w:tc>
      </w:tr>
      <w:tr w:rsidR="00A618B3" w:rsidRPr="00233709" w14:paraId="4795F965" w14:textId="77777777">
        <w:trPr>
          <w:trHeight w:val="401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63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Serum FL-GPC3 concentration before the start of </w:t>
            </w: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Atezo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/Bev therapy, </w:t>
            </w: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pg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/mL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6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10.2 (3.8-12.1)</w:t>
            </w:r>
          </w:p>
        </w:tc>
      </w:tr>
      <w:tr w:rsidR="00A618B3" w:rsidRPr="00233709" w14:paraId="4795F968" w14:textId="77777777">
        <w:trPr>
          <w:trHeight w:val="401"/>
        </w:trPr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795F966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GPC3</w:t>
            </w:r>
            <w:r w:rsidRPr="00233709">
              <w:rPr>
                <w:rFonts w:ascii="Calibri" w:eastAsia="Calibri" w:hAnsi="Calibri" w:cs="Calibri"/>
                <w:color w:val="000000" w:themeColor="text1"/>
                <w:sz w:val="22"/>
                <w:vertAlign w:val="superscript"/>
              </w:rPr>
              <w:t>+</w:t>
            </w: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cells ≥1%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795F96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9 (90.0)</w:t>
            </w:r>
          </w:p>
        </w:tc>
      </w:tr>
    </w:tbl>
    <w:p w14:paraId="4795F969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6A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Data are presented as medians (quartiles 1-3) or frequencies (%). FL-GPC3 expression was evaluated using immunohistochemistry. Abbreviations: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Atezo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/Bev, atezolizumab plus bevacizumab; </w:t>
      </w:r>
      <w:r w:rsidRPr="00233709">
        <w:rPr>
          <w:rFonts w:ascii="Calibri" w:eastAsia="Calibri" w:hAnsi="Calibri" w:cs="Calibri"/>
          <w:color w:val="000000" w:themeColor="text1"/>
          <w:sz w:val="22"/>
          <w:shd w:val="clear" w:color="auto" w:fill="FFFFFF"/>
        </w:rPr>
        <w:t>FL-</w:t>
      </w:r>
      <w:r w:rsidRPr="00233709">
        <w:rPr>
          <w:rFonts w:ascii="Calibri" w:eastAsia="Calibri" w:hAnsi="Calibri" w:cs="Calibri"/>
          <w:color w:val="000000" w:themeColor="text1"/>
          <w:sz w:val="22"/>
        </w:rPr>
        <w:t>GPC3, full-length glypican 3; GPC3</w:t>
      </w:r>
      <w:r w:rsidRPr="00233709">
        <w:rPr>
          <w:rFonts w:ascii="Calibri" w:eastAsia="Calibri" w:hAnsi="Calibri" w:cs="Calibri"/>
          <w:color w:val="000000" w:themeColor="text1"/>
          <w:sz w:val="22"/>
          <w:vertAlign w:val="superscript"/>
        </w:rPr>
        <w:t>+</w:t>
      </w:r>
      <w:r w:rsidRPr="00233709">
        <w:rPr>
          <w:rFonts w:ascii="Calibri" w:eastAsia="Calibri" w:hAnsi="Calibri" w:cs="Calibri"/>
          <w:color w:val="000000" w:themeColor="text1"/>
          <w:sz w:val="22"/>
        </w:rPr>
        <w:t>, glypican 3-positive.</w:t>
      </w:r>
    </w:p>
    <w:p w14:paraId="4795F96B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br w:type="page"/>
      </w:r>
    </w:p>
    <w:p w14:paraId="4795F96C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lastRenderedPageBreak/>
        <w:t>Supplementary Table S2. Tumor response.</w:t>
      </w:r>
    </w:p>
    <w:p w14:paraId="4795F96D" w14:textId="77777777" w:rsidR="008358BA" w:rsidRPr="00233709" w:rsidRDefault="008358BA">
      <w:pPr>
        <w:rPr>
          <w:rFonts w:ascii="Calibri" w:eastAsia="Calibri" w:hAnsi="Calibri" w:cs="Calibri"/>
          <w:b/>
          <w:color w:val="000000" w:themeColor="text1"/>
          <w:sz w:val="22"/>
        </w:rPr>
      </w:pPr>
    </w:p>
    <w:tbl>
      <w:tblPr>
        <w:tblW w:w="468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8"/>
        <w:gridCol w:w="2654"/>
      </w:tblGrid>
      <w:tr w:rsidR="00A618B3" w:rsidRPr="00233709" w14:paraId="4795F970" w14:textId="77777777">
        <w:trPr>
          <w:trHeight w:val="370"/>
          <w:jc w:val="center"/>
        </w:trPr>
        <w:tc>
          <w:tcPr>
            <w:tcW w:w="2028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795F96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Best response</w:t>
            </w:r>
          </w:p>
        </w:tc>
        <w:tc>
          <w:tcPr>
            <w:tcW w:w="26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95F96F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N=102</w:t>
            </w:r>
          </w:p>
        </w:tc>
      </w:tr>
      <w:tr w:rsidR="00A618B3" w:rsidRPr="00233709" w14:paraId="4795F973" w14:textId="77777777">
        <w:trPr>
          <w:trHeight w:val="360"/>
          <w:jc w:val="center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7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CR</w:t>
            </w:r>
          </w:p>
        </w:tc>
        <w:tc>
          <w:tcPr>
            <w:tcW w:w="2654" w:type="dxa"/>
            <w:tcBorders>
              <w:top w:val="single" w:sz="8" w:space="0" w:color="auto"/>
            </w:tcBorders>
            <w:vAlign w:val="center"/>
          </w:tcPr>
          <w:p w14:paraId="4795F97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 (1.0)</w:t>
            </w:r>
          </w:p>
        </w:tc>
      </w:tr>
      <w:tr w:rsidR="00A618B3" w:rsidRPr="00233709" w14:paraId="4795F976" w14:textId="77777777">
        <w:trPr>
          <w:trHeight w:val="360"/>
          <w:jc w:val="center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7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PR</w:t>
            </w:r>
          </w:p>
        </w:tc>
        <w:tc>
          <w:tcPr>
            <w:tcW w:w="2654" w:type="dxa"/>
            <w:vAlign w:val="center"/>
          </w:tcPr>
          <w:p w14:paraId="4795F975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26 (25.5)</w:t>
            </w:r>
          </w:p>
        </w:tc>
      </w:tr>
      <w:tr w:rsidR="00A618B3" w:rsidRPr="00233709" w14:paraId="4795F979" w14:textId="77777777">
        <w:trPr>
          <w:trHeight w:val="360"/>
          <w:jc w:val="center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7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SD</w:t>
            </w:r>
          </w:p>
        </w:tc>
        <w:tc>
          <w:tcPr>
            <w:tcW w:w="2654" w:type="dxa"/>
            <w:vAlign w:val="center"/>
          </w:tcPr>
          <w:p w14:paraId="4795F97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40 (39.2)</w:t>
            </w:r>
          </w:p>
        </w:tc>
      </w:tr>
      <w:tr w:rsidR="00A618B3" w:rsidRPr="00233709" w14:paraId="4795F97C" w14:textId="77777777">
        <w:trPr>
          <w:trHeight w:val="370"/>
          <w:jc w:val="center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7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PD</w:t>
            </w:r>
          </w:p>
        </w:tc>
        <w:tc>
          <w:tcPr>
            <w:tcW w:w="2654" w:type="dxa"/>
            <w:vAlign w:val="center"/>
          </w:tcPr>
          <w:p w14:paraId="4795F97B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35 (34.3)</w:t>
            </w:r>
          </w:p>
        </w:tc>
      </w:tr>
      <w:tr w:rsidR="00A618B3" w:rsidRPr="00233709" w14:paraId="4795F97F" w14:textId="77777777">
        <w:trPr>
          <w:trHeight w:val="370"/>
          <w:jc w:val="center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7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Objective response</w:t>
            </w:r>
          </w:p>
        </w:tc>
        <w:tc>
          <w:tcPr>
            <w:tcW w:w="2654" w:type="dxa"/>
            <w:vAlign w:val="center"/>
          </w:tcPr>
          <w:p w14:paraId="4795F97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27 (26.5)</w:t>
            </w:r>
          </w:p>
        </w:tc>
      </w:tr>
      <w:tr w:rsidR="00A618B3" w:rsidRPr="00233709" w14:paraId="4795F982" w14:textId="77777777">
        <w:trPr>
          <w:trHeight w:val="370"/>
          <w:jc w:val="center"/>
        </w:trPr>
        <w:tc>
          <w:tcPr>
            <w:tcW w:w="202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795F98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Disease control</w:t>
            </w:r>
          </w:p>
        </w:tc>
        <w:tc>
          <w:tcPr>
            <w:tcW w:w="2654" w:type="dxa"/>
            <w:tcBorders>
              <w:bottom w:val="single" w:sz="8" w:space="0" w:color="auto"/>
            </w:tcBorders>
            <w:vAlign w:val="center"/>
          </w:tcPr>
          <w:p w14:paraId="4795F98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67 (65.7)</w:t>
            </w:r>
          </w:p>
        </w:tc>
      </w:tr>
    </w:tbl>
    <w:p w14:paraId="4795F983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84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>The data are presented as frequencies (%). An objective response was defined as a CR or PR, while disease control was defined as a CR, PR, or SD. Abbreviations: CR, complete response; PD, progressive disease; PR, partial response; SD, stable disease.</w:t>
      </w:r>
    </w:p>
    <w:p w14:paraId="4795F985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1"/>
        </w:rPr>
        <w:br w:type="page"/>
      </w:r>
    </w:p>
    <w:p w14:paraId="4795F986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lastRenderedPageBreak/>
        <w:t>Supplementary Table S3. Baseline serum concentration of FL-GPC3 and tumor markers according to OR.</w:t>
      </w:r>
    </w:p>
    <w:p w14:paraId="4795F987" w14:textId="77777777" w:rsidR="008358BA" w:rsidRPr="00233709" w:rsidRDefault="008358BA">
      <w:pPr>
        <w:rPr>
          <w:rFonts w:ascii="Calibri" w:eastAsia="Calibri" w:hAnsi="Calibri" w:cs="Calibri"/>
          <w:b/>
          <w:color w:val="000000" w:themeColor="text1"/>
          <w:sz w:val="22"/>
        </w:rPr>
      </w:pPr>
    </w:p>
    <w:tbl>
      <w:tblPr>
        <w:tblW w:w="823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6"/>
        <w:gridCol w:w="2654"/>
        <w:gridCol w:w="2654"/>
        <w:gridCol w:w="1040"/>
      </w:tblGrid>
      <w:tr w:rsidR="00A618B3" w:rsidRPr="00233709" w14:paraId="4795F98C" w14:textId="77777777">
        <w:trPr>
          <w:trHeight w:val="370"/>
        </w:trPr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795F98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Tumor markers</w:t>
            </w:r>
          </w:p>
        </w:tc>
        <w:tc>
          <w:tcPr>
            <w:tcW w:w="26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95F989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OR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  <w:vertAlign w:val="superscript"/>
              </w:rPr>
              <w:t>-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 xml:space="preserve"> (n=75)</w:t>
            </w:r>
          </w:p>
        </w:tc>
        <w:tc>
          <w:tcPr>
            <w:tcW w:w="265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795F98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OR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  <w:vertAlign w:val="superscript"/>
              </w:rPr>
              <w:t>+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 xml:space="preserve"> (n=27)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795F98B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</w:rPr>
              <w:t>p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-value</w:t>
            </w:r>
          </w:p>
        </w:tc>
      </w:tr>
      <w:tr w:rsidR="00A618B3" w:rsidRPr="00233709" w14:paraId="4795F991" w14:textId="77777777">
        <w:trPr>
          <w:trHeight w:val="36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8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AFP, ng/mL</w:t>
            </w:r>
          </w:p>
        </w:tc>
        <w:tc>
          <w:tcPr>
            <w:tcW w:w="2654" w:type="dxa"/>
            <w:tcBorders>
              <w:top w:val="single" w:sz="8" w:space="0" w:color="auto"/>
            </w:tcBorders>
            <w:vAlign w:val="center"/>
          </w:tcPr>
          <w:p w14:paraId="4795F98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149.7 (9.4-1160.5)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8F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20.8 (4.6-74.3)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9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0.002</w:t>
            </w:r>
          </w:p>
        </w:tc>
      </w:tr>
      <w:tr w:rsidR="00A618B3" w:rsidRPr="00233709" w14:paraId="4795F996" w14:textId="77777777">
        <w:trPr>
          <w:trHeight w:val="36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9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AFP-L3, %</w:t>
            </w:r>
          </w:p>
        </w:tc>
        <w:tc>
          <w:tcPr>
            <w:tcW w:w="2654" w:type="dxa"/>
            <w:vAlign w:val="center"/>
          </w:tcPr>
          <w:p w14:paraId="4795F993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11.7 (3.5-43.3)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9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9.6 (0.5-67.5)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95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0.737</w:t>
            </w:r>
          </w:p>
        </w:tc>
      </w:tr>
      <w:tr w:rsidR="00A618B3" w:rsidRPr="00233709" w14:paraId="4795F99B" w14:textId="77777777">
        <w:trPr>
          <w:trHeight w:val="36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9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DCP, </w:t>
            </w: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mAU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/mL</w:t>
            </w:r>
          </w:p>
        </w:tc>
        <w:tc>
          <w:tcPr>
            <w:tcW w:w="2654" w:type="dxa"/>
            <w:vAlign w:val="center"/>
          </w:tcPr>
          <w:p w14:paraId="4795F99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463.0 (104.5-5583.5)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99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99.0 (34.5-1320.5)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9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0.010</w:t>
            </w:r>
          </w:p>
        </w:tc>
      </w:tr>
      <w:tr w:rsidR="00A618B3" w:rsidRPr="00233709" w14:paraId="4795F9A0" w14:textId="77777777">
        <w:trPr>
          <w:trHeight w:val="370"/>
        </w:trPr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795F99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FL-GPC3, </w:t>
            </w: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pg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/mL</w:t>
            </w:r>
          </w:p>
        </w:tc>
        <w:tc>
          <w:tcPr>
            <w:tcW w:w="2654" w:type="dxa"/>
            <w:tcBorders>
              <w:bottom w:val="single" w:sz="8" w:space="0" w:color="auto"/>
            </w:tcBorders>
            <w:vAlign w:val="center"/>
          </w:tcPr>
          <w:p w14:paraId="4795F99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18.7 (8.9-63.5)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95F99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11.9 (3.8-21.6)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95F99F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0.059</w:t>
            </w:r>
          </w:p>
        </w:tc>
      </w:tr>
    </w:tbl>
    <w:p w14:paraId="4795F9A1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A2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Data </w:t>
      </w:r>
      <w:proofErr w:type="gramStart"/>
      <w:r w:rsidRPr="00233709">
        <w:rPr>
          <w:rFonts w:ascii="Calibri" w:eastAsia="Calibri" w:hAnsi="Calibri" w:cs="Calibri"/>
          <w:color w:val="000000" w:themeColor="text1"/>
          <w:sz w:val="22"/>
        </w:rPr>
        <w:t>are</w:t>
      </w:r>
      <w:proofErr w:type="gram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shown as medians (quartiles 1-3). Abbreviations: AFP, alpha-fetoprotein; AFP-L3, alpha-fetoprotein bound to </w:t>
      </w:r>
      <w:r w:rsidRPr="00233709">
        <w:rPr>
          <w:rFonts w:ascii="Calibri" w:eastAsia="Calibri" w:hAnsi="Calibri" w:cs="Calibri"/>
          <w:i/>
          <w:color w:val="000000" w:themeColor="text1"/>
          <w:sz w:val="22"/>
        </w:rPr>
        <w:t>Lens culinaris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agglutinin; DCP, des-gamma-carboxy prothrombin; FL-GPC3, full-length glypican 3; </w:t>
      </w:r>
      <w:proofErr w:type="gramStart"/>
      <w:r w:rsidRPr="00233709">
        <w:rPr>
          <w:rFonts w:ascii="Calibri" w:eastAsia="Calibri" w:hAnsi="Calibri" w:cs="Calibri"/>
          <w:color w:val="000000" w:themeColor="text1"/>
          <w:sz w:val="22"/>
        </w:rPr>
        <w:t>OR,</w:t>
      </w:r>
      <w:proofErr w:type="gram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objective </w:t>
      </w:r>
      <w:proofErr w:type="gramStart"/>
      <w:r w:rsidRPr="00233709">
        <w:rPr>
          <w:rFonts w:ascii="Calibri" w:eastAsia="Calibri" w:hAnsi="Calibri" w:cs="Calibri"/>
          <w:color w:val="000000" w:themeColor="text1"/>
          <w:sz w:val="22"/>
        </w:rPr>
        <w:t>response;.</w:t>
      </w:r>
      <w:proofErr w:type="gramEnd"/>
    </w:p>
    <w:p w14:paraId="4795F9A3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A4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br w:type="page"/>
      </w:r>
    </w:p>
    <w:p w14:paraId="4795F9A5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lastRenderedPageBreak/>
        <w:t>Supplementary Table S4. Baseline serum concentration of FL-GPC3 and tumor markers according to DC.</w:t>
      </w:r>
    </w:p>
    <w:p w14:paraId="4795F9A6" w14:textId="77777777" w:rsidR="008358BA" w:rsidRPr="00233709" w:rsidRDefault="008358BA">
      <w:pPr>
        <w:rPr>
          <w:rFonts w:ascii="Calibri" w:eastAsia="Calibri" w:hAnsi="Calibri" w:cs="Calibri"/>
          <w:b/>
          <w:color w:val="000000" w:themeColor="text1"/>
          <w:sz w:val="22"/>
        </w:rPr>
      </w:pPr>
    </w:p>
    <w:tbl>
      <w:tblPr>
        <w:tblW w:w="860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8"/>
        <w:gridCol w:w="2512"/>
        <w:gridCol w:w="3020"/>
        <w:gridCol w:w="1040"/>
      </w:tblGrid>
      <w:tr w:rsidR="00A618B3" w:rsidRPr="00233709" w14:paraId="4795F9AB" w14:textId="77777777">
        <w:trPr>
          <w:trHeight w:val="370"/>
        </w:trPr>
        <w:tc>
          <w:tcPr>
            <w:tcW w:w="2028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795F9A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Tumor markers</w:t>
            </w:r>
          </w:p>
        </w:tc>
        <w:tc>
          <w:tcPr>
            <w:tcW w:w="251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795F9A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DC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  <w:vertAlign w:val="superscript"/>
              </w:rPr>
              <w:t>-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 xml:space="preserve"> (n=35)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795F9A9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DC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  <w:vertAlign w:val="superscript"/>
              </w:rPr>
              <w:t>+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 xml:space="preserve"> (n=67)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795F9A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</w:rPr>
              <w:t>p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-value</w:t>
            </w:r>
          </w:p>
        </w:tc>
      </w:tr>
      <w:tr w:rsidR="00A618B3" w:rsidRPr="00233709" w14:paraId="4795F9B0" w14:textId="77777777">
        <w:trPr>
          <w:trHeight w:val="36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A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AFP, ng/mL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A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96.0 (8.8-6452.2)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A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49.0 (6.5-340.8)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AF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0.216</w:t>
            </w:r>
          </w:p>
        </w:tc>
      </w:tr>
      <w:tr w:rsidR="00A618B3" w:rsidRPr="00233709" w14:paraId="4795F9B5" w14:textId="77777777">
        <w:trPr>
          <w:trHeight w:val="36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B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AFP-L3, %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B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23.9 (5.7-48.2)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B3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9.6 (0.7-42.3)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B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0.172</w:t>
            </w:r>
          </w:p>
        </w:tc>
      </w:tr>
      <w:tr w:rsidR="00A618B3" w:rsidRPr="00233709" w14:paraId="4795F9BA" w14:textId="77777777">
        <w:trPr>
          <w:trHeight w:val="36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B6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DCP, </w:t>
            </w: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mAU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/mL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B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1173.0 (152.5-7838.5)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B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163.0 (44.0-2771.5)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B9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0.015</w:t>
            </w:r>
          </w:p>
        </w:tc>
      </w:tr>
      <w:tr w:rsidR="00A618B3" w:rsidRPr="00233709" w14:paraId="4795F9BF" w14:textId="77777777">
        <w:trPr>
          <w:trHeight w:val="370"/>
        </w:trPr>
        <w:tc>
          <w:tcPr>
            <w:tcW w:w="202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795F9BB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FL-GPC3, </w:t>
            </w: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pg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/mL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95F9B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26.7 (11.8-110.6)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95F9B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10.8 (4.3-28.3)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95F9B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0.002</w:t>
            </w:r>
          </w:p>
        </w:tc>
      </w:tr>
    </w:tbl>
    <w:p w14:paraId="4795F9C0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C1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Data </w:t>
      </w:r>
      <w:proofErr w:type="gramStart"/>
      <w:r w:rsidRPr="00233709">
        <w:rPr>
          <w:rFonts w:ascii="Calibri" w:eastAsia="Calibri" w:hAnsi="Calibri" w:cs="Calibri"/>
          <w:color w:val="000000" w:themeColor="text1"/>
          <w:sz w:val="22"/>
        </w:rPr>
        <w:t>are</w:t>
      </w:r>
      <w:proofErr w:type="gram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shown as medians (quartiles 1-3). Abbreviations: AFP, alpha-fetoprotein; AFP-L3, alpha-fetoprotein bound to </w:t>
      </w:r>
      <w:r w:rsidRPr="00233709">
        <w:rPr>
          <w:rFonts w:ascii="Calibri" w:eastAsia="Calibri" w:hAnsi="Calibri" w:cs="Calibri"/>
          <w:i/>
          <w:color w:val="000000" w:themeColor="text1"/>
          <w:sz w:val="22"/>
        </w:rPr>
        <w:t>Lens culinaris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agglutinin; DC, disease control; DCP, des-gamma-carboxy prothrombin; FL-GPC3, full-length glypican 3.</w:t>
      </w:r>
    </w:p>
    <w:p w14:paraId="4795F9C2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C3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C4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br w:type="page"/>
      </w:r>
    </w:p>
    <w:p w14:paraId="4795F9C5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lastRenderedPageBreak/>
        <w:t>Supplementary Table S5.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r w:rsidRPr="00233709">
        <w:rPr>
          <w:rFonts w:ascii="Calibri" w:eastAsia="Calibri" w:hAnsi="Calibri" w:cs="Calibri"/>
          <w:b/>
          <w:color w:val="000000" w:themeColor="text1"/>
          <w:sz w:val="22"/>
        </w:rPr>
        <w:t>Internal validation of the ROC curve-derived cut-off value of serum FL-GPC3 for predicting disease control.</w:t>
      </w:r>
    </w:p>
    <w:p w14:paraId="4795F9C6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tbl>
      <w:tblPr>
        <w:tblW w:w="82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3"/>
        <w:gridCol w:w="4124"/>
      </w:tblGrid>
      <w:tr w:rsidR="00A618B3" w:rsidRPr="00233709" w14:paraId="4795F9C9" w14:textId="77777777">
        <w:trPr>
          <w:trHeight w:val="401"/>
        </w:trPr>
        <w:tc>
          <w:tcPr>
            <w:tcW w:w="4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795F9C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Metric</w:t>
            </w:r>
          </w:p>
        </w:tc>
        <w:tc>
          <w:tcPr>
            <w:tcW w:w="4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795F9C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2"/>
              </w:rPr>
              <w:t>Value</w:t>
            </w:r>
          </w:p>
        </w:tc>
      </w:tr>
      <w:tr w:rsidR="00A618B3" w:rsidRPr="00233709" w14:paraId="4795F9CC" w14:textId="77777777">
        <w:trPr>
          <w:trHeight w:val="401"/>
        </w:trPr>
        <w:tc>
          <w:tcPr>
            <w:tcW w:w="4123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795F9CA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Observed AUC</w:t>
            </w:r>
          </w:p>
        </w:tc>
        <w:tc>
          <w:tcPr>
            <w:tcW w:w="4124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795F9CB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0.688</w:t>
            </w:r>
          </w:p>
        </w:tc>
      </w:tr>
      <w:tr w:rsidR="00A618B3" w:rsidRPr="00233709" w14:paraId="4795F9CF" w14:textId="77777777">
        <w:trPr>
          <w:trHeight w:val="401"/>
        </w:trPr>
        <w:tc>
          <w:tcPr>
            <w:tcW w:w="4123" w:type="dxa"/>
            <w:tcBorders>
              <w:left w:val="nil"/>
              <w:bottom w:val="nil"/>
              <w:right w:val="nil"/>
            </w:tcBorders>
            <w:vAlign w:val="center"/>
          </w:tcPr>
          <w:p w14:paraId="4795F9CD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Optimism-corrected AUC</w:t>
            </w:r>
          </w:p>
        </w:tc>
        <w:tc>
          <w:tcPr>
            <w:tcW w:w="4124" w:type="dxa"/>
            <w:tcBorders>
              <w:left w:val="nil"/>
              <w:bottom w:val="nil"/>
              <w:right w:val="nil"/>
            </w:tcBorders>
            <w:vAlign w:val="center"/>
          </w:tcPr>
          <w:p w14:paraId="4795F9C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0.688</w:t>
            </w:r>
          </w:p>
        </w:tc>
      </w:tr>
      <w:tr w:rsidR="00A618B3" w:rsidRPr="00233709" w14:paraId="4795F9D2" w14:textId="77777777">
        <w:trPr>
          <w:trHeight w:val="401"/>
        </w:trPr>
        <w:tc>
          <w:tcPr>
            <w:tcW w:w="4123" w:type="dxa"/>
            <w:tcBorders>
              <w:top w:val="nil"/>
              <w:left w:val="nil"/>
              <w:right w:val="nil"/>
            </w:tcBorders>
            <w:vAlign w:val="center"/>
          </w:tcPr>
          <w:p w14:paraId="4795F9D0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Bootstrap 95% CI</w:t>
            </w:r>
          </w:p>
        </w:tc>
        <w:tc>
          <w:tcPr>
            <w:tcW w:w="4124" w:type="dxa"/>
            <w:tcBorders>
              <w:top w:val="nil"/>
              <w:left w:val="nil"/>
              <w:right w:val="nil"/>
            </w:tcBorders>
            <w:vAlign w:val="center"/>
          </w:tcPr>
          <w:p w14:paraId="4795F9D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0.582-0.793</w:t>
            </w:r>
          </w:p>
        </w:tc>
      </w:tr>
      <w:tr w:rsidR="00A618B3" w:rsidRPr="00233709" w14:paraId="4795F9D5" w14:textId="77777777">
        <w:trPr>
          <w:trHeight w:val="401"/>
        </w:trPr>
        <w:tc>
          <w:tcPr>
            <w:tcW w:w="412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795F9D3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Bootstrap resampling iterations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795F9D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2"/>
              </w:rPr>
              <w:t>1,000</w:t>
            </w:r>
          </w:p>
        </w:tc>
      </w:tr>
    </w:tbl>
    <w:p w14:paraId="4795F9D6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D7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>The ROC-derived cutoff was internally validated using bootstrap resampling with 1,000 iterations. The 95% CI of the AUC was estimated from the bootstrap distribution. Abbreviations: AUC, area under the receiver operating characteristic curve; CI, confidence interval; FL-GPC3, full-length glypican 3; ROC, receiver operating characteristic</w:t>
      </w:r>
    </w:p>
    <w:p w14:paraId="4795F9D8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p w14:paraId="4795F9D9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1"/>
        </w:rPr>
        <w:br w:type="page"/>
      </w:r>
    </w:p>
    <w:p w14:paraId="4795F9DA" w14:textId="77777777" w:rsidR="008358BA" w:rsidRPr="00233709" w:rsidRDefault="00000000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233709">
        <w:rPr>
          <w:rFonts w:ascii="Calibri" w:eastAsia="Calibri" w:hAnsi="Calibri" w:cs="Calibri"/>
          <w:b/>
          <w:color w:val="000000" w:themeColor="text1"/>
          <w:sz w:val="22"/>
        </w:rPr>
        <w:lastRenderedPageBreak/>
        <w:t>Supplementary Table S6.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r w:rsidRPr="00233709">
        <w:rPr>
          <w:rFonts w:ascii="Calibri" w:eastAsia="Calibri" w:hAnsi="Calibri" w:cs="Calibri"/>
          <w:b/>
          <w:color w:val="000000" w:themeColor="text1"/>
          <w:sz w:val="22"/>
        </w:rPr>
        <w:t>Comparison of baseline characteristics between FL-GPC3-low and FL-GPC3-high patients.</w:t>
      </w:r>
    </w:p>
    <w:p w14:paraId="4795F9DB" w14:textId="77777777" w:rsidR="008358BA" w:rsidRPr="00233709" w:rsidRDefault="008358BA">
      <w:pPr>
        <w:rPr>
          <w:rFonts w:ascii="Calibri" w:eastAsia="Calibri" w:hAnsi="Calibri" w:cs="Calibri"/>
          <w:color w:val="000000" w:themeColor="text1"/>
          <w:sz w:val="22"/>
        </w:rPr>
      </w:pPr>
    </w:p>
    <w:tbl>
      <w:tblPr>
        <w:tblW w:w="9214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985"/>
        <w:gridCol w:w="2197"/>
        <w:gridCol w:w="2197"/>
        <w:gridCol w:w="850"/>
      </w:tblGrid>
      <w:tr w:rsidR="00A618B3" w:rsidRPr="00233709" w14:paraId="4795F9E1" w14:textId="77777777">
        <w:trPr>
          <w:trHeight w:val="355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5F9D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Characteristics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5F9D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Particulars/Units</w:t>
            </w:r>
          </w:p>
        </w:tc>
        <w:tc>
          <w:tcPr>
            <w:tcW w:w="21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95F9D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FL-GPC3-high (n=42)</w:t>
            </w:r>
          </w:p>
        </w:tc>
        <w:tc>
          <w:tcPr>
            <w:tcW w:w="21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95F9DF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FL-GPC3-low (n=60)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95F9E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i/>
                <w:color w:val="000000" w:themeColor="text1"/>
                <w:sz w:val="21"/>
              </w:rPr>
              <w:t>p</w:t>
            </w: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-value</w:t>
            </w:r>
          </w:p>
        </w:tc>
      </w:tr>
      <w:tr w:rsidR="00A618B3" w:rsidRPr="00233709" w14:paraId="4795F9E7" w14:textId="77777777">
        <w:trPr>
          <w:trHeight w:val="355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95F9E2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Age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95F9E3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 xml:space="preserve">Years </w:t>
            </w:r>
          </w:p>
        </w:tc>
        <w:tc>
          <w:tcPr>
            <w:tcW w:w="2197" w:type="dxa"/>
            <w:tcBorders>
              <w:top w:val="single" w:sz="8" w:space="0" w:color="auto"/>
            </w:tcBorders>
            <w:vAlign w:val="center"/>
          </w:tcPr>
          <w:p w14:paraId="4795F9E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74 (67-80)</w:t>
            </w:r>
          </w:p>
        </w:tc>
        <w:tc>
          <w:tcPr>
            <w:tcW w:w="2197" w:type="dxa"/>
            <w:tcBorders>
              <w:top w:val="single" w:sz="8" w:space="0" w:color="auto"/>
            </w:tcBorders>
            <w:vAlign w:val="center"/>
          </w:tcPr>
          <w:p w14:paraId="4795F9E5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71 (66-79)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4795F9E6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0.469</w:t>
            </w:r>
          </w:p>
        </w:tc>
      </w:tr>
      <w:tr w:rsidR="00A618B3" w:rsidRPr="00233709" w14:paraId="4795F9ED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E8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Sex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E9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Male</w:t>
            </w:r>
          </w:p>
        </w:tc>
        <w:tc>
          <w:tcPr>
            <w:tcW w:w="2197" w:type="dxa"/>
            <w:vAlign w:val="center"/>
          </w:tcPr>
          <w:p w14:paraId="4795F9E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35 (83.3)</w:t>
            </w:r>
          </w:p>
        </w:tc>
        <w:tc>
          <w:tcPr>
            <w:tcW w:w="2197" w:type="dxa"/>
            <w:vAlign w:val="center"/>
          </w:tcPr>
          <w:p w14:paraId="4795F9EB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48 (80.0)</w:t>
            </w:r>
          </w:p>
        </w:tc>
        <w:tc>
          <w:tcPr>
            <w:tcW w:w="850" w:type="dxa"/>
            <w:vAlign w:val="center"/>
          </w:tcPr>
          <w:p w14:paraId="4795F9E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0.798</w:t>
            </w:r>
          </w:p>
        </w:tc>
      </w:tr>
      <w:tr w:rsidR="00A618B3" w:rsidRPr="00233709" w14:paraId="4795F9F3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EE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Etiology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EF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HBV/HCV/AL/Others</w:t>
            </w:r>
          </w:p>
        </w:tc>
        <w:tc>
          <w:tcPr>
            <w:tcW w:w="2197" w:type="dxa"/>
            <w:vAlign w:val="center"/>
          </w:tcPr>
          <w:p w14:paraId="4795F9F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 (7.1)/18 (42.9)/10 (23.8)/11 (26.2)</w:t>
            </w:r>
          </w:p>
        </w:tc>
        <w:tc>
          <w:tcPr>
            <w:tcW w:w="2197" w:type="dxa"/>
            <w:vAlign w:val="center"/>
          </w:tcPr>
          <w:p w14:paraId="4795F9F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15 (25.0)/16 (26.7)/14 (23.3)/15 (25.0)</w:t>
            </w:r>
          </w:p>
        </w:tc>
        <w:tc>
          <w:tcPr>
            <w:tcW w:w="850" w:type="dxa"/>
            <w:vAlign w:val="center"/>
          </w:tcPr>
          <w:p w14:paraId="4795F9F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0.086</w:t>
            </w:r>
          </w:p>
        </w:tc>
      </w:tr>
      <w:tr w:rsidR="00A618B3" w:rsidRPr="00233709" w14:paraId="4795F9F9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F4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ECOG PS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F5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0-1</w:t>
            </w:r>
          </w:p>
        </w:tc>
        <w:tc>
          <w:tcPr>
            <w:tcW w:w="2197" w:type="dxa"/>
            <w:vAlign w:val="center"/>
          </w:tcPr>
          <w:p w14:paraId="4795F9F6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39 (92.9)</w:t>
            </w:r>
          </w:p>
        </w:tc>
        <w:tc>
          <w:tcPr>
            <w:tcW w:w="2197" w:type="dxa"/>
            <w:vAlign w:val="center"/>
          </w:tcPr>
          <w:p w14:paraId="4795F9F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57 (95.0)</w:t>
            </w:r>
          </w:p>
        </w:tc>
        <w:tc>
          <w:tcPr>
            <w:tcW w:w="850" w:type="dxa"/>
            <w:vAlign w:val="center"/>
          </w:tcPr>
          <w:p w14:paraId="4795F9F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0.323</w:t>
            </w:r>
          </w:p>
        </w:tc>
      </w:tr>
      <w:tr w:rsidR="00A618B3" w:rsidRPr="00233709" w14:paraId="4795F9FF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FA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Child–Pugh grade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9FB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A/B</w:t>
            </w:r>
          </w:p>
        </w:tc>
        <w:tc>
          <w:tcPr>
            <w:tcW w:w="2197" w:type="dxa"/>
            <w:vAlign w:val="center"/>
          </w:tcPr>
          <w:p w14:paraId="4795F9F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38 (90.5)/4 (9.5)</w:t>
            </w:r>
          </w:p>
        </w:tc>
        <w:tc>
          <w:tcPr>
            <w:tcW w:w="2197" w:type="dxa"/>
            <w:vAlign w:val="center"/>
          </w:tcPr>
          <w:p w14:paraId="4795F9F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57 (95.0)/3 (5.0)</w:t>
            </w:r>
          </w:p>
        </w:tc>
        <w:tc>
          <w:tcPr>
            <w:tcW w:w="850" w:type="dxa"/>
            <w:vAlign w:val="center"/>
          </w:tcPr>
          <w:p w14:paraId="4795F9F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0.442</w:t>
            </w:r>
          </w:p>
        </w:tc>
      </w:tr>
      <w:tr w:rsidR="00A618B3" w:rsidRPr="00233709" w14:paraId="4795FA05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00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ALBI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01" w14:textId="77777777" w:rsidR="008358BA" w:rsidRPr="00233709" w:rsidRDefault="008358BA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</w:p>
        </w:tc>
        <w:tc>
          <w:tcPr>
            <w:tcW w:w="2197" w:type="dxa"/>
            <w:vAlign w:val="center"/>
          </w:tcPr>
          <w:p w14:paraId="4795FA0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-2.35 (-2.71 to -2.15)</w:t>
            </w:r>
          </w:p>
        </w:tc>
        <w:tc>
          <w:tcPr>
            <w:tcW w:w="2197" w:type="dxa"/>
            <w:vAlign w:val="center"/>
          </w:tcPr>
          <w:p w14:paraId="4795FA03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-2.64 (-2.87 to -2.31)</w:t>
            </w:r>
          </w:p>
        </w:tc>
        <w:tc>
          <w:tcPr>
            <w:tcW w:w="850" w:type="dxa"/>
            <w:vAlign w:val="center"/>
          </w:tcPr>
          <w:p w14:paraId="4795FA0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0.015</w:t>
            </w:r>
          </w:p>
        </w:tc>
      </w:tr>
      <w:tr w:rsidR="00A618B3" w:rsidRPr="00233709" w14:paraId="4795FA0B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06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mALBI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 xml:space="preserve"> grade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07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1/2a/2b/3</w:t>
            </w:r>
          </w:p>
        </w:tc>
        <w:tc>
          <w:tcPr>
            <w:tcW w:w="2197" w:type="dxa"/>
            <w:vAlign w:val="center"/>
          </w:tcPr>
          <w:p w14:paraId="4795FA0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12 (28.6)/15 (35.7)/13 (31.0)/2 (4.8)</w:t>
            </w:r>
          </w:p>
        </w:tc>
        <w:tc>
          <w:tcPr>
            <w:tcW w:w="2197" w:type="dxa"/>
            <w:vAlign w:val="center"/>
          </w:tcPr>
          <w:p w14:paraId="4795FA09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33 (55.0)/15 (25.0)/12 (20.0)/0 (0.0)</w:t>
            </w:r>
          </w:p>
        </w:tc>
        <w:tc>
          <w:tcPr>
            <w:tcW w:w="850" w:type="dxa"/>
            <w:vAlign w:val="center"/>
          </w:tcPr>
          <w:p w14:paraId="4795FA0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0.023</w:t>
            </w:r>
          </w:p>
        </w:tc>
      </w:tr>
      <w:tr w:rsidR="00A618B3" w:rsidRPr="00233709" w14:paraId="4795FA11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0C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NLR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0D" w14:textId="77777777" w:rsidR="008358BA" w:rsidRPr="00233709" w:rsidRDefault="008358BA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</w:p>
        </w:tc>
        <w:tc>
          <w:tcPr>
            <w:tcW w:w="2197" w:type="dxa"/>
            <w:vAlign w:val="center"/>
          </w:tcPr>
          <w:p w14:paraId="4795FA0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3.2 (2.0-5.7)</w:t>
            </w:r>
          </w:p>
        </w:tc>
        <w:tc>
          <w:tcPr>
            <w:tcW w:w="2197" w:type="dxa"/>
            <w:vAlign w:val="center"/>
          </w:tcPr>
          <w:p w14:paraId="4795FA0F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3.1 (2.4-4.2)</w:t>
            </w:r>
          </w:p>
        </w:tc>
        <w:tc>
          <w:tcPr>
            <w:tcW w:w="850" w:type="dxa"/>
            <w:vAlign w:val="center"/>
          </w:tcPr>
          <w:p w14:paraId="4795FA1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0.422</w:t>
            </w:r>
          </w:p>
        </w:tc>
      </w:tr>
      <w:tr w:rsidR="00A618B3" w:rsidRPr="00233709" w14:paraId="4795FA17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12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 xml:space="preserve">Bilirubin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13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mg/dL</w:t>
            </w:r>
          </w:p>
        </w:tc>
        <w:tc>
          <w:tcPr>
            <w:tcW w:w="2197" w:type="dxa"/>
            <w:vAlign w:val="center"/>
          </w:tcPr>
          <w:p w14:paraId="4795FA1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1.1 (0.6-1.4)</w:t>
            </w:r>
          </w:p>
        </w:tc>
        <w:tc>
          <w:tcPr>
            <w:tcW w:w="2197" w:type="dxa"/>
            <w:vAlign w:val="center"/>
          </w:tcPr>
          <w:p w14:paraId="4795FA15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0.8 (0.6-1.0)</w:t>
            </w:r>
          </w:p>
        </w:tc>
        <w:tc>
          <w:tcPr>
            <w:tcW w:w="850" w:type="dxa"/>
            <w:vAlign w:val="center"/>
          </w:tcPr>
          <w:p w14:paraId="4795FA16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0.031</w:t>
            </w:r>
          </w:p>
        </w:tc>
      </w:tr>
      <w:tr w:rsidR="00A618B3" w:rsidRPr="00233709" w14:paraId="4795FA1D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18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Albumin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19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g/dL</w:t>
            </w:r>
          </w:p>
        </w:tc>
        <w:tc>
          <w:tcPr>
            <w:tcW w:w="2197" w:type="dxa"/>
            <w:vAlign w:val="center"/>
          </w:tcPr>
          <w:p w14:paraId="4795FA1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3.7 (3.5-4.2)</w:t>
            </w:r>
          </w:p>
        </w:tc>
        <w:tc>
          <w:tcPr>
            <w:tcW w:w="2197" w:type="dxa"/>
            <w:vAlign w:val="center"/>
          </w:tcPr>
          <w:p w14:paraId="4795FA1B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4.0 (3.7-4.2)</w:t>
            </w:r>
          </w:p>
        </w:tc>
        <w:tc>
          <w:tcPr>
            <w:tcW w:w="850" w:type="dxa"/>
            <w:vAlign w:val="center"/>
          </w:tcPr>
          <w:p w14:paraId="4795FA1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0.050</w:t>
            </w:r>
          </w:p>
        </w:tc>
      </w:tr>
      <w:tr w:rsidR="00A618B3" w:rsidRPr="00233709" w14:paraId="4795FA23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1E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PT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1F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%</w:t>
            </w:r>
          </w:p>
        </w:tc>
        <w:tc>
          <w:tcPr>
            <w:tcW w:w="2197" w:type="dxa"/>
            <w:vAlign w:val="center"/>
          </w:tcPr>
          <w:p w14:paraId="4795FA2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84 (78-93)</w:t>
            </w:r>
          </w:p>
        </w:tc>
        <w:tc>
          <w:tcPr>
            <w:tcW w:w="2197" w:type="dxa"/>
            <w:vAlign w:val="center"/>
          </w:tcPr>
          <w:p w14:paraId="4795FA2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88 (81-94)</w:t>
            </w:r>
          </w:p>
        </w:tc>
        <w:tc>
          <w:tcPr>
            <w:tcW w:w="850" w:type="dxa"/>
            <w:vAlign w:val="center"/>
          </w:tcPr>
          <w:p w14:paraId="4795FA2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0.157</w:t>
            </w:r>
          </w:p>
        </w:tc>
      </w:tr>
      <w:tr w:rsidR="00A618B3" w:rsidRPr="00233709" w14:paraId="4795FA29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24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25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IU/L</w:t>
            </w:r>
          </w:p>
        </w:tc>
        <w:tc>
          <w:tcPr>
            <w:tcW w:w="2197" w:type="dxa"/>
            <w:vAlign w:val="center"/>
          </w:tcPr>
          <w:p w14:paraId="4795FA26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46 (34-58)</w:t>
            </w:r>
          </w:p>
        </w:tc>
        <w:tc>
          <w:tcPr>
            <w:tcW w:w="2197" w:type="dxa"/>
            <w:vAlign w:val="center"/>
          </w:tcPr>
          <w:p w14:paraId="4795FA2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36 (25-47)</w:t>
            </w:r>
          </w:p>
        </w:tc>
        <w:tc>
          <w:tcPr>
            <w:tcW w:w="850" w:type="dxa"/>
            <w:vAlign w:val="center"/>
          </w:tcPr>
          <w:p w14:paraId="4795FA2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0.013</w:t>
            </w:r>
          </w:p>
        </w:tc>
      </w:tr>
      <w:tr w:rsidR="00A618B3" w:rsidRPr="00233709" w14:paraId="4795FA2F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2A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ALT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2B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IU/L</w:t>
            </w:r>
          </w:p>
        </w:tc>
        <w:tc>
          <w:tcPr>
            <w:tcW w:w="2197" w:type="dxa"/>
            <w:vAlign w:val="center"/>
          </w:tcPr>
          <w:p w14:paraId="4795FA2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30 (18-42)</w:t>
            </w:r>
          </w:p>
        </w:tc>
        <w:tc>
          <w:tcPr>
            <w:tcW w:w="2197" w:type="dxa"/>
            <w:vAlign w:val="center"/>
          </w:tcPr>
          <w:p w14:paraId="4795FA2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24 (18-34)</w:t>
            </w:r>
          </w:p>
        </w:tc>
        <w:tc>
          <w:tcPr>
            <w:tcW w:w="850" w:type="dxa"/>
            <w:vAlign w:val="center"/>
          </w:tcPr>
          <w:p w14:paraId="4795FA2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0.122</w:t>
            </w:r>
          </w:p>
        </w:tc>
      </w:tr>
      <w:tr w:rsidR="00A618B3" w:rsidRPr="00233709" w14:paraId="4795FA35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30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AFP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31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ng/mL</w:t>
            </w:r>
          </w:p>
        </w:tc>
        <w:tc>
          <w:tcPr>
            <w:tcW w:w="2197" w:type="dxa"/>
            <w:vAlign w:val="center"/>
          </w:tcPr>
          <w:p w14:paraId="4795FA3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227.2 (9.6- 888.0)</w:t>
            </w:r>
          </w:p>
        </w:tc>
        <w:tc>
          <w:tcPr>
            <w:tcW w:w="2197" w:type="dxa"/>
            <w:vAlign w:val="center"/>
          </w:tcPr>
          <w:p w14:paraId="4795FA33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35.3 (5.6-290.0)</w:t>
            </w:r>
          </w:p>
        </w:tc>
        <w:tc>
          <w:tcPr>
            <w:tcW w:w="850" w:type="dxa"/>
            <w:vAlign w:val="center"/>
          </w:tcPr>
          <w:p w14:paraId="4795FA3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0.059</w:t>
            </w:r>
          </w:p>
        </w:tc>
      </w:tr>
      <w:tr w:rsidR="00A618B3" w:rsidRPr="00233709" w14:paraId="4795FA3B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36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AFP-L3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37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%</w:t>
            </w:r>
          </w:p>
        </w:tc>
        <w:tc>
          <w:tcPr>
            <w:tcW w:w="2197" w:type="dxa"/>
            <w:vAlign w:val="center"/>
          </w:tcPr>
          <w:p w14:paraId="4795FA3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13.2 (5.2-41.0)</w:t>
            </w:r>
          </w:p>
        </w:tc>
        <w:tc>
          <w:tcPr>
            <w:tcW w:w="2197" w:type="dxa"/>
            <w:vAlign w:val="center"/>
          </w:tcPr>
          <w:p w14:paraId="4795FA39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11.4 (0.5-50.0)</w:t>
            </w:r>
          </w:p>
        </w:tc>
        <w:tc>
          <w:tcPr>
            <w:tcW w:w="850" w:type="dxa"/>
            <w:vAlign w:val="center"/>
          </w:tcPr>
          <w:p w14:paraId="4795FA3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0.503</w:t>
            </w:r>
          </w:p>
        </w:tc>
      </w:tr>
      <w:tr w:rsidR="00A618B3" w:rsidRPr="00233709" w14:paraId="4795FA41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3C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DCP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3D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mAU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/mL</w:t>
            </w:r>
          </w:p>
        </w:tc>
        <w:tc>
          <w:tcPr>
            <w:tcW w:w="2197" w:type="dxa"/>
            <w:vAlign w:val="center"/>
          </w:tcPr>
          <w:p w14:paraId="4795FA3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709.5 (173.0-8438.3)</w:t>
            </w:r>
          </w:p>
        </w:tc>
        <w:tc>
          <w:tcPr>
            <w:tcW w:w="2197" w:type="dxa"/>
            <w:vAlign w:val="center"/>
          </w:tcPr>
          <w:p w14:paraId="4795FA3F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125.0 (54.3-2697.8)</w:t>
            </w:r>
          </w:p>
        </w:tc>
        <w:tc>
          <w:tcPr>
            <w:tcW w:w="850" w:type="dxa"/>
            <w:vAlign w:val="center"/>
          </w:tcPr>
          <w:p w14:paraId="4795FA4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0.018</w:t>
            </w:r>
          </w:p>
        </w:tc>
      </w:tr>
      <w:tr w:rsidR="00A618B3" w:rsidRPr="00233709" w14:paraId="4795FA47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42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FL-GPC3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43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proofErr w:type="spellStart"/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pg</w:t>
            </w:r>
            <w:proofErr w:type="spellEnd"/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/mL</w:t>
            </w:r>
          </w:p>
        </w:tc>
        <w:tc>
          <w:tcPr>
            <w:tcW w:w="2197" w:type="dxa"/>
            <w:vAlign w:val="center"/>
          </w:tcPr>
          <w:p w14:paraId="4795FA4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77.7 (32.6-195.5)</w:t>
            </w:r>
          </w:p>
        </w:tc>
        <w:tc>
          <w:tcPr>
            <w:tcW w:w="2197" w:type="dxa"/>
            <w:vAlign w:val="center"/>
          </w:tcPr>
          <w:p w14:paraId="4795FA45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8.8 (3.8-12.5)</w:t>
            </w:r>
          </w:p>
        </w:tc>
        <w:tc>
          <w:tcPr>
            <w:tcW w:w="850" w:type="dxa"/>
            <w:vAlign w:val="center"/>
          </w:tcPr>
          <w:p w14:paraId="4795FA46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&lt;0.001</w:t>
            </w:r>
          </w:p>
        </w:tc>
      </w:tr>
      <w:tr w:rsidR="00A618B3" w:rsidRPr="00233709" w14:paraId="4795FA4D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48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MTD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49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mm</w:t>
            </w:r>
          </w:p>
        </w:tc>
        <w:tc>
          <w:tcPr>
            <w:tcW w:w="2197" w:type="dxa"/>
            <w:vAlign w:val="center"/>
          </w:tcPr>
          <w:p w14:paraId="4795FA4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35 (20-74)</w:t>
            </w:r>
          </w:p>
        </w:tc>
        <w:tc>
          <w:tcPr>
            <w:tcW w:w="2197" w:type="dxa"/>
            <w:vAlign w:val="center"/>
          </w:tcPr>
          <w:p w14:paraId="4795FA4B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33 (20-50)</w:t>
            </w:r>
          </w:p>
        </w:tc>
        <w:tc>
          <w:tcPr>
            <w:tcW w:w="850" w:type="dxa"/>
            <w:vAlign w:val="center"/>
          </w:tcPr>
          <w:p w14:paraId="4795FA4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0.388</w:t>
            </w:r>
          </w:p>
        </w:tc>
      </w:tr>
      <w:tr w:rsidR="00A618B3" w:rsidRPr="00233709" w14:paraId="4795FA53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4E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Number of tumors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4F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At least four</w:t>
            </w:r>
          </w:p>
        </w:tc>
        <w:tc>
          <w:tcPr>
            <w:tcW w:w="2197" w:type="dxa"/>
            <w:vAlign w:val="center"/>
          </w:tcPr>
          <w:p w14:paraId="4795FA5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22 (52.4)</w:t>
            </w:r>
          </w:p>
        </w:tc>
        <w:tc>
          <w:tcPr>
            <w:tcW w:w="2197" w:type="dxa"/>
            <w:vAlign w:val="center"/>
          </w:tcPr>
          <w:p w14:paraId="4795FA5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39 (65.0)</w:t>
            </w:r>
          </w:p>
        </w:tc>
        <w:tc>
          <w:tcPr>
            <w:tcW w:w="850" w:type="dxa"/>
            <w:vAlign w:val="center"/>
          </w:tcPr>
          <w:p w14:paraId="4795FA5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0.104</w:t>
            </w:r>
          </w:p>
        </w:tc>
      </w:tr>
      <w:tr w:rsidR="00A618B3" w:rsidRPr="00233709" w14:paraId="4795FA59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54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BCLC stage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55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A/B/C</w:t>
            </w:r>
          </w:p>
        </w:tc>
        <w:tc>
          <w:tcPr>
            <w:tcW w:w="2197" w:type="dxa"/>
            <w:vAlign w:val="center"/>
          </w:tcPr>
          <w:p w14:paraId="4795FA56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3/17/22</w:t>
            </w:r>
          </w:p>
        </w:tc>
        <w:tc>
          <w:tcPr>
            <w:tcW w:w="2197" w:type="dxa"/>
            <w:vAlign w:val="center"/>
          </w:tcPr>
          <w:p w14:paraId="4795FA57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5/24/31</w:t>
            </w:r>
          </w:p>
        </w:tc>
        <w:tc>
          <w:tcPr>
            <w:tcW w:w="850" w:type="dxa"/>
            <w:vAlign w:val="center"/>
          </w:tcPr>
          <w:p w14:paraId="4795FA5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&gt;0.999</w:t>
            </w:r>
          </w:p>
        </w:tc>
      </w:tr>
      <w:tr w:rsidR="00A618B3" w:rsidRPr="00233709" w14:paraId="4795FA5F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5A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Up-to-seven criteria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5B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Out</w:t>
            </w:r>
          </w:p>
        </w:tc>
        <w:tc>
          <w:tcPr>
            <w:tcW w:w="2197" w:type="dxa"/>
            <w:vAlign w:val="center"/>
          </w:tcPr>
          <w:p w14:paraId="4795FA5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29 (69.0)</w:t>
            </w:r>
          </w:p>
        </w:tc>
        <w:tc>
          <w:tcPr>
            <w:tcW w:w="2197" w:type="dxa"/>
            <w:vAlign w:val="center"/>
          </w:tcPr>
          <w:p w14:paraId="4795FA5D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40 (66.7)</w:t>
            </w:r>
          </w:p>
        </w:tc>
        <w:tc>
          <w:tcPr>
            <w:tcW w:w="850" w:type="dxa"/>
            <w:vAlign w:val="center"/>
          </w:tcPr>
          <w:p w14:paraId="4795FA5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0.833</w:t>
            </w:r>
          </w:p>
        </w:tc>
      </w:tr>
      <w:tr w:rsidR="00A618B3" w:rsidRPr="00233709" w14:paraId="4795FA65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60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Previous therapy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61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RFA/PEI</w:t>
            </w:r>
          </w:p>
        </w:tc>
        <w:tc>
          <w:tcPr>
            <w:tcW w:w="2197" w:type="dxa"/>
            <w:vAlign w:val="center"/>
          </w:tcPr>
          <w:p w14:paraId="4795FA6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13 (31.0)</w:t>
            </w:r>
          </w:p>
        </w:tc>
        <w:tc>
          <w:tcPr>
            <w:tcW w:w="2197" w:type="dxa"/>
            <w:vAlign w:val="center"/>
          </w:tcPr>
          <w:p w14:paraId="4795FA63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19 (31.7)</w:t>
            </w:r>
          </w:p>
        </w:tc>
        <w:tc>
          <w:tcPr>
            <w:tcW w:w="850" w:type="dxa"/>
            <w:vAlign w:val="center"/>
          </w:tcPr>
          <w:p w14:paraId="4795FA6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&gt;0.999</w:t>
            </w:r>
          </w:p>
        </w:tc>
      </w:tr>
      <w:tr w:rsidR="00A618B3" w:rsidRPr="00233709" w14:paraId="4795FA6B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66" w14:textId="77777777" w:rsidR="008358BA" w:rsidRPr="00233709" w:rsidRDefault="008358BA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67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Resection</w:t>
            </w:r>
          </w:p>
        </w:tc>
        <w:tc>
          <w:tcPr>
            <w:tcW w:w="2197" w:type="dxa"/>
            <w:vAlign w:val="center"/>
          </w:tcPr>
          <w:p w14:paraId="4795FA68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7 (16.7)</w:t>
            </w:r>
          </w:p>
        </w:tc>
        <w:tc>
          <w:tcPr>
            <w:tcW w:w="2197" w:type="dxa"/>
            <w:vAlign w:val="center"/>
          </w:tcPr>
          <w:p w14:paraId="4795FA69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26 (43.3)</w:t>
            </w:r>
          </w:p>
        </w:tc>
        <w:tc>
          <w:tcPr>
            <w:tcW w:w="850" w:type="dxa"/>
            <w:vAlign w:val="center"/>
          </w:tcPr>
          <w:p w14:paraId="4795FA6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b/>
                <w:color w:val="000000" w:themeColor="text1"/>
                <w:sz w:val="21"/>
              </w:rPr>
              <w:t>0.005</w:t>
            </w:r>
          </w:p>
        </w:tc>
      </w:tr>
      <w:tr w:rsidR="00A618B3" w:rsidRPr="00233709" w14:paraId="4795FA71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6C" w14:textId="77777777" w:rsidR="008358BA" w:rsidRPr="00233709" w:rsidRDefault="008358BA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6D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Radiation</w:t>
            </w:r>
          </w:p>
        </w:tc>
        <w:tc>
          <w:tcPr>
            <w:tcW w:w="2197" w:type="dxa"/>
            <w:vAlign w:val="center"/>
          </w:tcPr>
          <w:p w14:paraId="4795FA6E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 (2.4)</w:t>
            </w:r>
          </w:p>
        </w:tc>
        <w:tc>
          <w:tcPr>
            <w:tcW w:w="2197" w:type="dxa"/>
            <w:vAlign w:val="center"/>
          </w:tcPr>
          <w:p w14:paraId="4795FA6F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8 (13.3)</w:t>
            </w:r>
          </w:p>
        </w:tc>
        <w:tc>
          <w:tcPr>
            <w:tcW w:w="850" w:type="dxa"/>
            <w:vAlign w:val="center"/>
          </w:tcPr>
          <w:p w14:paraId="4795FA7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0.078</w:t>
            </w:r>
          </w:p>
        </w:tc>
      </w:tr>
      <w:tr w:rsidR="00A618B3" w:rsidRPr="00233709" w14:paraId="4795FA77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72" w14:textId="77777777" w:rsidR="008358BA" w:rsidRPr="00233709" w:rsidRDefault="008358BA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FA73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TACE/HAIC</w:t>
            </w:r>
          </w:p>
        </w:tc>
        <w:tc>
          <w:tcPr>
            <w:tcW w:w="2197" w:type="dxa"/>
            <w:vAlign w:val="center"/>
          </w:tcPr>
          <w:p w14:paraId="4795FA74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32 (76.2)</w:t>
            </w:r>
          </w:p>
        </w:tc>
        <w:tc>
          <w:tcPr>
            <w:tcW w:w="2197" w:type="dxa"/>
            <w:vAlign w:val="center"/>
          </w:tcPr>
          <w:p w14:paraId="4795FA75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44 (73.3)</w:t>
            </w:r>
          </w:p>
        </w:tc>
        <w:tc>
          <w:tcPr>
            <w:tcW w:w="850" w:type="dxa"/>
            <w:vAlign w:val="center"/>
          </w:tcPr>
          <w:p w14:paraId="4795FA76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0.820</w:t>
            </w:r>
          </w:p>
        </w:tc>
      </w:tr>
      <w:tr w:rsidR="00A618B3" w:rsidRPr="00233709" w14:paraId="4795FA7D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4795FA78" w14:textId="77777777" w:rsidR="008358BA" w:rsidRPr="00233709" w:rsidRDefault="008358BA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4795FA79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Chemotherapy</w:t>
            </w:r>
          </w:p>
        </w:tc>
        <w:tc>
          <w:tcPr>
            <w:tcW w:w="2197" w:type="dxa"/>
            <w:vAlign w:val="center"/>
          </w:tcPr>
          <w:p w14:paraId="4795FA7A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10 (23.8)</w:t>
            </w:r>
          </w:p>
        </w:tc>
        <w:tc>
          <w:tcPr>
            <w:tcW w:w="2197" w:type="dxa"/>
            <w:vAlign w:val="center"/>
          </w:tcPr>
          <w:p w14:paraId="4795FA7B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11 (18.3)</w:t>
            </w:r>
          </w:p>
        </w:tc>
        <w:tc>
          <w:tcPr>
            <w:tcW w:w="850" w:type="dxa"/>
            <w:vAlign w:val="center"/>
          </w:tcPr>
          <w:p w14:paraId="4795FA7C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0.620</w:t>
            </w:r>
          </w:p>
        </w:tc>
      </w:tr>
      <w:tr w:rsidR="00A618B3" w:rsidRPr="00233709" w14:paraId="4795FA83" w14:textId="77777777">
        <w:trPr>
          <w:trHeight w:val="355"/>
          <w:jc w:val="center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95FA7E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游ゴシック" w:eastAsia="游ゴシック" w:hAnsi="游ゴシック" w:cs="游ゴシック"/>
                <w:color w:val="000000" w:themeColor="text1"/>
                <w:sz w:val="21"/>
              </w:rPr>
              <w:lastRenderedPageBreak/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95FA7F" w14:textId="77777777" w:rsidR="008358BA" w:rsidRPr="00233709" w:rsidRDefault="00000000">
            <w:pPr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None</w:t>
            </w:r>
          </w:p>
        </w:tc>
        <w:tc>
          <w:tcPr>
            <w:tcW w:w="2197" w:type="dxa"/>
            <w:tcBorders>
              <w:bottom w:val="single" w:sz="8" w:space="0" w:color="auto"/>
            </w:tcBorders>
            <w:vAlign w:val="center"/>
          </w:tcPr>
          <w:p w14:paraId="4795FA80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10 (23.8)</w:t>
            </w:r>
          </w:p>
        </w:tc>
        <w:tc>
          <w:tcPr>
            <w:tcW w:w="2197" w:type="dxa"/>
            <w:tcBorders>
              <w:bottom w:val="single" w:sz="8" w:space="0" w:color="auto"/>
            </w:tcBorders>
            <w:vAlign w:val="center"/>
          </w:tcPr>
          <w:p w14:paraId="4795FA81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11 (18.3)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4795FA82" w14:textId="77777777" w:rsidR="008358BA" w:rsidRPr="00233709" w:rsidRDefault="00000000">
            <w:pPr>
              <w:jc w:val="center"/>
              <w:rPr>
                <w:rFonts w:ascii="Calibri" w:eastAsia="Calibri" w:hAnsi="Calibri" w:cs="Calibri"/>
                <w:color w:val="000000" w:themeColor="text1"/>
                <w:sz w:val="21"/>
              </w:rPr>
            </w:pPr>
            <w:r w:rsidRPr="00233709">
              <w:rPr>
                <w:rFonts w:ascii="Calibri" w:eastAsia="Calibri" w:hAnsi="Calibri" w:cs="Calibri"/>
                <w:color w:val="000000" w:themeColor="text1"/>
                <w:sz w:val="21"/>
              </w:rPr>
              <w:t>0.620</w:t>
            </w:r>
          </w:p>
        </w:tc>
      </w:tr>
    </w:tbl>
    <w:p w14:paraId="4795FA84" w14:textId="77777777" w:rsidR="008358BA" w:rsidRPr="00233709" w:rsidRDefault="00000000">
      <w:pPr>
        <w:rPr>
          <w:rFonts w:ascii="Calibri" w:eastAsia="Calibri" w:hAnsi="Calibri" w:cs="Calibri"/>
          <w:color w:val="000000" w:themeColor="text1"/>
          <w:sz w:val="22"/>
        </w:rPr>
      </w:pP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Data are shown as medians (quartiles 1-3) or frequencies (%). Abbreviations: AFP, alpha-fetoprotein; AFP-L3, AFP bound to Lens culinaris agglutinin; AL, alcohol; ALBI, albumin–bilirubin; ALT, alanine aminotransferase; AST, aspartate aminotransferase; BCLC, Barcelona Clinic Liver Cancer; DCP, des-gamma-carboxy prothrombin; ECOG PS, Eastern Cooperative Oncology Group performance status; </w:t>
      </w:r>
      <w:r w:rsidRPr="00233709">
        <w:rPr>
          <w:rFonts w:ascii="Calibri" w:eastAsia="Calibri" w:hAnsi="Calibri" w:cs="Calibri"/>
          <w:color w:val="000000" w:themeColor="text1"/>
          <w:sz w:val="22"/>
          <w:shd w:val="clear" w:color="auto" w:fill="FFFFFF"/>
        </w:rPr>
        <w:t>FL-</w:t>
      </w:r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GPC3, full-length glypican 3; HAIC, hepatic arterial infusion chemotherapy; HBV, hepatitis B virus; HCV, hepatitis C virus;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mALBI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, modified albumin–bilirubin; MTD, maximum tumor diameter; NLR, neutrophil–lymphocyte ratio; PEI, percutaneous ethanol injection; PT, prothrombin time; RFA, radiofrequency ablation; TACE, </w:t>
      </w:r>
      <w:proofErr w:type="spellStart"/>
      <w:r w:rsidRPr="00233709">
        <w:rPr>
          <w:rFonts w:ascii="Calibri" w:eastAsia="Calibri" w:hAnsi="Calibri" w:cs="Calibri"/>
          <w:color w:val="000000" w:themeColor="text1"/>
          <w:sz w:val="22"/>
        </w:rPr>
        <w:t>transarterial</w:t>
      </w:r>
      <w:proofErr w:type="spellEnd"/>
      <w:r w:rsidRPr="00233709">
        <w:rPr>
          <w:rFonts w:ascii="Calibri" w:eastAsia="Calibri" w:hAnsi="Calibri" w:cs="Calibri"/>
          <w:color w:val="000000" w:themeColor="text1"/>
          <w:sz w:val="22"/>
        </w:rPr>
        <w:t xml:space="preserve"> chemoembolization.</w:t>
      </w:r>
    </w:p>
    <w:sectPr w:rsidR="008358BA" w:rsidRPr="00233709">
      <w:footerReference w:type="default" r:id="rId10"/>
      <w:pgSz w:w="11906" w:h="16838"/>
      <w:pgMar w:top="1701" w:right="1701" w:bottom="32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1CAD" w14:textId="77777777" w:rsidR="009639CF" w:rsidRDefault="009639CF">
      <w:r>
        <w:separator/>
      </w:r>
    </w:p>
  </w:endnote>
  <w:endnote w:type="continuationSeparator" w:id="0">
    <w:p w14:paraId="6FCAD719" w14:textId="77777777" w:rsidR="009639CF" w:rsidRDefault="0096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FA8B" w14:textId="77777777" w:rsidR="008358BA" w:rsidRDefault="00000000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8CC26" w14:textId="77777777" w:rsidR="009639CF" w:rsidRDefault="009639CF">
      <w:r>
        <w:separator/>
      </w:r>
    </w:p>
  </w:footnote>
  <w:footnote w:type="continuationSeparator" w:id="0">
    <w:p w14:paraId="55ECDC90" w14:textId="77777777" w:rsidR="009639CF" w:rsidRDefault="00963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343E6"/>
    <w:multiLevelType w:val="multilevel"/>
    <w:tmpl w:val="0D26A81E"/>
    <w:lvl w:ilvl="0">
      <w:start w:val="1"/>
      <w:numFmt w:val="upperLetter"/>
      <w:lvlText w:val="(%1)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866B8E"/>
    <w:multiLevelType w:val="multilevel"/>
    <w:tmpl w:val="0CAC72E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4072054">
    <w:abstractNumId w:val="1"/>
  </w:num>
  <w:num w:numId="2" w16cid:durableId="123870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BA"/>
    <w:rsid w:val="000F0B7D"/>
    <w:rsid w:val="001E713A"/>
    <w:rsid w:val="00233709"/>
    <w:rsid w:val="003D561D"/>
    <w:rsid w:val="007D0F73"/>
    <w:rsid w:val="008358BA"/>
    <w:rsid w:val="0088461E"/>
    <w:rsid w:val="009639CF"/>
    <w:rsid w:val="00A618B3"/>
    <w:rsid w:val="00BC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95F93D"/>
  <w15:docId w15:val="{2EC54AE9-3C6D-4B6E-B2C9-049C6603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uiPriority w:val="16"/>
    <w:semiHidden/>
    <w:unhideWhenUsed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next w:val="a"/>
    <w:uiPriority w:val="16"/>
    <w:semiHidden/>
    <w:unhideWhenUsed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Acknowledgements">
    <w:name w:val="Acknowledgements"/>
    <w:basedOn w:val="a"/>
    <w:uiPriority w:val="16"/>
    <w:semiHidden/>
    <w:unhideWhenUsed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uiPriority w:val="16"/>
    <w:semiHidden/>
    <w:unhideWhenUsed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uiPriority w:val="16"/>
    <w:semiHidden/>
    <w:unhideWhenUsed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uiPriority w:val="16"/>
    <w:semiHidden/>
    <w:unhideWhenUsed/>
    <w:pPr>
      <w:spacing w:before="360" w:after="120" w:line="283" w:lineRule="auto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"/>
    <w:uiPriority w:val="16"/>
    <w:semiHidden/>
    <w:unhideWhenUsed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a3">
    <w:name w:val="Block Text"/>
    <w:basedOn w:val="a"/>
    <w:uiPriority w:val="16"/>
    <w:semiHidden/>
    <w:unhideWhenUsed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styleId="a4">
    <w:name w:val="caption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</w:rPr>
  </w:style>
  <w:style w:type="paragraph" w:customStyle="1" w:styleId="ChapterNumber">
    <w:name w:val="Chapter Number"/>
    <w:basedOn w:val="a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"/>
    <w:uiPriority w:val="16"/>
    <w:semiHidden/>
    <w:unhideWhenUsed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uiPriority w:val="16"/>
    <w:semiHidden/>
    <w:unhideWhenUsed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"/>
    <w:uiPriority w:val="16"/>
    <w:semiHidden/>
    <w:unhideWhenUsed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uiPriority w:val="16"/>
    <w:semiHidden/>
    <w:unhideWhenUsed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uiPriority w:val="16"/>
    <w:semiHidden/>
    <w:unhideWhenUsed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a"/>
    <w:uiPriority w:val="16"/>
    <w:semiHidden/>
    <w:unhideWhenUsed/>
    <w:pPr>
      <w:ind w:left="900"/>
    </w:pPr>
    <w:rPr>
      <w:rFonts w:ascii="Calibri" w:eastAsia="Calibri" w:hAnsi="Calibri" w:cs="Calibri"/>
      <w:sz w:val="22"/>
    </w:rPr>
  </w:style>
  <w:style w:type="paragraph" w:styleId="a5">
    <w:name w:val="Subtitle"/>
    <w:basedOn w:val="a"/>
    <w:uiPriority w:val="16"/>
    <w:semiHidden/>
    <w:unhideWhenUsed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Surtitle">
    <w:name w:val="Surtitle"/>
    <w:basedOn w:val="a"/>
    <w:uiPriority w:val="16"/>
    <w:semiHidden/>
    <w:unhideWhenUsed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"/>
    <w:uiPriority w:val="16"/>
    <w:semiHidden/>
    <w:unhideWhenUsed/>
    <w:pPr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uiPriority w:val="16"/>
    <w:semiHidden/>
    <w:unhideWhenUsed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uiPriority w:val="16"/>
    <w:semiHidden/>
    <w:unhideWhenUsed/>
    <w:pPr>
      <w:ind w:left="300" w:hanging="300"/>
    </w:pPr>
    <w:rPr>
      <w:sz w:val="20"/>
    </w:rPr>
  </w:style>
  <w:style w:type="paragraph" w:customStyle="1" w:styleId="TableNote">
    <w:name w:val="Table Note"/>
    <w:basedOn w:val="a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uiPriority w:val="17"/>
    <w:semiHidden/>
    <w:unhideWhenUsed/>
    <w:rPr>
      <w:shd w:val="clear" w:color="auto" w:fill="E9F9FF"/>
    </w:rPr>
  </w:style>
  <w:style w:type="character" w:customStyle="1" w:styleId="City">
    <w:name w:val="City"/>
    <w:basedOn w:val="a0"/>
    <w:uiPriority w:val="17"/>
    <w:semiHidden/>
    <w:unhideWhenUsed/>
    <w:rPr>
      <w:shd w:val="clear" w:color="auto" w:fill="D7D7D7"/>
    </w:rPr>
  </w:style>
  <w:style w:type="character" w:customStyle="1" w:styleId="Conference">
    <w:name w:val="Conference"/>
    <w:basedOn w:val="a0"/>
    <w:uiPriority w:val="17"/>
    <w:semiHidden/>
    <w:unhideWhenUsed/>
    <w:rPr>
      <w:shd w:val="clear" w:color="auto" w:fill="FFAFBC"/>
    </w:rPr>
  </w:style>
  <w:style w:type="character" w:customStyle="1" w:styleId="Country">
    <w:name w:val="Country"/>
    <w:basedOn w:val="a0"/>
    <w:uiPriority w:val="17"/>
    <w:semiHidden/>
    <w:unhideWhenUsed/>
    <w:rPr>
      <w:shd w:val="clear" w:color="auto" w:fill="97C5D1"/>
    </w:rPr>
  </w:style>
  <w:style w:type="character" w:customStyle="1" w:styleId="Cross-reference">
    <w:name w:val="Cross-reference"/>
    <w:basedOn w:val="a0"/>
    <w:uiPriority w:val="17"/>
    <w:semiHidden/>
    <w:unhideWhenUsed/>
    <w:rPr>
      <w:shd w:val="clear" w:color="auto" w:fill="FFE3C9"/>
    </w:rPr>
  </w:style>
  <w:style w:type="character" w:customStyle="1" w:styleId="DatabaseLink">
    <w:name w:val="Database Link"/>
    <w:basedOn w:val="a0"/>
    <w:uiPriority w:val="17"/>
    <w:semiHidden/>
    <w:unhideWhenUsed/>
    <w:rPr>
      <w:shd w:val="clear" w:color="auto" w:fill="AFBEFF"/>
    </w:rPr>
  </w:style>
  <w:style w:type="character" w:customStyle="1" w:styleId="Edition">
    <w:name w:val="Edition"/>
    <w:basedOn w:val="a0"/>
    <w:uiPriority w:val="17"/>
    <w:semiHidden/>
    <w:unhideWhenUsed/>
    <w:rPr>
      <w:shd w:val="clear" w:color="auto" w:fill="FFF6A4"/>
    </w:rPr>
  </w:style>
  <w:style w:type="character" w:customStyle="1" w:styleId="FamilyName">
    <w:name w:val="Family Name"/>
    <w:basedOn w:val="a0"/>
    <w:uiPriority w:val="17"/>
    <w:semiHidden/>
    <w:unhideWhenUsed/>
    <w:rPr>
      <w:shd w:val="clear" w:color="auto" w:fill="88F4BE"/>
    </w:rPr>
  </w:style>
  <w:style w:type="character" w:customStyle="1" w:styleId="GeneSequence">
    <w:name w:val="Gene Sequence"/>
    <w:basedOn w:val="a0"/>
    <w:uiPriority w:val="17"/>
    <w:semiHidden/>
    <w:unhideWhenUsed/>
    <w:rPr>
      <w:shd w:val="clear" w:color="auto" w:fill="FFCDF2"/>
    </w:rPr>
  </w:style>
  <w:style w:type="character" w:customStyle="1" w:styleId="GivenName">
    <w:name w:val="Given Name"/>
    <w:basedOn w:val="a0"/>
    <w:uiPriority w:val="17"/>
    <w:semiHidden/>
    <w:unhideWhenUsed/>
    <w:rPr>
      <w:shd w:val="clear" w:color="auto" w:fill="D0FCE2"/>
    </w:rPr>
  </w:style>
  <w:style w:type="character" w:customStyle="1" w:styleId="GlossaryTerm">
    <w:name w:val="Glossary Term"/>
    <w:basedOn w:val="a0"/>
    <w:uiPriority w:val="17"/>
    <w:semiHidden/>
    <w:unhideWhenUsed/>
    <w:rPr>
      <w:shd w:val="clear" w:color="auto" w:fill="FFCFD7"/>
    </w:rPr>
  </w:style>
  <w:style w:type="character" w:customStyle="1" w:styleId="GrantID">
    <w:name w:val="Grant ID"/>
    <w:basedOn w:val="a0"/>
    <w:uiPriority w:val="17"/>
    <w:semiHidden/>
    <w:unhideWhenUsed/>
    <w:rPr>
      <w:shd w:val="clear" w:color="auto" w:fill="DDA5FF"/>
    </w:rPr>
  </w:style>
  <w:style w:type="character" w:customStyle="1" w:styleId="Heading">
    <w:name w:val="Heading:"/>
    <w:basedOn w:val="a0"/>
    <w:uiPriority w:val="17"/>
    <w:semiHidden/>
    <w:unhideWhenUsed/>
    <w:rPr>
      <w:color w:val="5B89C1"/>
    </w:rPr>
  </w:style>
  <w:style w:type="character" w:styleId="a6">
    <w:name w:val="Hyperlink"/>
    <w:basedOn w:val="a0"/>
    <w:uiPriority w:val="17"/>
    <w:semiHidden/>
    <w:unhideWhenUsed/>
    <w:rPr>
      <w:color w:val="0563C1"/>
    </w:rPr>
  </w:style>
  <w:style w:type="character" w:customStyle="1" w:styleId="IssueNumber">
    <w:name w:val="Issue Number"/>
    <w:basedOn w:val="a0"/>
    <w:uiPriority w:val="17"/>
    <w:semiHidden/>
    <w:unhideWhenUsed/>
    <w:rPr>
      <w:shd w:val="clear" w:color="auto" w:fill="CDD5FF"/>
    </w:rPr>
  </w:style>
  <w:style w:type="character" w:customStyle="1" w:styleId="Label">
    <w:name w:val="Label"/>
    <w:basedOn w:val="a0"/>
    <w:uiPriority w:val="17"/>
    <w:semiHidden/>
    <w:unhideWhenUsed/>
    <w:rPr>
      <w:shd w:val="clear" w:color="auto" w:fill="FFC391"/>
      <w:vertAlign w:val="baseline"/>
    </w:rPr>
  </w:style>
  <w:style w:type="character" w:customStyle="1" w:styleId="Location">
    <w:name w:val="Location"/>
    <w:basedOn w:val="a0"/>
    <w:uiPriority w:val="17"/>
    <w:semiHidden/>
    <w:unhideWhenUsed/>
    <w:rPr>
      <w:shd w:val="clear" w:color="auto" w:fill="F9EDFF"/>
    </w:rPr>
  </w:style>
  <w:style w:type="character" w:customStyle="1" w:styleId="Miscellaneous">
    <w:name w:val="Miscellaneous"/>
    <w:basedOn w:val="a0"/>
    <w:uiPriority w:val="17"/>
    <w:semiHidden/>
    <w:unhideWhenUsed/>
    <w:rPr>
      <w:shd w:val="clear" w:color="auto" w:fill="F0F0F0"/>
    </w:rPr>
  </w:style>
  <w:style w:type="character" w:customStyle="1" w:styleId="NameScientific">
    <w:name w:val="Name Scientific"/>
    <w:basedOn w:val="a0"/>
    <w:uiPriority w:val="17"/>
    <w:semiHidden/>
    <w:unhideWhenUsed/>
    <w:rPr>
      <w:shd w:val="clear" w:color="auto" w:fill="91E0FF"/>
    </w:rPr>
  </w:style>
  <w:style w:type="character" w:customStyle="1" w:styleId="Organization">
    <w:name w:val="Organization"/>
    <w:basedOn w:val="a0"/>
    <w:uiPriority w:val="17"/>
    <w:semiHidden/>
    <w:unhideWhenUsed/>
    <w:rPr>
      <w:shd w:val="clear" w:color="auto" w:fill="D1FFB5"/>
    </w:rPr>
  </w:style>
  <w:style w:type="character" w:customStyle="1" w:styleId="PageNumbers">
    <w:name w:val="Page Numbers"/>
    <w:basedOn w:val="a0"/>
    <w:uiPriority w:val="17"/>
    <w:semiHidden/>
    <w:unhideWhenUsed/>
    <w:rPr>
      <w:shd w:val="clear" w:color="auto" w:fill="FFEDF0"/>
    </w:rPr>
  </w:style>
  <w:style w:type="character" w:customStyle="1" w:styleId="Postcode">
    <w:name w:val="Postcode"/>
    <w:basedOn w:val="a0"/>
    <w:uiPriority w:val="17"/>
    <w:semiHidden/>
    <w:unhideWhenUsed/>
    <w:rPr>
      <w:shd w:val="clear" w:color="auto" w:fill="BEBEBE"/>
    </w:rPr>
  </w:style>
  <w:style w:type="character" w:customStyle="1" w:styleId="Publisher">
    <w:name w:val="Publisher"/>
    <w:basedOn w:val="a0"/>
    <w:uiPriority w:val="17"/>
    <w:semiHidden/>
    <w:unhideWhenUsed/>
    <w:rPr>
      <w:shd w:val="clear" w:color="auto" w:fill="F2DDFF"/>
    </w:rPr>
  </w:style>
  <w:style w:type="character" w:customStyle="1" w:styleId="Region">
    <w:name w:val="Region"/>
    <w:basedOn w:val="a0"/>
    <w:uiPriority w:val="17"/>
    <w:semiHidden/>
    <w:unhideWhenUsed/>
    <w:rPr>
      <w:shd w:val="clear" w:color="auto" w:fill="D8E9EE"/>
    </w:rPr>
  </w:style>
  <w:style w:type="character" w:customStyle="1" w:styleId="Source">
    <w:name w:val="Source"/>
    <w:basedOn w:val="a0"/>
    <w:uiPriority w:val="17"/>
    <w:semiHidden/>
    <w:unhideWhenUsed/>
    <w:rPr>
      <w:shd w:val="clear" w:color="auto" w:fill="C1EDFF"/>
    </w:rPr>
  </w:style>
  <w:style w:type="character" w:customStyle="1" w:styleId="VolumeNumber">
    <w:name w:val="Volume Number"/>
    <w:basedOn w:val="a0"/>
    <w:uiPriority w:val="17"/>
    <w:semiHidden/>
    <w:unhideWhenUsed/>
    <w:rPr>
      <w:shd w:val="clear" w:color="auto" w:fill="EDF0FF"/>
    </w:rPr>
  </w:style>
  <w:style w:type="character" w:customStyle="1" w:styleId="Year">
    <w:name w:val="Year"/>
    <w:basedOn w:val="a0"/>
    <w:uiPriority w:val="17"/>
    <w:semiHidden/>
    <w:unhideWhenUsed/>
    <w:rPr>
      <w:shd w:val="clear" w:color="auto" w:fill="FFF9C9"/>
    </w:rPr>
  </w:style>
  <w:style w:type="paragraph" w:styleId="a7">
    <w:name w:val="List Paragraph"/>
    <w:basedOn w:val="a"/>
    <w:uiPriority w:val="34"/>
    <w:qFormat/>
    <w:pPr>
      <w:ind w:left="840"/>
    </w:pPr>
  </w:style>
  <w:style w:type="paragraph" w:styleId="1">
    <w:name w:val="toc 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</w:rPr>
  </w:style>
  <w:style w:type="paragraph" w:styleId="3">
    <w:name w:val="toc 3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styleId="a8">
    <w:name w:val="annotation reference"/>
    <w:basedOn w:val="a0"/>
    <w:uiPriority w:val="99"/>
    <w:semiHidden/>
    <w:unhideWhenUsed/>
    <w:rPr>
      <w:sz w:val="16"/>
    </w:rPr>
  </w:style>
  <w:style w:type="paragraph" w:styleId="a9">
    <w:name w:val="annotation subject"/>
    <w:basedOn w:val="aa"/>
    <w:uiPriority w:val="99"/>
    <w:semiHidden/>
    <w:unhideWhenUsed/>
    <w:rPr>
      <w:rFonts w:ascii="Times New Roman" w:eastAsia="Times New Roman" w:hAnsi="Times New Roman" w:cs="Times New Roman"/>
      <w:b/>
    </w:rPr>
  </w:style>
  <w:style w:type="paragraph" w:styleId="aa">
    <w:name w:val="annotation text"/>
    <w:basedOn w:val="a"/>
    <w:uiPriority w:val="99"/>
    <w:semiHidden/>
    <w:unhideWhenUsed/>
    <w:rPr>
      <w:rFonts w:ascii="Calibri" w:eastAsia="Calibri" w:hAnsi="Calibri" w:cs="Calibri"/>
      <w:sz w:val="20"/>
    </w:rPr>
  </w:style>
  <w:style w:type="paragraph" w:styleId="ab">
    <w:name w:val="Balloon Text"/>
    <w:basedOn w:val="a"/>
    <w:uiPriority w:val="99"/>
    <w:semiHidden/>
    <w:unhideWhenUsed/>
    <w:rPr>
      <w:rFonts w:ascii="Arial" w:eastAsia="Arial" w:hAnsi="Arial" w:cs="Arial"/>
      <w:sz w:val="18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end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e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">
    <w:name w:val="footnote reference"/>
    <w:basedOn w:val="a0"/>
    <w:uiPriority w:val="99"/>
    <w:semiHidden/>
    <w:unhideWhenUsed/>
    <w:rPr>
      <w:vertAlign w:val="superscript"/>
    </w:rPr>
  </w:style>
  <w:style w:type="paragraph" w:styleId="af0">
    <w:name w:val="foot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f1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f2">
    <w:name w:val="List"/>
    <w:basedOn w:val="a"/>
    <w:uiPriority w:val="99"/>
    <w:semiHidden/>
    <w:unhideWhenUsed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uiPriority w:val="99"/>
    <w:semiHidden/>
    <w:unhideWhenUsed/>
    <w:pPr>
      <w:ind w:left="1200" w:hanging="600"/>
      <w:jc w:val="both"/>
    </w:pPr>
    <w:rPr>
      <w:sz w:val="22"/>
    </w:rPr>
  </w:style>
  <w:style w:type="paragraph" w:styleId="20">
    <w:name w:val="List 2"/>
    <w:basedOn w:val="a"/>
    <w:uiPriority w:val="99"/>
    <w:semiHidden/>
    <w:unhideWhenUsed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paragraph" w:styleId="30">
    <w:name w:val="List 3"/>
    <w:basedOn w:val="a"/>
    <w:uiPriority w:val="99"/>
    <w:semiHidden/>
    <w:unhideWhenUsed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paragraph" w:styleId="40">
    <w:name w:val="List 4"/>
    <w:basedOn w:val="a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50">
    <w:name w:val="List 5"/>
    <w:basedOn w:val="a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a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a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List8">
    <w:name w:val="List 8"/>
    <w:basedOn w:val="a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List9">
    <w:name w:val="List 9"/>
    <w:basedOn w:val="a"/>
    <w:uiPriority w:val="99"/>
    <w:semiHidden/>
    <w:unhideWhenUsed/>
    <w:pPr>
      <w:ind w:left="1200" w:hanging="600"/>
      <w:jc w:val="both"/>
    </w:pPr>
    <w:rPr>
      <w:sz w:val="22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styleId="af3">
    <w:name w:val="Revision"/>
    <w:hidden/>
    <w:uiPriority w:val="99"/>
    <w:semiHidden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1039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Naoshi Odagiri</dc:creator>
  <cp:lastModifiedBy>Naoshi Odagiri</cp:lastModifiedBy>
  <cp:revision>2</cp:revision>
  <dcterms:created xsi:type="dcterms:W3CDTF">2026-05-27T10:45:00Z</dcterms:created>
  <dcterms:modified xsi:type="dcterms:W3CDTF">2026-05-27T10:45:00Z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3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3</vt:lpwstr>
  </property>
  <property fmtid="{D5CDD505-2E9C-101B-9397-08002B2CF9AE}" pid="15" name="Merops input file path">
    <vt:lpwstr>fc4b8908-0c2e-41f7-bbd6-fe577190d892.docx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MG-Session/On-20260523/I:95c9283b-22ba-4e33-93a8-528f2484b2bd</vt:lpwstr>
  </property>
  <property fmtid="{D5CDD505-2E9C-101B-9397-08002B2CF9AE}" pid="18" name="Merops processed date">
    <vt:lpwstr>2026/05/23 08:06:33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merops/preset-v1/scientific-reports</vt:lpwstr>
  </property>
  <property fmtid="{D5CDD505-2E9C-101B-9397-08002B2CF9AE}" pid="24" name="Merops Standard Set modified">
    <vt:lpwstr/>
  </property>
  <property fmtid="{D5CDD505-2E9C-101B-9397-08002B2CF9AE}" pid="25" name="Merops tables count">
    <vt:lpwstr>6</vt:lpwstr>
  </property>
  <property fmtid="{D5CDD505-2E9C-101B-9397-08002B2CF9AE}" pid="26" name="Merops word count">
    <vt:lpwstr>1007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