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0A6CB" w14:textId="77777777" w:rsidR="00440B33" w:rsidRDefault="00440B33" w:rsidP="00425F8B">
      <w:pPr>
        <w:spacing w:after="240" w:line="276" w:lineRule="auto"/>
        <w:rPr>
          <w:rFonts w:eastAsiaTheme="majorEastAsia" w:cstheme="majorBidi"/>
          <w:b/>
          <w:bCs/>
          <w:color w:val="000000" w:themeColor="text1"/>
          <w:spacing w:val="15"/>
        </w:rPr>
      </w:pPr>
      <w:r w:rsidRPr="00440B33">
        <w:rPr>
          <w:rFonts w:eastAsiaTheme="majorEastAsia" w:cstheme="majorBidi"/>
          <w:b/>
          <w:bCs/>
          <w:color w:val="000000" w:themeColor="text1"/>
          <w:spacing w:val="15"/>
        </w:rPr>
        <w:t xml:space="preserve">Appendix to: Nelli et al: Freedom </w:t>
      </w:r>
      <w:proofErr w:type="gramStart"/>
      <w:r w:rsidRPr="00440B33">
        <w:rPr>
          <w:rFonts w:eastAsiaTheme="majorEastAsia" w:cstheme="majorBidi"/>
          <w:b/>
          <w:bCs/>
          <w:color w:val="000000" w:themeColor="text1"/>
          <w:spacing w:val="15"/>
        </w:rPr>
        <w:t>From</w:t>
      </w:r>
      <w:proofErr w:type="gramEnd"/>
      <w:r w:rsidRPr="00440B33">
        <w:rPr>
          <w:rFonts w:eastAsiaTheme="majorEastAsia" w:cstheme="majorBidi"/>
          <w:b/>
          <w:bCs/>
          <w:color w:val="000000" w:themeColor="text1"/>
          <w:spacing w:val="15"/>
        </w:rPr>
        <w:t xml:space="preserve"> Infection in Cabo Verde: Supporting Evidence-Based Decision-Making for Malaria Elimination</w:t>
      </w:r>
    </w:p>
    <w:p w14:paraId="58C32642" w14:textId="77777777" w:rsidR="00440B33" w:rsidRPr="00440B33" w:rsidRDefault="00440B33" w:rsidP="006C59DF">
      <w:pPr>
        <w:spacing w:after="240" w:line="276" w:lineRule="auto"/>
        <w:jc w:val="both"/>
        <w:rPr>
          <w:rFonts w:eastAsiaTheme="majorEastAsia" w:cstheme="majorBidi"/>
          <w:b/>
          <w:bCs/>
          <w:color w:val="000000" w:themeColor="text1"/>
          <w:spacing w:val="15"/>
        </w:rPr>
      </w:pPr>
      <w:r w:rsidRPr="00440B33">
        <w:rPr>
          <w:rFonts w:eastAsiaTheme="majorEastAsia" w:cstheme="majorBidi"/>
          <w:b/>
          <w:bCs/>
          <w:color w:val="000000" w:themeColor="text1"/>
          <w:spacing w:val="15"/>
        </w:rPr>
        <w:t xml:space="preserve">CONTENT </w:t>
      </w: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095"/>
      </w:tblGrid>
      <w:tr w:rsidR="00440B33" w:rsidRPr="00440B33" w14:paraId="0FABED31" w14:textId="77777777" w:rsidTr="00260A6A">
        <w:trPr>
          <w:trHeight w:val="502"/>
        </w:trPr>
        <w:tc>
          <w:tcPr>
            <w:tcW w:w="8784" w:type="dxa"/>
          </w:tcPr>
          <w:p w14:paraId="4F5244D0" w14:textId="52F52F97" w:rsidR="00440B33" w:rsidRPr="00440B33" w:rsidRDefault="00440B33" w:rsidP="00440B33">
            <w:pPr>
              <w:spacing w:line="276" w:lineRule="auto"/>
              <w:jc w:val="both"/>
            </w:pPr>
            <w:r w:rsidRPr="00440B33">
              <w:t xml:space="preserve">Supplementary </w:t>
            </w:r>
            <w:r w:rsidR="00603CE9">
              <w:t>i</w:t>
            </w:r>
            <w:r w:rsidRPr="00440B33">
              <w:t xml:space="preserve">nformation </w:t>
            </w:r>
            <w:r w:rsidR="00603CE9">
              <w:t>a</w:t>
            </w:r>
            <w:r w:rsidRPr="00440B33">
              <w:t>ppendix 1: Basic FFI model………………………………………………</w:t>
            </w:r>
            <w:r w:rsidR="00260A6A">
              <w:t>…</w:t>
            </w:r>
          </w:p>
        </w:tc>
        <w:tc>
          <w:tcPr>
            <w:tcW w:w="1095" w:type="dxa"/>
          </w:tcPr>
          <w:p w14:paraId="44BFDDC7" w14:textId="25C0F59F" w:rsidR="00440B33" w:rsidRPr="00440B33" w:rsidRDefault="00440B33" w:rsidP="00260A6A">
            <w:pPr>
              <w:spacing w:line="276" w:lineRule="auto"/>
              <w:jc w:val="right"/>
              <w:rPr>
                <w:rFonts w:eastAsiaTheme="majorEastAsia" w:cstheme="majorBidi"/>
                <w:color w:val="000000" w:themeColor="text1"/>
                <w:spacing w:val="15"/>
              </w:rPr>
            </w:pPr>
            <w:r w:rsidRPr="00440B33">
              <w:rPr>
                <w:rFonts w:eastAsiaTheme="majorEastAsia" w:cstheme="majorBidi"/>
                <w:color w:val="000000" w:themeColor="text1"/>
                <w:spacing w:val="15"/>
              </w:rPr>
              <w:t xml:space="preserve">Page </w:t>
            </w:r>
            <w:r w:rsidR="00260A6A">
              <w:rPr>
                <w:rFonts w:eastAsiaTheme="majorEastAsia" w:cstheme="majorBidi"/>
                <w:color w:val="000000" w:themeColor="text1"/>
                <w:spacing w:val="15"/>
              </w:rPr>
              <w:t>2</w:t>
            </w:r>
          </w:p>
        </w:tc>
      </w:tr>
      <w:tr w:rsidR="00440B33" w:rsidRPr="00440B33" w14:paraId="41FEF07E" w14:textId="77777777" w:rsidTr="00260A6A">
        <w:trPr>
          <w:trHeight w:val="510"/>
        </w:trPr>
        <w:tc>
          <w:tcPr>
            <w:tcW w:w="8784" w:type="dxa"/>
          </w:tcPr>
          <w:p w14:paraId="51B738BB" w14:textId="793B3918" w:rsidR="00440B33" w:rsidRPr="00440B33" w:rsidRDefault="00440B33" w:rsidP="00440B33">
            <w:pPr>
              <w:spacing w:line="276" w:lineRule="auto"/>
              <w:jc w:val="both"/>
            </w:pPr>
            <w:r w:rsidRPr="00440B33">
              <w:t xml:space="preserve">Supplementary </w:t>
            </w:r>
            <w:r w:rsidR="00603CE9">
              <w:t>i</w:t>
            </w:r>
            <w:r w:rsidRPr="00440B33">
              <w:t xml:space="preserve">nformation </w:t>
            </w:r>
            <w:r w:rsidR="00603CE9">
              <w:t>a</w:t>
            </w:r>
            <w:r w:rsidRPr="00440B33">
              <w:t>ppendix 2: Extensions to the FFI model ……………………………</w:t>
            </w:r>
          </w:p>
        </w:tc>
        <w:tc>
          <w:tcPr>
            <w:tcW w:w="1095" w:type="dxa"/>
          </w:tcPr>
          <w:p w14:paraId="41785FC5" w14:textId="362E0586" w:rsidR="00440B33" w:rsidRPr="00440B33" w:rsidRDefault="00440B33" w:rsidP="00260A6A">
            <w:pPr>
              <w:spacing w:line="276" w:lineRule="auto"/>
              <w:jc w:val="right"/>
              <w:rPr>
                <w:rFonts w:eastAsiaTheme="majorEastAsia" w:cstheme="majorBidi"/>
                <w:color w:val="000000" w:themeColor="text1"/>
                <w:spacing w:val="15"/>
              </w:rPr>
            </w:pPr>
            <w:r w:rsidRPr="00440B33">
              <w:rPr>
                <w:rFonts w:eastAsiaTheme="majorEastAsia" w:cstheme="majorBidi"/>
                <w:color w:val="000000" w:themeColor="text1"/>
                <w:spacing w:val="15"/>
              </w:rPr>
              <w:t xml:space="preserve">Page </w:t>
            </w:r>
            <w:r w:rsidR="00260A6A">
              <w:rPr>
                <w:rFonts w:eastAsiaTheme="majorEastAsia" w:cstheme="majorBidi"/>
                <w:color w:val="000000" w:themeColor="text1"/>
                <w:spacing w:val="15"/>
              </w:rPr>
              <w:t>6</w:t>
            </w:r>
          </w:p>
        </w:tc>
      </w:tr>
      <w:tr w:rsidR="00244F4C" w:rsidRPr="00440B33" w14:paraId="6B7039FC" w14:textId="77777777" w:rsidTr="00260A6A">
        <w:trPr>
          <w:trHeight w:val="510"/>
        </w:trPr>
        <w:tc>
          <w:tcPr>
            <w:tcW w:w="8784" w:type="dxa"/>
          </w:tcPr>
          <w:p w14:paraId="17012304" w14:textId="15882A97" w:rsidR="00244F4C" w:rsidRPr="00260A6A" w:rsidRDefault="00244F4C" w:rsidP="00244F4C">
            <w:pPr>
              <w:spacing w:line="276" w:lineRule="auto"/>
              <w:jc w:val="both"/>
            </w:pPr>
            <w:r w:rsidRPr="00260A6A">
              <w:t xml:space="preserve">Supplementary </w:t>
            </w:r>
            <w:r w:rsidR="00603CE9">
              <w:t>i</w:t>
            </w:r>
            <w:r w:rsidRPr="00260A6A">
              <w:t xml:space="preserve">nformation </w:t>
            </w:r>
            <w:r w:rsidR="00603CE9">
              <w:t>a</w:t>
            </w:r>
            <w:r w:rsidRPr="00260A6A">
              <w:t xml:space="preserve">ppendix </w:t>
            </w:r>
            <w:r w:rsidR="00D41FD4" w:rsidRPr="00260A6A">
              <w:t>3</w:t>
            </w:r>
            <w:r w:rsidRPr="00260A6A">
              <w:t xml:space="preserve">: </w:t>
            </w:r>
            <w:r w:rsidR="00260A6A" w:rsidRPr="00260A6A">
              <w:t>F</w:t>
            </w:r>
            <w:r w:rsidRPr="00260A6A">
              <w:t xml:space="preserve">ull </w:t>
            </w:r>
            <w:r w:rsidR="00260A6A" w:rsidRPr="00260A6A">
              <w:t>prior specification</w:t>
            </w:r>
            <w:r w:rsidRPr="00260A6A">
              <w:t>………………………</w:t>
            </w:r>
            <w:r w:rsidR="00AE6A83" w:rsidRPr="00260A6A">
              <w:t>…………</w:t>
            </w:r>
            <w:r w:rsidR="00260A6A">
              <w:t>……</w:t>
            </w:r>
          </w:p>
        </w:tc>
        <w:tc>
          <w:tcPr>
            <w:tcW w:w="1095" w:type="dxa"/>
          </w:tcPr>
          <w:p w14:paraId="21A8FFF6" w14:textId="4ED8C2A1" w:rsidR="00244F4C" w:rsidRPr="00260A6A" w:rsidRDefault="00244F4C" w:rsidP="00260A6A">
            <w:pPr>
              <w:spacing w:line="276" w:lineRule="auto"/>
              <w:jc w:val="right"/>
              <w:rPr>
                <w:rFonts w:eastAsiaTheme="majorEastAsia" w:cstheme="majorBidi"/>
                <w:color w:val="000000" w:themeColor="text1"/>
                <w:spacing w:val="15"/>
              </w:rPr>
            </w:pPr>
            <w:r w:rsidRPr="00260A6A">
              <w:rPr>
                <w:rFonts w:eastAsiaTheme="majorEastAsia" w:cstheme="majorBidi"/>
                <w:color w:val="000000" w:themeColor="text1"/>
                <w:spacing w:val="15"/>
              </w:rPr>
              <w:t xml:space="preserve">Page </w:t>
            </w:r>
            <w:r w:rsidR="00260A6A" w:rsidRPr="00260A6A">
              <w:rPr>
                <w:rFonts w:eastAsiaTheme="majorEastAsia" w:cstheme="majorBidi"/>
                <w:color w:val="000000" w:themeColor="text1"/>
                <w:spacing w:val="15"/>
              </w:rPr>
              <w:t>10</w:t>
            </w:r>
          </w:p>
        </w:tc>
      </w:tr>
    </w:tbl>
    <w:p w14:paraId="36C866AB" w14:textId="77777777" w:rsidR="00440B33" w:rsidRDefault="00440B33">
      <w:pPr>
        <w:rPr>
          <w:b/>
          <w:bCs/>
        </w:rPr>
      </w:pPr>
      <w:r>
        <w:rPr>
          <w:b/>
          <w:bCs/>
        </w:rPr>
        <w:br w:type="page"/>
      </w:r>
    </w:p>
    <w:p w14:paraId="7984A7CD" w14:textId="5CCA881D" w:rsidR="006C59DF" w:rsidRPr="00306A65" w:rsidRDefault="006C59DF" w:rsidP="006C59DF">
      <w:pPr>
        <w:spacing w:after="240" w:line="276" w:lineRule="auto"/>
        <w:jc w:val="both"/>
        <w:rPr>
          <w:b/>
          <w:bCs/>
        </w:rPr>
      </w:pPr>
      <w:r w:rsidRPr="00306A65">
        <w:rPr>
          <w:b/>
          <w:bCs/>
        </w:rPr>
        <w:lastRenderedPageBreak/>
        <w:t xml:space="preserve">Supplementary </w:t>
      </w:r>
      <w:r w:rsidR="00603CE9">
        <w:rPr>
          <w:b/>
          <w:bCs/>
        </w:rPr>
        <w:t>i</w:t>
      </w:r>
      <w:r w:rsidRPr="00306A65">
        <w:rPr>
          <w:b/>
          <w:bCs/>
        </w:rPr>
        <w:t xml:space="preserve">nformation </w:t>
      </w:r>
      <w:r w:rsidR="00603CE9">
        <w:rPr>
          <w:b/>
          <w:bCs/>
        </w:rPr>
        <w:t>a</w:t>
      </w:r>
      <w:r w:rsidRPr="00306A65">
        <w:rPr>
          <w:b/>
          <w:bCs/>
        </w:rPr>
        <w:t>ppendix 1: Basic FFI model</w:t>
      </w:r>
    </w:p>
    <w:p w14:paraId="394114EB" w14:textId="03D0EE7B" w:rsidR="006C59DF" w:rsidRPr="00306A65" w:rsidRDefault="006C59DF" w:rsidP="006C59DF">
      <w:pPr>
        <w:spacing w:after="240" w:line="276" w:lineRule="auto"/>
        <w:jc w:val="both"/>
      </w:pPr>
      <w:r>
        <w:t>T</w:t>
      </w:r>
      <w:r w:rsidRPr="00306A65">
        <w:t xml:space="preserve">he full description of the Freedom </w:t>
      </w:r>
      <w:proofErr w:type="gramStart"/>
      <w:r w:rsidRPr="00306A65">
        <w:t>From</w:t>
      </w:r>
      <w:proofErr w:type="gramEnd"/>
      <w:r w:rsidRPr="00306A65">
        <w:t xml:space="preserve"> Infection (FFI) framework, which underpins the statistical model used in this study, is available in detail in Nelli et al. </w:t>
      </w:r>
      <w:r w:rsidR="007C7870">
        <w:t>(2024</w:t>
      </w:r>
      <w:r w:rsidRPr="00306A65">
        <w:t>). This appendix provides a concise overview of the key components of the basic FFI model as applied in Cabo Verde. Model extensions specific to this study, including risk stratification, imported infection detection, catchment size, and the integration of PCR and serology data, are described separately in Appendix 2.</w:t>
      </w:r>
    </w:p>
    <w:p w14:paraId="10CC56F0" w14:textId="0BCDFB7C" w:rsidR="006C59DF" w:rsidRPr="00306A65" w:rsidRDefault="006C59DF" w:rsidP="006C59DF">
      <w:pPr>
        <w:spacing w:after="240" w:line="276" w:lineRule="auto"/>
        <w:jc w:val="both"/>
      </w:pPr>
      <w:r w:rsidRPr="00306A65">
        <w:t xml:space="preserve">The FFI framework is designed to estimate the </w:t>
      </w:r>
      <w:r w:rsidR="007C7870">
        <w:t>s</w:t>
      </w:r>
      <w:r w:rsidRPr="00306A65">
        <w:t xml:space="preserve">urveillance </w:t>
      </w:r>
      <w:r w:rsidR="007C7870">
        <w:t>s</w:t>
      </w:r>
      <w:r w:rsidRPr="00306A65">
        <w:t xml:space="preserve">ystem </w:t>
      </w:r>
      <w:r w:rsidR="007C7870">
        <w:t>s</w:t>
      </w:r>
      <w:r w:rsidRPr="00306A65">
        <w:t>ensitivity (</w:t>
      </w:r>
      <w:proofErr w:type="spellStart"/>
      <w:r w:rsidRPr="00306A65">
        <w:t>SSe</w:t>
      </w:r>
      <w:proofErr w:type="spellEnd"/>
      <w:r w:rsidRPr="00306A65">
        <w:t xml:space="preserve">) and the Probability of </w:t>
      </w:r>
      <w:r w:rsidR="00603CE9">
        <w:t>f</w:t>
      </w:r>
      <w:r w:rsidRPr="00306A65">
        <w:t xml:space="preserve">reedom from </w:t>
      </w:r>
      <w:r w:rsidR="00603CE9">
        <w:t>i</w:t>
      </w:r>
      <w:r w:rsidRPr="00306A65">
        <w:t>nfection (</w:t>
      </w:r>
      <m:oMath>
        <m:sSup>
          <m:sSupPr>
            <m:ctrlPr>
              <w:rPr>
                <w:rFonts w:ascii="Cambria Math" w:hAnsi="Cambria Math"/>
                <w:i/>
              </w:rPr>
            </m:ctrlPr>
          </m:sSupPr>
          <m:e>
            <m:r>
              <w:rPr>
                <w:rFonts w:ascii="Cambria Math" w:hAnsi="Cambria Math"/>
              </w:rPr>
              <m:t>P</m:t>
            </m:r>
          </m:e>
          <m:sup>
            <m:r>
              <w:rPr>
                <w:rFonts w:ascii="Cambria Math" w:hAnsi="Cambria Math"/>
              </w:rPr>
              <m:t>FREE</m:t>
            </m:r>
          </m:sup>
        </m:sSup>
      </m:oMath>
      <w:r w:rsidRPr="00306A65">
        <w:t>). These measures provide a formal way to evaluate how effectively routine surveillance captures malaria infections, and to quantify the confidence that an area is malaria-free given no detected cases.</w:t>
      </w:r>
    </w:p>
    <w:p w14:paraId="0A2FE751" w14:textId="77777777" w:rsidR="006C59DF" w:rsidRPr="00306A65" w:rsidRDefault="006C59DF" w:rsidP="006C59DF">
      <w:pPr>
        <w:spacing w:after="240" w:line="276" w:lineRule="auto"/>
        <w:jc w:val="both"/>
      </w:pPr>
      <w:r w:rsidRPr="00306A65">
        <w:t>The FFI model combines two key processes:</w:t>
      </w:r>
    </w:p>
    <w:p w14:paraId="6AC9D5C1" w14:textId="77777777" w:rsidR="006C59DF" w:rsidRPr="00306A65" w:rsidRDefault="006C59DF" w:rsidP="006C59DF">
      <w:pPr>
        <w:numPr>
          <w:ilvl w:val="0"/>
          <w:numId w:val="11"/>
        </w:numPr>
        <w:spacing w:after="240" w:line="276" w:lineRule="auto"/>
        <w:jc w:val="both"/>
      </w:pPr>
      <w:r w:rsidRPr="00306A65">
        <w:t>State process – which estimates the true underlying number of malaria infections.</w:t>
      </w:r>
    </w:p>
    <w:p w14:paraId="5C1A4A51" w14:textId="77777777" w:rsidR="006C59DF" w:rsidRPr="00306A65" w:rsidRDefault="006C59DF" w:rsidP="006C59DF">
      <w:pPr>
        <w:numPr>
          <w:ilvl w:val="0"/>
          <w:numId w:val="11"/>
        </w:numPr>
        <w:spacing w:after="240" w:line="276" w:lineRule="auto"/>
        <w:jc w:val="both"/>
      </w:pPr>
      <w:r w:rsidRPr="00306A65">
        <w:t>Observation process – which models the likelihood of these infections being detected by the health system.</w:t>
      </w:r>
    </w:p>
    <w:p w14:paraId="77A1F358" w14:textId="45FE1B19" w:rsidR="006C59DF" w:rsidRPr="00306A65" w:rsidRDefault="006C59DF" w:rsidP="006C59DF">
      <w:pPr>
        <w:spacing w:after="240" w:line="276" w:lineRule="auto"/>
        <w:jc w:val="both"/>
        <w:rPr>
          <w:u w:val="single"/>
        </w:rPr>
      </w:pPr>
      <w:r w:rsidRPr="00306A65">
        <w:rPr>
          <w:u w:val="single"/>
        </w:rPr>
        <w:t xml:space="preserve">State </w:t>
      </w:r>
      <w:r w:rsidR="00603CE9">
        <w:rPr>
          <w:u w:val="single"/>
        </w:rPr>
        <w:t>p</w:t>
      </w:r>
      <w:r w:rsidRPr="00306A65">
        <w:rPr>
          <w:u w:val="single"/>
        </w:rPr>
        <w:t xml:space="preserve">rocess: </w:t>
      </w:r>
      <w:r w:rsidR="00603CE9">
        <w:rPr>
          <w:u w:val="single"/>
        </w:rPr>
        <w:t>m</w:t>
      </w:r>
      <w:r w:rsidRPr="00306A65">
        <w:rPr>
          <w:u w:val="single"/>
        </w:rPr>
        <w:t xml:space="preserve">odelling </w:t>
      </w:r>
      <w:r w:rsidR="00603CE9">
        <w:rPr>
          <w:u w:val="single"/>
        </w:rPr>
        <w:t>m</w:t>
      </w:r>
      <w:r w:rsidRPr="00306A65">
        <w:rPr>
          <w:u w:val="single"/>
        </w:rPr>
        <w:t xml:space="preserve">alaria </w:t>
      </w:r>
      <w:r w:rsidR="00603CE9">
        <w:rPr>
          <w:u w:val="single"/>
        </w:rPr>
        <w:t>i</w:t>
      </w:r>
      <w:r w:rsidRPr="00306A65">
        <w:rPr>
          <w:u w:val="single"/>
        </w:rPr>
        <w:t>nfections</w:t>
      </w:r>
    </w:p>
    <w:p w14:paraId="1B0162B8" w14:textId="001D8CC6" w:rsidR="006C59DF" w:rsidRPr="00306A65" w:rsidRDefault="006C59DF" w:rsidP="006C59DF">
      <w:pPr>
        <w:spacing w:after="240" w:line="276" w:lineRule="auto"/>
        <w:jc w:val="both"/>
        <w:rPr>
          <w:rFonts w:eastAsia="Arial"/>
          <w:color w:val="000000" w:themeColor="text1"/>
        </w:rPr>
      </w:pPr>
      <w:r w:rsidRPr="00306A65">
        <w:t xml:space="preserve">We consider the catchment regions of </w:t>
      </w:r>
      <w:r w:rsidRPr="00306A65">
        <w:rPr>
          <w:i/>
          <w:iCs/>
        </w:rPr>
        <w:t>J</w:t>
      </w:r>
      <w:r w:rsidRPr="00306A65">
        <w:t xml:space="preserve"> health facilities and a passive case detection (PCD) longitudinal series of </w:t>
      </w:r>
      <w:r w:rsidRPr="00306A65">
        <w:rPr>
          <w:i/>
          <w:iCs/>
        </w:rPr>
        <w:t>I</w:t>
      </w:r>
      <w:r w:rsidRPr="00306A65">
        <w:t xml:space="preserve"> surveillance months. </w:t>
      </w:r>
      <w:r w:rsidRPr="00306A65">
        <w:rPr>
          <w:rFonts w:eastAsia="Arial"/>
          <w:color w:val="000000" w:themeColor="text1"/>
        </w:rPr>
        <w:t>We assume that the total number (</w:t>
      </w:r>
      <m:oMath>
        <m:sSub>
          <m:sSubPr>
            <m:ctrlPr>
              <w:rPr>
                <w:rFonts w:ascii="Cambria Math" w:hAnsi="Cambria Math"/>
                <w:i/>
                <w:iCs/>
                <w:color w:val="202124"/>
                <w:shd w:val="clear" w:color="auto" w:fill="FFFFFF"/>
              </w:rPr>
            </m:ctrlPr>
          </m:sSubPr>
          <m:e>
            <m:r>
              <w:rPr>
                <w:rFonts w:ascii="Cambria Math" w:hAnsi="Cambria Math"/>
                <w:color w:val="202124"/>
                <w:shd w:val="clear" w:color="auto" w:fill="FFFFFF"/>
                <w:lang w:val="it-IT"/>
              </w:rPr>
              <m:t>M</m:t>
            </m:r>
          </m:e>
          <m:sub>
            <m:r>
              <w:rPr>
                <w:rFonts w:ascii="Cambria Math" w:hAnsi="Cambria Math"/>
                <w:color w:val="202124"/>
                <w:shd w:val="clear" w:color="auto" w:fill="FFFFFF"/>
                <w:lang w:val="it-IT"/>
              </w:rPr>
              <m:t>i</m:t>
            </m:r>
            <m:r>
              <w:rPr>
                <w:rFonts w:ascii="Cambria Math" w:hAnsi="Cambria Math"/>
                <w:color w:val="202124"/>
                <w:shd w:val="clear" w:color="auto" w:fill="FFFFFF"/>
              </w:rPr>
              <m:t>,</m:t>
            </m:r>
            <m:r>
              <w:rPr>
                <w:rFonts w:ascii="Cambria Math" w:hAnsi="Cambria Math"/>
                <w:color w:val="202124"/>
                <w:shd w:val="clear" w:color="auto" w:fill="FFFFFF"/>
                <w:lang w:val="it-IT"/>
              </w:rPr>
              <m:t>j</m:t>
            </m:r>
          </m:sub>
        </m:sSub>
      </m:oMath>
      <w:r w:rsidRPr="00306A65">
        <w:rPr>
          <w:rFonts w:eastAsia="Arial"/>
          <w:color w:val="000000" w:themeColor="text1"/>
        </w:rPr>
        <w:t xml:space="preserve">) of real malaria infections for </w:t>
      </w:r>
      <w:r w:rsidRPr="00306A65">
        <w:rPr>
          <w:color w:val="000000"/>
        </w:rPr>
        <w:t xml:space="preserve">the </w:t>
      </w:r>
      <m:oMath>
        <m:sSup>
          <m:sSupPr>
            <m:ctrlPr>
              <w:rPr>
                <w:rFonts w:ascii="Cambria Math" w:hAnsi="Cambria Math"/>
                <w:i/>
                <w:color w:val="000000"/>
              </w:rPr>
            </m:ctrlPr>
          </m:sSupPr>
          <m:e>
            <m:r>
              <w:rPr>
                <w:rFonts w:ascii="Cambria Math" w:hAnsi="Cambria Math"/>
                <w:color w:val="000000"/>
              </w:rPr>
              <m:t>i</m:t>
            </m:r>
          </m:e>
          <m:sup>
            <m:r>
              <w:rPr>
                <w:rFonts w:ascii="Cambria Math" w:hAnsi="Cambria Math"/>
                <w:color w:val="000000"/>
              </w:rPr>
              <m:t>th</m:t>
            </m:r>
          </m:sup>
        </m:sSup>
      </m:oMath>
      <w:r w:rsidRPr="00306A65">
        <w:rPr>
          <w:color w:val="000000"/>
        </w:rPr>
        <w:t xml:space="preserve"> month and the catchment area of the </w:t>
      </w:r>
      <m:oMath>
        <m:sSup>
          <m:sSupPr>
            <m:ctrlPr>
              <w:rPr>
                <w:rFonts w:ascii="Cambria Math" w:hAnsi="Cambria Math"/>
                <w:i/>
                <w:color w:val="000000"/>
              </w:rPr>
            </m:ctrlPr>
          </m:sSupPr>
          <m:e>
            <m:r>
              <w:rPr>
                <w:rFonts w:ascii="Cambria Math" w:hAnsi="Cambria Math"/>
                <w:color w:val="000000"/>
              </w:rPr>
              <m:t>j</m:t>
            </m:r>
          </m:e>
          <m:sup>
            <m:r>
              <w:rPr>
                <w:rFonts w:ascii="Cambria Math" w:hAnsi="Cambria Math"/>
                <w:color w:val="000000"/>
              </w:rPr>
              <m:t>th</m:t>
            </m:r>
          </m:sup>
        </m:sSup>
      </m:oMath>
      <w:r w:rsidRPr="00306A65">
        <w:rPr>
          <w:color w:val="000000"/>
        </w:rPr>
        <w:t xml:space="preserve"> health centre</w:t>
      </w:r>
      <w:r w:rsidRPr="00306A65">
        <w:rPr>
          <w:rFonts w:eastAsia="Arial"/>
          <w:color w:val="000000" w:themeColor="text1"/>
        </w:rPr>
        <w:t xml:space="preserve">, is given by the sum of endemic infections (i.e., those that originated in the catchment population, </w:t>
      </w:r>
      <m:oMath>
        <m:sSub>
          <m:sSubPr>
            <m:ctrlPr>
              <w:rPr>
                <w:rFonts w:ascii="Cambria Math" w:eastAsia="Arial" w:hAnsi="Cambria Math"/>
                <w:i/>
                <w:color w:val="000000" w:themeColor="text1"/>
              </w:rPr>
            </m:ctrlPr>
          </m:sSubPr>
          <m:e>
            <m:r>
              <w:rPr>
                <w:rFonts w:ascii="Cambria Math" w:eastAsia="Arial" w:hAnsi="Cambria Math"/>
                <w:color w:val="000000" w:themeColor="text1"/>
              </w:rPr>
              <m:t>E</m:t>
            </m:r>
          </m:e>
          <m:sub>
            <m:r>
              <w:rPr>
                <w:rFonts w:ascii="Cambria Math" w:eastAsia="Arial" w:hAnsi="Cambria Math"/>
                <w:color w:val="000000" w:themeColor="text1"/>
              </w:rPr>
              <m:t>i,j</m:t>
            </m:r>
          </m:sub>
        </m:sSub>
      </m:oMath>
      <w:r w:rsidRPr="00306A65">
        <w:rPr>
          <w:rFonts w:eastAsia="Arial"/>
          <w:color w:val="000000" w:themeColor="text1"/>
        </w:rPr>
        <w:t xml:space="preserve"> ) and imported infections (i.e., those that originated in any other catchment area within or outside of the study site  </w:t>
      </w:r>
      <m:oMath>
        <m:sSub>
          <m:sSubPr>
            <m:ctrlPr>
              <w:rPr>
                <w:rFonts w:ascii="Cambria Math" w:eastAsia="Arial" w:hAnsi="Cambria Math"/>
                <w:i/>
                <w:color w:val="000000" w:themeColor="text1"/>
              </w:rPr>
            </m:ctrlPr>
          </m:sSubPr>
          <m:e>
            <m:r>
              <w:rPr>
                <w:rFonts w:ascii="Cambria Math" w:eastAsia="Arial" w:hAnsi="Cambria Math"/>
                <w:color w:val="000000" w:themeColor="text1"/>
              </w:rPr>
              <m:t>O</m:t>
            </m:r>
          </m:e>
          <m:sub>
            <m:r>
              <w:rPr>
                <w:rFonts w:ascii="Cambria Math" w:eastAsia="Arial" w:hAnsi="Cambria Math"/>
                <w:color w:val="000000" w:themeColor="text1"/>
              </w:rPr>
              <m:t>i,j</m:t>
            </m:r>
          </m:sub>
        </m:sSub>
      </m:oMath>
      <w:r w:rsidRPr="00306A65">
        <w:rPr>
          <w:rFonts w:eastAsia="Arial"/>
          <w:color w:val="000000" w:themeColor="text1"/>
        </w:rPr>
        <w:t>).</w:t>
      </w:r>
    </w:p>
    <w:p w14:paraId="1F34E81D" w14:textId="77777777" w:rsidR="006C59DF" w:rsidRPr="00306A65" w:rsidRDefault="00000000" w:rsidP="006C59DF">
      <w:pPr>
        <w:spacing w:after="240" w:line="276" w:lineRule="auto"/>
        <w:jc w:val="both"/>
        <w:rPr>
          <w:rFonts w:eastAsia="Arial"/>
          <w:color w:val="000000" w:themeColor="text1"/>
        </w:rPr>
      </w:pPr>
      <m:oMathPara>
        <m:oMath>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lang w:val="it-IT"/>
                </w:rPr>
                <m:t>M</m:t>
              </m:r>
            </m:e>
            <m:sub>
              <m:r>
                <w:rPr>
                  <w:rFonts w:ascii="Cambria Math" w:hAnsi="Cambria Math" w:cs="Arial"/>
                  <w:color w:val="202124"/>
                  <w:shd w:val="clear" w:color="auto" w:fill="FFFFFF"/>
                  <w:lang w:val="it-IT"/>
                </w:rPr>
                <m:t>i,j</m:t>
              </m:r>
            </m:sub>
          </m:sSub>
          <m:r>
            <w:rPr>
              <w:rFonts w:ascii="Cambria Math" w:eastAsia="Arial" w:hAnsi="Cambria Math" w:cs="Arial"/>
              <w:color w:val="000000" w:themeColor="text1"/>
            </w:rPr>
            <m:t>=</m:t>
          </m:r>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E</m:t>
              </m:r>
            </m:e>
            <m:sub>
              <m:r>
                <w:rPr>
                  <w:rFonts w:ascii="Cambria Math" w:eastAsia="Arial" w:hAnsi="Cambria Math" w:cs="Arial"/>
                  <w:color w:val="000000" w:themeColor="text1"/>
                </w:rPr>
                <m:t>i,j</m:t>
              </m:r>
            </m:sub>
          </m:sSub>
          <m:r>
            <w:rPr>
              <w:rFonts w:ascii="Cambria Math" w:eastAsia="Arial" w:hAnsi="Cambria Math" w:cs="Arial"/>
              <w:color w:val="000000" w:themeColor="text1"/>
            </w:rPr>
            <m:t>+</m:t>
          </m:r>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O</m:t>
              </m:r>
            </m:e>
            <m:sub>
              <m:r>
                <w:rPr>
                  <w:rFonts w:ascii="Cambria Math" w:eastAsia="Arial" w:hAnsi="Cambria Math" w:cs="Arial"/>
                  <w:color w:val="000000" w:themeColor="text1"/>
                </w:rPr>
                <m:t>i,j</m:t>
              </m:r>
            </m:sub>
          </m:sSub>
        </m:oMath>
      </m:oMathPara>
    </w:p>
    <w:p w14:paraId="4BB96E03" w14:textId="77777777" w:rsidR="006C59DF" w:rsidRPr="00306A65" w:rsidRDefault="006C59DF" w:rsidP="006C59DF">
      <w:pPr>
        <w:spacing w:after="240" w:line="276" w:lineRule="auto"/>
        <w:jc w:val="both"/>
        <w:rPr>
          <w:rFonts w:eastAsia="Arial" w:cs="Arial"/>
          <w:color w:val="000000" w:themeColor="text1"/>
        </w:rPr>
      </w:pPr>
      <w:r w:rsidRPr="00306A65">
        <w:rPr>
          <w:rFonts w:eastAsia="Arial" w:cs="Arial"/>
          <w:color w:val="000000" w:themeColor="text1"/>
        </w:rPr>
        <w:t>Endemic infections are modelled as a Poisson process:</w:t>
      </w:r>
    </w:p>
    <w:p w14:paraId="23BE3BE3" w14:textId="77777777" w:rsidR="006C59DF" w:rsidRPr="00306A65" w:rsidRDefault="00000000" w:rsidP="006C59DF">
      <w:pPr>
        <w:spacing w:after="240" w:line="276" w:lineRule="auto"/>
        <w:jc w:val="both"/>
        <w:rPr>
          <w:rFonts w:eastAsia="Arial"/>
          <w:color w:val="000000" w:themeColor="text1"/>
        </w:rPr>
      </w:pPr>
      <m:oMathPara>
        <m:oMath>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E</m:t>
              </m:r>
            </m:e>
            <m:sub>
              <m:r>
                <w:rPr>
                  <w:rFonts w:ascii="Cambria Math" w:eastAsia="Arial" w:hAnsi="Cambria Math" w:cs="Arial"/>
                  <w:color w:val="000000" w:themeColor="text1"/>
                </w:rPr>
                <m:t>i,j</m:t>
              </m:r>
            </m:sub>
          </m:sSub>
          <m:r>
            <w:rPr>
              <w:rFonts w:ascii="Cambria Math" w:eastAsia="Arial" w:hAnsi="Cambria Math" w:cs="Arial"/>
              <w:color w:val="000000" w:themeColor="text1"/>
            </w:rPr>
            <m:t>~Poisson(</m:t>
          </m:r>
          <m:sSubSup>
            <m:sSubSupPr>
              <m:ctrlPr>
                <w:rPr>
                  <w:rFonts w:ascii="Cambria Math" w:hAnsi="Cambria Math" w:cs="Arial"/>
                  <w:color w:val="202124"/>
                  <w:shd w:val="clear" w:color="auto" w:fill="FFFFFF"/>
                </w:rPr>
              </m:ctrlPr>
            </m:sSubSupPr>
            <m:e>
              <m:r>
                <m:rPr>
                  <m:sty m:val="p"/>
                </m:rPr>
                <w:rPr>
                  <w:rFonts w:ascii="Cambria Math" w:hAnsi="Cambria Math" w:cs="Arial"/>
                  <w:color w:val="202124"/>
                  <w:shd w:val="clear" w:color="auto" w:fill="FFFFFF"/>
                </w:rPr>
                <m:t>λ</m:t>
              </m:r>
            </m:e>
            <m:sub>
              <m:r>
                <w:rPr>
                  <w:rFonts w:ascii="Cambria Math" w:eastAsia="Arial" w:hAnsi="Cambria Math" w:cs="Arial"/>
                  <w:color w:val="000000" w:themeColor="text1"/>
                </w:rPr>
                <m:t>i,j</m:t>
              </m:r>
              <m:ctrlPr>
                <w:rPr>
                  <w:rFonts w:ascii="Cambria Math" w:eastAsia="Arial" w:hAnsi="Cambria Math" w:cs="Arial"/>
                  <w:i/>
                  <w:color w:val="000000" w:themeColor="text1"/>
                </w:rPr>
              </m:ctrlPr>
            </m:sub>
            <m:sup>
              <m:r>
                <m:rPr>
                  <m:sty m:val="p"/>
                </m:rPr>
                <w:rPr>
                  <w:rFonts w:ascii="Cambria Math" w:hAnsi="Cambria Math" w:cs="Arial"/>
                  <w:color w:val="202124"/>
                  <w:shd w:val="clear" w:color="auto" w:fill="FFFFFF"/>
                </w:rPr>
                <m:t>E</m:t>
              </m:r>
            </m:sup>
          </m:sSubSup>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N</m:t>
              </m:r>
            </m:e>
            <m:sub>
              <m:r>
                <w:rPr>
                  <w:rFonts w:ascii="Cambria Math" w:eastAsia="Arial" w:hAnsi="Cambria Math" w:cs="Arial"/>
                  <w:color w:val="000000" w:themeColor="text1"/>
                </w:rPr>
                <m:t>i,j</m:t>
              </m:r>
            </m:sub>
          </m:sSub>
          <m:r>
            <w:rPr>
              <w:rFonts w:ascii="Cambria Math" w:eastAsia="Arial" w:hAnsi="Cambria Math" w:cs="Arial"/>
              <w:color w:val="000000" w:themeColor="text1"/>
            </w:rPr>
            <m:t>)</m:t>
          </m:r>
        </m:oMath>
      </m:oMathPara>
    </w:p>
    <w:p w14:paraId="540C424A" w14:textId="77777777" w:rsidR="006C59DF" w:rsidRPr="00306A65" w:rsidRDefault="006C59DF" w:rsidP="006C59DF">
      <w:pPr>
        <w:spacing w:before="120" w:after="240" w:line="276" w:lineRule="auto"/>
        <w:rPr>
          <w:rFonts w:eastAsia="Arial" w:cs="Arial"/>
          <w:color w:val="000000" w:themeColor="text1"/>
        </w:rPr>
      </w:pPr>
      <w:r w:rsidRPr="00306A65">
        <w:rPr>
          <w:rFonts w:eastAsia="Arial" w:cs="Arial"/>
          <w:color w:val="000000" w:themeColor="text1"/>
        </w:rPr>
        <w:t>where</w:t>
      </w:r>
      <m:oMath>
        <m:r>
          <w:rPr>
            <w:rFonts w:ascii="Cambria Math" w:eastAsia="Arial" w:hAnsi="Cambria Math" w:cs="Arial"/>
            <w:color w:val="000000"/>
          </w:rPr>
          <m:t xml:space="preserve"> </m:t>
        </m:r>
        <m:sSub>
          <m:sSubPr>
            <m:ctrlPr>
              <w:rPr>
                <w:rFonts w:ascii="Cambria Math" w:eastAsia="Arial" w:hAnsi="Cambria Math" w:cs="Arial"/>
                <w:i/>
                <w:iCs/>
                <w:color w:val="000000" w:themeColor="text1"/>
              </w:rPr>
            </m:ctrlPr>
          </m:sSubPr>
          <m:e>
            <m:r>
              <w:rPr>
                <w:rFonts w:ascii="Cambria Math" w:eastAsia="Arial" w:hAnsi="Cambria Math" w:cs="Arial"/>
                <w:color w:val="000000" w:themeColor="text1"/>
              </w:rPr>
              <m:t>N</m:t>
            </m:r>
          </m:e>
          <m:sub>
            <m:r>
              <w:rPr>
                <w:rFonts w:ascii="Cambria Math" w:eastAsia="Arial" w:hAnsi="Cambria Math" w:cs="Arial"/>
                <w:color w:val="000000" w:themeColor="text1"/>
              </w:rPr>
              <m:t>i,j</m:t>
            </m:r>
          </m:sub>
        </m:sSub>
      </m:oMath>
      <w:r w:rsidRPr="00306A65">
        <w:rPr>
          <w:rFonts w:eastAsia="Arial" w:cs="Arial"/>
          <w:iCs/>
          <w:color w:val="000000" w:themeColor="text1"/>
        </w:rPr>
        <w:t xml:space="preserve"> is the catchment population and </w:t>
      </w:r>
      <m:oMath>
        <m:sSubSup>
          <m:sSubSupPr>
            <m:ctrlPr>
              <w:rPr>
                <w:rFonts w:ascii="Cambria Math" w:hAnsi="Cambria Math" w:cs="Arial"/>
                <w:color w:val="202124"/>
                <w:shd w:val="clear" w:color="auto" w:fill="FFFFFF"/>
              </w:rPr>
            </m:ctrlPr>
          </m:sSubSupPr>
          <m:e>
            <m:r>
              <m:rPr>
                <m:sty m:val="p"/>
              </m:rPr>
              <w:rPr>
                <w:rFonts w:ascii="Cambria Math" w:hAnsi="Cambria Math" w:cs="Arial"/>
                <w:color w:val="202124"/>
                <w:shd w:val="clear" w:color="auto" w:fill="FFFFFF"/>
              </w:rPr>
              <m:t>λ</m:t>
            </m:r>
          </m:e>
          <m:sub>
            <m:r>
              <w:rPr>
                <w:rFonts w:ascii="Cambria Math" w:eastAsia="Arial" w:hAnsi="Cambria Math" w:cs="Arial"/>
                <w:color w:val="000000" w:themeColor="text1"/>
              </w:rPr>
              <m:t>i,j</m:t>
            </m:r>
            <m:ctrlPr>
              <w:rPr>
                <w:rFonts w:ascii="Cambria Math" w:eastAsia="Arial" w:hAnsi="Cambria Math" w:cs="Arial"/>
                <w:i/>
                <w:color w:val="000000" w:themeColor="text1"/>
              </w:rPr>
            </m:ctrlPr>
          </m:sub>
          <m:sup>
            <m:r>
              <m:rPr>
                <m:sty m:val="p"/>
              </m:rPr>
              <w:rPr>
                <w:rFonts w:ascii="Cambria Math" w:hAnsi="Cambria Math" w:cs="Arial"/>
                <w:color w:val="202124"/>
                <w:shd w:val="clear" w:color="auto" w:fill="FFFFFF"/>
              </w:rPr>
              <m:t>E</m:t>
            </m:r>
          </m:sup>
        </m:sSubSup>
      </m:oMath>
      <w:r w:rsidRPr="00306A65">
        <w:rPr>
          <w:rFonts w:eastAsia="Arial" w:cs="Arial"/>
          <w:color w:val="000000" w:themeColor="text1"/>
        </w:rPr>
        <w:t>, the force of infection related to the proportion of individuals in the population who are expected to have malaria at any given time. Epidemiological dynamics of endemicity are approximated statistically by a 2</w:t>
      </w:r>
      <w:r w:rsidRPr="00306A65">
        <w:rPr>
          <w:rFonts w:eastAsia="Arial" w:cs="Arial"/>
          <w:color w:val="000000" w:themeColor="text1"/>
          <w:vertAlign w:val="superscript"/>
        </w:rPr>
        <w:t>nd</w:t>
      </w:r>
      <w:r w:rsidRPr="00306A65">
        <w:rPr>
          <w:rFonts w:eastAsia="Arial" w:cs="Arial"/>
          <w:color w:val="000000" w:themeColor="text1"/>
        </w:rPr>
        <w:t xml:space="preserve"> order autoregressive model, together with an error term (</w:t>
      </w:r>
      <m:oMath>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ε</m:t>
            </m:r>
          </m:e>
          <m:sub>
            <m:r>
              <w:rPr>
                <w:rFonts w:ascii="Cambria Math" w:eastAsia="Arial" w:hAnsi="Cambria Math" w:cs="Arial"/>
                <w:color w:val="000000" w:themeColor="text1"/>
              </w:rPr>
              <m:t>i,j</m:t>
            </m:r>
          </m:sub>
        </m:sSub>
      </m:oMath>
      <w:r w:rsidRPr="00306A65">
        <w:rPr>
          <w:rFonts w:eastAsia="Arial" w:cs="Arial"/>
          <w:color w:val="000000" w:themeColor="text1"/>
        </w:rPr>
        <w:t>) generating extra-Poisson dispersion in the process:</w:t>
      </w:r>
    </w:p>
    <w:p w14:paraId="7557EE04" w14:textId="77777777" w:rsidR="006C59DF" w:rsidRPr="00306A65" w:rsidRDefault="006C59DF" w:rsidP="006C59DF">
      <w:pPr>
        <w:spacing w:before="120" w:after="240" w:line="276" w:lineRule="auto"/>
        <w:jc w:val="center"/>
        <w:rPr>
          <w:rFonts w:eastAsia="Arial" w:cs="Arial"/>
          <w:color w:val="000000" w:themeColor="text1"/>
        </w:rPr>
      </w:pPr>
      <m:oMath>
        <m:r>
          <w:rPr>
            <w:rFonts w:ascii="Cambria Math" w:eastAsia="Arial" w:hAnsi="Cambria Math" w:cs="Arial"/>
            <w:color w:val="000000" w:themeColor="text1"/>
          </w:rPr>
          <w:lastRenderedPageBreak/>
          <m:t>log</m:t>
        </m:r>
        <m:d>
          <m:dPr>
            <m:ctrlPr>
              <w:rPr>
                <w:rFonts w:ascii="Cambria Math" w:eastAsia="Arial" w:hAnsi="Cambria Math" w:cs="Arial"/>
                <w:i/>
                <w:color w:val="000000" w:themeColor="text1"/>
              </w:rPr>
            </m:ctrlPr>
          </m:dPr>
          <m:e>
            <m:sSubSup>
              <m:sSubSupPr>
                <m:ctrlPr>
                  <w:rPr>
                    <w:rFonts w:ascii="Cambria Math" w:hAnsi="Cambria Math" w:cs="Arial"/>
                    <w:color w:val="202124"/>
                    <w:shd w:val="clear" w:color="auto" w:fill="FFFFFF"/>
                  </w:rPr>
                </m:ctrlPr>
              </m:sSubSupPr>
              <m:e>
                <m:r>
                  <m:rPr>
                    <m:sty m:val="p"/>
                  </m:rPr>
                  <w:rPr>
                    <w:rFonts w:ascii="Cambria Math" w:hAnsi="Cambria Math" w:cs="Arial"/>
                    <w:color w:val="202124"/>
                    <w:shd w:val="clear" w:color="auto" w:fill="FFFFFF"/>
                  </w:rPr>
                  <m:t>λ</m:t>
                </m:r>
              </m:e>
              <m:sub>
                <m:r>
                  <w:rPr>
                    <w:rFonts w:ascii="Cambria Math" w:eastAsia="Arial" w:hAnsi="Cambria Math" w:cs="Arial"/>
                    <w:color w:val="000000" w:themeColor="text1"/>
                  </w:rPr>
                  <m:t>i,j</m:t>
                </m:r>
                <m:ctrlPr>
                  <w:rPr>
                    <w:rFonts w:ascii="Cambria Math" w:eastAsia="Arial" w:hAnsi="Cambria Math" w:cs="Arial"/>
                    <w:i/>
                    <w:color w:val="000000" w:themeColor="text1"/>
                  </w:rPr>
                </m:ctrlPr>
              </m:sub>
              <m:sup>
                <m:r>
                  <m:rPr>
                    <m:sty m:val="p"/>
                  </m:rPr>
                  <w:rPr>
                    <w:rFonts w:ascii="Cambria Math" w:hAnsi="Cambria Math" w:cs="Arial"/>
                    <w:color w:val="202124"/>
                    <w:shd w:val="clear" w:color="auto" w:fill="FFFFFF"/>
                  </w:rPr>
                  <m:t>E</m:t>
                </m:r>
              </m:sup>
            </m:sSubSup>
          </m:e>
        </m:d>
        <m:r>
          <w:rPr>
            <w:rFonts w:ascii="Cambria Math" w:eastAsia="Arial" w:hAnsi="Cambria Math" w:cs="Arial"/>
            <w:color w:val="000000" w:themeColor="text1"/>
          </w:rPr>
          <m:t xml:space="preserve">= </m:t>
        </m:r>
        <m:sSub>
          <m:sSubPr>
            <m:ctrlPr>
              <w:rPr>
                <w:rFonts w:ascii="Cambria Math" w:eastAsia="Arial" w:hAnsi="Cambria Math" w:cs="Arial"/>
                <w:i/>
                <w:color w:val="000000" w:themeColor="text1"/>
              </w:rPr>
            </m:ctrlPr>
          </m:sSubPr>
          <m:e>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α</m:t>
                </m:r>
              </m:e>
              <m:sub>
                <m:r>
                  <w:rPr>
                    <w:rFonts w:ascii="Cambria Math" w:eastAsia="Arial" w:hAnsi="Cambria Math" w:cs="Arial"/>
                    <w:color w:val="000000" w:themeColor="text1"/>
                  </w:rPr>
                  <m:t>0</m:t>
                </m:r>
              </m:sub>
            </m:sSub>
          </m:e>
          <m:sub>
            <m:r>
              <w:rPr>
                <w:rFonts w:ascii="Cambria Math" w:eastAsia="Arial" w:hAnsi="Cambria Math" w:cs="Arial"/>
                <w:color w:val="000000" w:themeColor="text1"/>
              </w:rPr>
              <m:t>j</m:t>
            </m:r>
          </m:sub>
        </m:sSub>
        <m:r>
          <w:rPr>
            <w:rFonts w:ascii="Cambria Math" w:eastAsia="Arial" w:hAnsi="Cambria Math" w:cs="Arial"/>
            <w:color w:val="000000" w:themeColor="text1"/>
          </w:rPr>
          <m:t>+</m:t>
        </m:r>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α</m:t>
            </m:r>
          </m:e>
          <m:sub>
            <m:r>
              <w:rPr>
                <w:rFonts w:ascii="Cambria Math" w:eastAsia="Arial" w:hAnsi="Cambria Math" w:cs="Arial"/>
                <w:color w:val="000000" w:themeColor="text1"/>
              </w:rPr>
              <m:t>1</m:t>
            </m:r>
          </m:sub>
        </m:sSub>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M</m:t>
            </m:r>
          </m:e>
          <m:sub>
            <m:r>
              <w:rPr>
                <w:rFonts w:ascii="Cambria Math" w:eastAsia="Arial" w:hAnsi="Cambria Math" w:cs="Arial"/>
                <w:color w:val="000000" w:themeColor="text1"/>
              </w:rPr>
              <m:t>(i-1),j</m:t>
            </m:r>
          </m:sub>
        </m:sSub>
        <m:r>
          <w:rPr>
            <w:rFonts w:ascii="Cambria Math" w:eastAsia="Arial" w:hAnsi="Cambria Math" w:cs="Arial"/>
            <w:color w:val="000000" w:themeColor="text1"/>
          </w:rPr>
          <m:t>+</m:t>
        </m:r>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α</m:t>
            </m:r>
          </m:e>
          <m:sub>
            <m:r>
              <w:rPr>
                <w:rFonts w:ascii="Cambria Math" w:eastAsia="Arial" w:hAnsi="Cambria Math" w:cs="Arial"/>
                <w:color w:val="000000" w:themeColor="text1"/>
              </w:rPr>
              <m:t>2</m:t>
            </m:r>
          </m:sub>
        </m:sSub>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M</m:t>
            </m:r>
          </m:e>
          <m:sub>
            <m:d>
              <m:dPr>
                <m:ctrlPr>
                  <w:rPr>
                    <w:rFonts w:ascii="Cambria Math" w:eastAsia="Arial" w:hAnsi="Cambria Math" w:cs="Arial"/>
                    <w:i/>
                    <w:color w:val="000000" w:themeColor="text1"/>
                  </w:rPr>
                </m:ctrlPr>
              </m:dPr>
              <m:e>
                <m:r>
                  <w:rPr>
                    <w:rFonts w:ascii="Cambria Math" w:eastAsia="Arial" w:hAnsi="Cambria Math" w:cs="Arial"/>
                    <w:color w:val="000000" w:themeColor="text1"/>
                  </w:rPr>
                  <m:t>i-2</m:t>
                </m:r>
              </m:e>
            </m:d>
            <m:r>
              <w:rPr>
                <w:rFonts w:ascii="Cambria Math" w:eastAsia="Arial" w:hAnsi="Cambria Math" w:cs="Arial"/>
                <w:color w:val="000000" w:themeColor="text1"/>
              </w:rPr>
              <m:t>,j</m:t>
            </m:r>
          </m:sub>
        </m:sSub>
        <m:r>
          <w:rPr>
            <w:rFonts w:ascii="Cambria Math" w:eastAsia="Arial" w:hAnsi="Cambria Math" w:cs="Arial"/>
            <w:color w:val="000000" w:themeColor="text1"/>
          </w:rPr>
          <m:t>+</m:t>
        </m:r>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ε</m:t>
            </m:r>
          </m:e>
          <m:sub>
            <m:r>
              <w:rPr>
                <w:rFonts w:ascii="Cambria Math" w:eastAsia="Arial" w:hAnsi="Cambria Math" w:cs="Arial"/>
                <w:color w:val="000000" w:themeColor="text1"/>
              </w:rPr>
              <m:t>i,j</m:t>
            </m:r>
          </m:sub>
        </m:sSub>
      </m:oMath>
      <w:r w:rsidRPr="00306A65">
        <w:rPr>
          <w:rFonts w:eastAsia="Arial" w:cs="Arial"/>
          <w:color w:val="000000" w:themeColor="text1"/>
        </w:rPr>
        <w:t>,</w:t>
      </w:r>
    </w:p>
    <w:p w14:paraId="49530730" w14:textId="67CFD04D" w:rsidR="006C59DF" w:rsidRPr="00306A65" w:rsidRDefault="006C59DF" w:rsidP="006C59DF">
      <w:pPr>
        <w:spacing w:before="120" w:after="240" w:line="276" w:lineRule="auto"/>
        <w:rPr>
          <w:rFonts w:eastAsia="Arial" w:cs="Arial"/>
          <w:color w:val="000000" w:themeColor="text1"/>
        </w:rPr>
      </w:pPr>
      <w:r w:rsidRPr="00306A65">
        <w:rPr>
          <w:rFonts w:eastAsia="Arial" w:cs="Arial"/>
          <w:color w:val="000000" w:themeColor="text1"/>
        </w:rPr>
        <w:t xml:space="preserve">where </w:t>
      </w:r>
      <m:oMath>
        <m:sSub>
          <m:sSubPr>
            <m:ctrlPr>
              <w:rPr>
                <w:rFonts w:ascii="Cambria Math" w:eastAsia="Arial" w:hAnsi="Cambria Math" w:cs="Arial"/>
                <w:i/>
                <w:color w:val="000000" w:themeColor="text1"/>
              </w:rPr>
            </m:ctrlPr>
          </m:sSubPr>
          <m:e>
            <m:r>
              <m:rPr>
                <m:sty m:val="p"/>
              </m:rPr>
              <w:rPr>
                <w:rFonts w:ascii="Cambria Math" w:eastAsia="Arial" w:hAnsi="Cambria Math" w:cs="Arial"/>
                <w:color w:val="000000" w:themeColor="text1"/>
              </w:rPr>
              <m:t>exp⁡</m:t>
            </m:r>
            <m:r>
              <w:rPr>
                <w:rFonts w:ascii="Cambria Math" w:eastAsia="Arial" w:hAnsi="Cambria Math" w:cs="Arial"/>
                <w:color w:val="000000" w:themeColor="text1"/>
              </w:rPr>
              <m:t>(α</m:t>
            </m:r>
          </m:e>
          <m:sub>
            <m:r>
              <w:rPr>
                <w:rFonts w:ascii="Cambria Math" w:eastAsia="Arial" w:hAnsi="Cambria Math" w:cs="Arial"/>
                <w:color w:val="000000" w:themeColor="text1"/>
              </w:rPr>
              <m:t>0</m:t>
            </m:r>
          </m:sub>
        </m:sSub>
        <m:r>
          <w:rPr>
            <w:rFonts w:ascii="Cambria Math" w:eastAsia="Arial" w:hAnsi="Cambria Math" w:cs="Arial"/>
            <w:color w:val="000000" w:themeColor="text1"/>
          </w:rPr>
          <m:t xml:space="preserve">) </m:t>
        </m:r>
      </m:oMath>
      <w:r w:rsidRPr="00306A65">
        <w:rPr>
          <w:rFonts w:eastAsia="Arial" w:cs="Arial"/>
          <w:color w:val="000000" w:themeColor="text1"/>
        </w:rPr>
        <w:t>determines the expe</w:t>
      </w:r>
      <w:r w:rsidRPr="00306A65">
        <w:rPr>
          <w:rFonts w:eastAsia="Arial" w:cs="Arial"/>
        </w:rPr>
        <w:t>ctation of endemic infections at any time when no infections have been observed for two-time lags</w:t>
      </w:r>
      <w:r w:rsidRPr="00306A65">
        <w:rPr>
          <w:rFonts w:eastAsia="Arial" w:cs="Arial"/>
          <w:color w:val="000000" w:themeColor="text1"/>
        </w:rPr>
        <w:t xml:space="preserve">. </w:t>
      </w:r>
      <m:oMath>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α</m:t>
            </m:r>
          </m:e>
          <m:sub>
            <m:r>
              <w:rPr>
                <w:rFonts w:ascii="Cambria Math" w:eastAsia="Arial" w:hAnsi="Cambria Math" w:cs="Arial"/>
                <w:color w:val="000000" w:themeColor="text1"/>
              </w:rPr>
              <m:t>1</m:t>
            </m:r>
          </m:sub>
        </m:sSub>
      </m:oMath>
      <w:r w:rsidRPr="00306A65">
        <w:rPr>
          <w:rFonts w:eastAsia="Arial" w:cs="Arial"/>
          <w:color w:val="000000" w:themeColor="text1"/>
        </w:rPr>
        <w:t xml:space="preserve"> and </w:t>
      </w:r>
      <m:oMath>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α</m:t>
            </m:r>
          </m:e>
          <m:sub>
            <m:r>
              <w:rPr>
                <w:rFonts w:ascii="Cambria Math" w:eastAsia="Arial" w:hAnsi="Cambria Math" w:cs="Arial"/>
                <w:color w:val="000000" w:themeColor="text1"/>
              </w:rPr>
              <m:t>2</m:t>
            </m:r>
          </m:sub>
        </m:sSub>
      </m:oMath>
      <w:r w:rsidRPr="00306A65">
        <w:rPr>
          <w:rFonts w:eastAsia="Arial" w:cs="Arial"/>
          <w:color w:val="000000" w:themeColor="text1"/>
        </w:rPr>
        <w:t xml:space="preserve"> regulate </w:t>
      </w:r>
      <w:r w:rsidRPr="00306A65">
        <w:t xml:space="preserve">temporal dependencies </w:t>
      </w:r>
      <w:r w:rsidRPr="00306A65">
        <w:rPr>
          <w:rFonts w:eastAsia="Arial" w:cs="Arial"/>
          <w:color w:val="000000" w:themeColor="text1"/>
        </w:rPr>
        <w:t>(please see Nelli et al. 202</w:t>
      </w:r>
      <w:r w:rsidR="007C7870">
        <w:rPr>
          <w:rFonts w:eastAsia="Arial" w:cs="Arial"/>
          <w:color w:val="000000" w:themeColor="text1"/>
        </w:rPr>
        <w:t>4</w:t>
      </w:r>
      <w:r w:rsidRPr="00306A65">
        <w:rPr>
          <w:rFonts w:eastAsia="Arial" w:cs="Arial"/>
          <w:color w:val="000000" w:themeColor="text1"/>
        </w:rPr>
        <w:t xml:space="preserve"> for further details)</w:t>
      </w:r>
      <w:r w:rsidRPr="00306A65">
        <w:t>.</w:t>
      </w:r>
    </w:p>
    <w:p w14:paraId="1147A078" w14:textId="77777777" w:rsidR="006C59DF" w:rsidRPr="00306A65" w:rsidRDefault="006C59DF" w:rsidP="006C59DF">
      <w:pPr>
        <w:spacing w:before="120" w:after="240" w:line="276" w:lineRule="auto"/>
        <w:rPr>
          <w:rFonts w:eastAsia="Arial" w:cs="Arial"/>
          <w:color w:val="000000" w:themeColor="text1"/>
        </w:rPr>
      </w:pPr>
      <w:r w:rsidRPr="00306A65">
        <w:rPr>
          <w:rFonts w:eastAsia="Arial" w:cs="Arial"/>
          <w:color w:val="000000" w:themeColor="text1"/>
        </w:rPr>
        <w:t>Incoming infections are also modelled as a Poisson process:</w:t>
      </w:r>
    </w:p>
    <w:p w14:paraId="03E3E1E1" w14:textId="77777777" w:rsidR="006C59DF" w:rsidRPr="00306A65" w:rsidRDefault="00000000" w:rsidP="006C59DF">
      <w:pPr>
        <w:spacing w:after="240" w:line="276" w:lineRule="auto"/>
        <w:jc w:val="both"/>
        <w:rPr>
          <w:rFonts w:eastAsia="Arial"/>
          <w:color w:val="000000" w:themeColor="text1"/>
        </w:rPr>
      </w:pPr>
      <m:oMathPara>
        <m:oMath>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O</m:t>
              </m:r>
            </m:e>
            <m:sub>
              <m:r>
                <w:rPr>
                  <w:rFonts w:ascii="Cambria Math" w:eastAsia="Arial" w:hAnsi="Cambria Math" w:cs="Arial"/>
                  <w:color w:val="000000" w:themeColor="text1"/>
                </w:rPr>
                <m:t>i,j</m:t>
              </m:r>
            </m:sub>
          </m:sSub>
          <m:r>
            <w:rPr>
              <w:rFonts w:ascii="Cambria Math" w:eastAsia="Arial" w:hAnsi="Cambria Math" w:cs="Arial"/>
              <w:color w:val="000000" w:themeColor="text1"/>
            </w:rPr>
            <m:t>~Poisson(</m:t>
          </m:r>
          <m:sSubSup>
            <m:sSubSupPr>
              <m:ctrlPr>
                <w:rPr>
                  <w:rFonts w:ascii="Cambria Math" w:hAnsi="Cambria Math" w:cs="Arial"/>
                  <w:color w:val="202124"/>
                  <w:shd w:val="clear" w:color="auto" w:fill="FFFFFF"/>
                </w:rPr>
              </m:ctrlPr>
            </m:sSubSupPr>
            <m:e>
              <m:r>
                <m:rPr>
                  <m:sty m:val="p"/>
                </m:rPr>
                <w:rPr>
                  <w:rFonts w:ascii="Cambria Math" w:hAnsi="Cambria Math" w:cs="Arial"/>
                  <w:color w:val="202124"/>
                  <w:shd w:val="clear" w:color="auto" w:fill="FFFFFF"/>
                </w:rPr>
                <m:t>λ</m:t>
              </m:r>
            </m:e>
            <m:sub>
              <m:r>
                <w:rPr>
                  <w:rFonts w:ascii="Cambria Math" w:eastAsia="Arial" w:hAnsi="Cambria Math" w:cs="Arial"/>
                  <w:color w:val="000000" w:themeColor="text1"/>
                </w:rPr>
                <m:t>i,j</m:t>
              </m:r>
              <m:ctrlPr>
                <w:rPr>
                  <w:rFonts w:ascii="Cambria Math" w:eastAsia="Arial" w:hAnsi="Cambria Math" w:cs="Arial"/>
                  <w:i/>
                  <w:color w:val="000000" w:themeColor="text1"/>
                </w:rPr>
              </m:ctrlPr>
            </m:sub>
            <m:sup>
              <m:r>
                <m:rPr>
                  <m:sty m:val="p"/>
                </m:rPr>
                <w:rPr>
                  <w:rFonts w:ascii="Cambria Math" w:hAnsi="Cambria Math" w:cs="Arial"/>
                  <w:color w:val="202124"/>
                  <w:shd w:val="clear" w:color="auto" w:fill="FFFFFF"/>
                </w:rPr>
                <m:t>O</m:t>
              </m:r>
            </m:sup>
          </m:sSubSup>
          <m:r>
            <w:rPr>
              <w:rFonts w:ascii="Cambria Math" w:eastAsia="Arial" w:hAnsi="Cambria Math" w:cs="Arial"/>
              <w:color w:val="000000" w:themeColor="text1"/>
            </w:rPr>
            <m:t>)</m:t>
          </m:r>
        </m:oMath>
      </m:oMathPara>
    </w:p>
    <w:p w14:paraId="585D36C0" w14:textId="3611C309" w:rsidR="006C59DF" w:rsidRPr="00306A65" w:rsidRDefault="006C59DF" w:rsidP="006C59DF">
      <w:pPr>
        <w:spacing w:after="240" w:line="276" w:lineRule="auto"/>
        <w:jc w:val="both"/>
      </w:pPr>
      <w:r w:rsidRPr="00306A65">
        <w:t xml:space="preserve">where the expected rate </w:t>
      </w:r>
      <m:oMath>
        <m:sSubSup>
          <m:sSubSupPr>
            <m:ctrlPr>
              <w:rPr>
                <w:rFonts w:ascii="Cambria Math" w:hAnsi="Cambria Math" w:cs="Arial"/>
                <w:color w:val="202124"/>
                <w:shd w:val="clear" w:color="auto" w:fill="FFFFFF"/>
              </w:rPr>
            </m:ctrlPr>
          </m:sSubSupPr>
          <m:e>
            <m:r>
              <m:rPr>
                <m:sty m:val="p"/>
              </m:rPr>
              <w:rPr>
                <w:rFonts w:ascii="Cambria Math" w:hAnsi="Cambria Math" w:cs="Arial"/>
                <w:color w:val="202124"/>
                <w:shd w:val="clear" w:color="auto" w:fill="FFFFFF"/>
              </w:rPr>
              <m:t>λ</m:t>
            </m:r>
          </m:e>
          <m:sub>
            <m:r>
              <w:rPr>
                <w:rFonts w:ascii="Cambria Math" w:eastAsia="Arial" w:hAnsi="Cambria Math" w:cs="Arial"/>
                <w:color w:val="000000" w:themeColor="text1"/>
              </w:rPr>
              <m:t>i,j</m:t>
            </m:r>
            <m:ctrlPr>
              <w:rPr>
                <w:rFonts w:ascii="Cambria Math" w:eastAsia="Arial" w:hAnsi="Cambria Math" w:cs="Arial"/>
                <w:i/>
                <w:color w:val="000000" w:themeColor="text1"/>
              </w:rPr>
            </m:ctrlPr>
          </m:sub>
          <m:sup>
            <m:r>
              <m:rPr>
                <m:sty m:val="p"/>
              </m:rPr>
              <w:rPr>
                <w:rFonts w:ascii="Cambria Math" w:hAnsi="Cambria Math" w:cs="Arial"/>
                <w:color w:val="202124"/>
                <w:shd w:val="clear" w:color="auto" w:fill="FFFFFF"/>
              </w:rPr>
              <m:t>O</m:t>
            </m:r>
          </m:sup>
        </m:sSubSup>
      </m:oMath>
      <w:r w:rsidRPr="00306A65">
        <w:t xml:space="preserve"> is determined by infection levels in neighbouring catchments, weighted by geographical proximity (see Nelli et al. </w:t>
      </w:r>
      <w:r w:rsidR="007C7870">
        <w:t>(2024</w:t>
      </w:r>
      <w:r w:rsidRPr="00306A65">
        <w:t>) for full derivation).</w:t>
      </w:r>
    </w:p>
    <w:p w14:paraId="0B0A3E91" w14:textId="756C759D" w:rsidR="006C59DF" w:rsidRPr="00306A65" w:rsidRDefault="006C59DF" w:rsidP="006C59DF">
      <w:pPr>
        <w:spacing w:after="240" w:line="276" w:lineRule="auto"/>
        <w:jc w:val="both"/>
        <w:rPr>
          <w:rFonts w:eastAsia="Arial"/>
          <w:color w:val="000000" w:themeColor="text1"/>
          <w:u w:val="single"/>
        </w:rPr>
      </w:pPr>
      <w:r w:rsidRPr="00306A65">
        <w:rPr>
          <w:rFonts w:eastAsia="Arial"/>
          <w:color w:val="000000" w:themeColor="text1"/>
          <w:u w:val="single"/>
        </w:rPr>
        <w:t xml:space="preserve">Observation </w:t>
      </w:r>
      <w:r w:rsidR="00603CE9">
        <w:rPr>
          <w:rFonts w:eastAsia="Arial"/>
          <w:color w:val="000000" w:themeColor="text1"/>
          <w:u w:val="single"/>
        </w:rPr>
        <w:t>p</w:t>
      </w:r>
      <w:r w:rsidRPr="00306A65">
        <w:rPr>
          <w:rFonts w:eastAsia="Arial"/>
          <w:color w:val="000000" w:themeColor="text1"/>
          <w:u w:val="single"/>
        </w:rPr>
        <w:t xml:space="preserve">rocess: </w:t>
      </w:r>
      <w:r w:rsidR="00603CE9">
        <w:rPr>
          <w:rFonts w:eastAsia="Arial"/>
          <w:color w:val="000000" w:themeColor="text1"/>
          <w:u w:val="single"/>
        </w:rPr>
        <w:t>m</w:t>
      </w:r>
      <w:r w:rsidRPr="00306A65">
        <w:rPr>
          <w:rFonts w:eastAsia="Arial"/>
          <w:color w:val="000000" w:themeColor="text1"/>
          <w:u w:val="single"/>
        </w:rPr>
        <w:t xml:space="preserve">odelling </w:t>
      </w:r>
      <w:r w:rsidR="00603CE9">
        <w:rPr>
          <w:rFonts w:eastAsia="Arial"/>
          <w:color w:val="000000" w:themeColor="text1"/>
          <w:u w:val="single"/>
        </w:rPr>
        <w:t>m</w:t>
      </w:r>
      <w:r w:rsidRPr="00306A65">
        <w:rPr>
          <w:rFonts w:eastAsia="Arial"/>
          <w:color w:val="000000" w:themeColor="text1"/>
          <w:u w:val="single"/>
        </w:rPr>
        <w:t xml:space="preserve">alaria </w:t>
      </w:r>
      <w:r w:rsidR="00603CE9">
        <w:rPr>
          <w:rFonts w:eastAsia="Arial"/>
          <w:color w:val="000000" w:themeColor="text1"/>
          <w:u w:val="single"/>
        </w:rPr>
        <w:t>d</w:t>
      </w:r>
      <w:r w:rsidRPr="00306A65">
        <w:rPr>
          <w:rFonts w:eastAsia="Arial"/>
          <w:color w:val="000000" w:themeColor="text1"/>
          <w:u w:val="single"/>
        </w:rPr>
        <w:t>etection</w:t>
      </w:r>
    </w:p>
    <w:p w14:paraId="230EF9D9" w14:textId="78064B6E" w:rsidR="006C59DF" w:rsidRPr="00306A65" w:rsidRDefault="006C59DF" w:rsidP="006C59DF">
      <w:pPr>
        <w:spacing w:before="120" w:after="240" w:line="276" w:lineRule="auto"/>
        <w:rPr>
          <w:rFonts w:eastAsia="Arial" w:cs="Arial"/>
          <w:color w:val="000000" w:themeColor="text1"/>
        </w:rPr>
      </w:pPr>
      <w:r w:rsidRPr="00306A65">
        <w:rPr>
          <w:rFonts w:cs="Arial"/>
          <w:color w:val="000000"/>
        </w:rPr>
        <w:t xml:space="preserve">For the </w:t>
      </w:r>
      <m:oMath>
        <m:sSup>
          <m:sSupPr>
            <m:ctrlPr>
              <w:rPr>
                <w:rFonts w:ascii="Cambria Math" w:hAnsi="Cambria Math" w:cs="Arial"/>
                <w:i/>
                <w:color w:val="000000"/>
              </w:rPr>
            </m:ctrlPr>
          </m:sSupPr>
          <m:e>
            <m:r>
              <w:rPr>
                <w:rFonts w:ascii="Cambria Math" w:hAnsi="Cambria Math" w:cs="Arial"/>
                <w:color w:val="000000"/>
              </w:rPr>
              <m:t>i</m:t>
            </m:r>
          </m:e>
          <m:sup>
            <m:r>
              <w:rPr>
                <w:rFonts w:ascii="Cambria Math" w:hAnsi="Cambria Math" w:cs="Arial"/>
                <w:color w:val="000000"/>
              </w:rPr>
              <m:t>th</m:t>
            </m:r>
          </m:sup>
        </m:sSup>
      </m:oMath>
      <w:r w:rsidRPr="00306A65">
        <w:rPr>
          <w:rFonts w:cs="Arial"/>
          <w:color w:val="000000"/>
        </w:rPr>
        <w:t xml:space="preserve"> month and </w:t>
      </w:r>
      <m:oMath>
        <m:sSup>
          <m:sSupPr>
            <m:ctrlPr>
              <w:rPr>
                <w:rFonts w:ascii="Cambria Math" w:hAnsi="Cambria Math" w:cs="Arial"/>
                <w:i/>
                <w:color w:val="000000"/>
              </w:rPr>
            </m:ctrlPr>
          </m:sSupPr>
          <m:e>
            <m:r>
              <w:rPr>
                <w:rFonts w:ascii="Cambria Math" w:hAnsi="Cambria Math" w:cs="Arial"/>
                <w:color w:val="000000"/>
              </w:rPr>
              <m:t>j</m:t>
            </m:r>
          </m:e>
          <m:sup>
            <m:r>
              <w:rPr>
                <w:rFonts w:ascii="Cambria Math" w:hAnsi="Cambria Math" w:cs="Arial"/>
                <w:color w:val="000000"/>
              </w:rPr>
              <m:t>th</m:t>
            </m:r>
          </m:sup>
        </m:sSup>
      </m:oMath>
      <w:r w:rsidRPr="00306A65">
        <w:rPr>
          <w:rFonts w:cs="Arial"/>
          <w:color w:val="000000"/>
        </w:rPr>
        <w:t xml:space="preserve"> health facility, we collected data on the number of patients attending the facility (</w:t>
      </w:r>
      <m:oMath>
        <m:sSub>
          <m:sSubPr>
            <m:ctrlPr>
              <w:rPr>
                <w:rFonts w:ascii="Cambria Math" w:hAnsi="Cambria Math" w:cs="Arial"/>
                <w:i/>
                <w:iCs/>
                <w:color w:val="000000"/>
              </w:rPr>
            </m:ctrlPr>
          </m:sSubPr>
          <m:e>
            <m:r>
              <w:rPr>
                <w:rFonts w:ascii="Cambria Math" w:hAnsi="Cambria Math" w:cs="Arial"/>
                <w:color w:val="000000"/>
                <w:lang w:val="it-IT"/>
              </w:rPr>
              <m:t>A</m:t>
            </m:r>
          </m:e>
          <m:sub>
            <m:r>
              <w:rPr>
                <w:rFonts w:ascii="Cambria Math" w:hAnsi="Cambria Math" w:cs="Arial"/>
                <w:color w:val="000000"/>
                <w:lang w:val="it-IT"/>
              </w:rPr>
              <m:t>i</m:t>
            </m:r>
            <m:r>
              <w:rPr>
                <w:rFonts w:ascii="Cambria Math" w:hAnsi="Cambria Math" w:cs="Arial"/>
                <w:color w:val="000000"/>
              </w:rPr>
              <m:t>,</m:t>
            </m:r>
            <m:r>
              <w:rPr>
                <w:rFonts w:ascii="Cambria Math" w:hAnsi="Cambria Math" w:cs="Arial"/>
                <w:color w:val="000000"/>
                <w:lang w:val="it-IT"/>
              </w:rPr>
              <m:t>j</m:t>
            </m:r>
          </m:sub>
        </m:sSub>
      </m:oMath>
      <w:r w:rsidRPr="00306A65">
        <w:rPr>
          <w:rFonts w:cs="Arial"/>
          <w:color w:val="000000"/>
        </w:rPr>
        <w:t>), the number of people reporting fever (</w:t>
      </w:r>
      <m:oMath>
        <m:sSub>
          <m:sSubPr>
            <m:ctrlPr>
              <w:rPr>
                <w:rFonts w:ascii="Cambria Math" w:hAnsi="Cambria Math" w:cs="Arial"/>
                <w:i/>
                <w:iCs/>
                <w:color w:val="000000"/>
              </w:rPr>
            </m:ctrlPr>
          </m:sSubPr>
          <m:e>
            <m:r>
              <w:rPr>
                <w:rFonts w:ascii="Cambria Math" w:hAnsi="Cambria Math" w:cs="Arial"/>
                <w:color w:val="000000"/>
                <w:lang w:val="it-IT"/>
              </w:rPr>
              <m:t>F</m:t>
            </m:r>
          </m:e>
          <m:sub>
            <m:r>
              <w:rPr>
                <w:rFonts w:ascii="Cambria Math" w:hAnsi="Cambria Math" w:cs="Arial"/>
                <w:color w:val="000000"/>
                <w:lang w:val="it-IT"/>
              </w:rPr>
              <m:t>i</m:t>
            </m:r>
            <m:r>
              <w:rPr>
                <w:rFonts w:ascii="Cambria Math" w:hAnsi="Cambria Math" w:cs="Arial"/>
                <w:color w:val="000000"/>
              </w:rPr>
              <m:t>,</m:t>
            </m:r>
            <m:r>
              <w:rPr>
                <w:rFonts w:ascii="Cambria Math" w:hAnsi="Cambria Math" w:cs="Arial"/>
                <w:color w:val="000000"/>
                <w:lang w:val="it-IT"/>
              </w:rPr>
              <m:t>j</m:t>
            </m:r>
          </m:sub>
        </m:sSub>
      </m:oMath>
      <w:r w:rsidRPr="00306A65">
        <w:rPr>
          <w:rFonts w:cs="Arial"/>
          <w:iCs/>
          <w:color w:val="000000"/>
        </w:rPr>
        <w:t>)</w:t>
      </w:r>
      <w:r w:rsidRPr="00306A65">
        <w:rPr>
          <w:rFonts w:cs="Arial"/>
          <w:color w:val="000000"/>
        </w:rPr>
        <w:t>, the number of people tested for malaria (</w:t>
      </w:r>
      <m:oMath>
        <m:sSub>
          <m:sSubPr>
            <m:ctrlPr>
              <w:rPr>
                <w:rFonts w:ascii="Cambria Math" w:hAnsi="Cambria Math" w:cs="Arial"/>
                <w:i/>
                <w:iCs/>
                <w:color w:val="000000"/>
              </w:rPr>
            </m:ctrlPr>
          </m:sSubPr>
          <m:e>
            <m:r>
              <w:rPr>
                <w:rFonts w:ascii="Cambria Math" w:hAnsi="Cambria Math" w:cs="Arial"/>
                <w:color w:val="000000"/>
                <w:lang w:val="it-IT"/>
              </w:rPr>
              <m:t>T</m:t>
            </m:r>
          </m:e>
          <m:sub>
            <m:r>
              <w:rPr>
                <w:rFonts w:ascii="Cambria Math" w:hAnsi="Cambria Math" w:cs="Arial"/>
                <w:color w:val="000000"/>
                <w:lang w:val="it-IT"/>
              </w:rPr>
              <m:t>i</m:t>
            </m:r>
            <m:r>
              <w:rPr>
                <w:rFonts w:ascii="Cambria Math" w:hAnsi="Cambria Math" w:cs="Arial"/>
                <w:color w:val="000000"/>
              </w:rPr>
              <m:t>,</m:t>
            </m:r>
            <m:r>
              <w:rPr>
                <w:rFonts w:ascii="Cambria Math" w:hAnsi="Cambria Math" w:cs="Arial"/>
                <w:color w:val="000000"/>
                <w:lang w:val="it-IT"/>
              </w:rPr>
              <m:t>j</m:t>
            </m:r>
          </m:sub>
        </m:sSub>
      </m:oMath>
      <w:r w:rsidRPr="00306A65">
        <w:rPr>
          <w:rFonts w:cs="Arial"/>
          <w:color w:val="000000"/>
        </w:rPr>
        <w:t>), and the number</w:t>
      </w:r>
      <w:r w:rsidR="00603CE9">
        <w:rPr>
          <w:rFonts w:cs="Arial"/>
          <w:color w:val="000000"/>
        </w:rPr>
        <w:t xml:space="preserve"> of</w:t>
      </w:r>
      <w:r w:rsidRPr="00306A65">
        <w:rPr>
          <w:rFonts w:cs="Arial"/>
          <w:color w:val="000000"/>
        </w:rPr>
        <w:t xml:space="preserve"> confirmed cases (</w:t>
      </w:r>
      <m:oMath>
        <m:sSub>
          <m:sSubPr>
            <m:ctrlPr>
              <w:rPr>
                <w:rFonts w:ascii="Cambria Math" w:hAnsi="Cambria Math" w:cs="Arial"/>
                <w:i/>
                <w:iCs/>
                <w:color w:val="000000"/>
              </w:rPr>
            </m:ctrlPr>
          </m:sSubPr>
          <m:e>
            <m:r>
              <w:rPr>
                <w:rFonts w:ascii="Cambria Math" w:hAnsi="Cambria Math" w:cs="Arial"/>
                <w:color w:val="000000"/>
                <w:lang w:val="it-IT"/>
              </w:rPr>
              <m:t>C</m:t>
            </m:r>
          </m:e>
          <m:sub>
            <m:r>
              <w:rPr>
                <w:rFonts w:ascii="Cambria Math" w:hAnsi="Cambria Math" w:cs="Arial"/>
                <w:color w:val="000000"/>
                <w:lang w:val="it-IT"/>
              </w:rPr>
              <m:t>i</m:t>
            </m:r>
            <m:r>
              <w:rPr>
                <w:rFonts w:ascii="Cambria Math" w:hAnsi="Cambria Math" w:cs="Arial"/>
                <w:color w:val="000000"/>
              </w:rPr>
              <m:t>,</m:t>
            </m:r>
            <m:r>
              <w:rPr>
                <w:rFonts w:ascii="Cambria Math" w:hAnsi="Cambria Math" w:cs="Arial"/>
                <w:color w:val="000000"/>
                <w:lang w:val="it-IT"/>
              </w:rPr>
              <m:t>j</m:t>
            </m:r>
          </m:sub>
        </m:sSub>
      </m:oMath>
      <w:r w:rsidRPr="00306A65">
        <w:rPr>
          <w:rFonts w:cs="Arial"/>
          <w:iCs/>
          <w:color w:val="000000"/>
        </w:rPr>
        <w:t>)</w:t>
      </w:r>
      <w:r w:rsidRPr="00306A65">
        <w:rPr>
          <w:rFonts w:cs="Arial"/>
          <w:color w:val="000000"/>
        </w:rPr>
        <w:t xml:space="preserve">. </w:t>
      </w:r>
      <w:r w:rsidRPr="00306A65">
        <w:rPr>
          <w:rFonts w:eastAsia="Arial" w:cs="Arial"/>
          <w:color w:val="000000" w:themeColor="text1"/>
        </w:rPr>
        <w:t xml:space="preserve">We structured the observation process as a causal chain of events leading from </w:t>
      </w:r>
      <m:oMath>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lang w:val="it-IT"/>
              </w:rPr>
              <m:t>M</m:t>
            </m:r>
          </m:e>
          <m:sub>
            <m:r>
              <w:rPr>
                <w:rFonts w:ascii="Cambria Math" w:hAnsi="Cambria Math" w:cs="Arial"/>
                <w:color w:val="202124"/>
                <w:shd w:val="clear" w:color="auto" w:fill="FFFFFF"/>
                <w:lang w:val="it-IT"/>
              </w:rPr>
              <m:t>i</m:t>
            </m:r>
            <m:r>
              <w:rPr>
                <w:rFonts w:ascii="Cambria Math" w:hAnsi="Cambria Math" w:cs="Arial"/>
                <w:color w:val="202124"/>
                <w:shd w:val="clear" w:color="auto" w:fill="FFFFFF"/>
              </w:rPr>
              <m:t>,</m:t>
            </m:r>
            <m:r>
              <w:rPr>
                <w:rFonts w:ascii="Cambria Math" w:hAnsi="Cambria Math" w:cs="Arial"/>
                <w:color w:val="202124"/>
                <w:shd w:val="clear" w:color="auto" w:fill="FFFFFF"/>
                <w:lang w:val="it-IT"/>
              </w:rPr>
              <m:t>j</m:t>
            </m:r>
          </m:sub>
        </m:sSub>
      </m:oMath>
      <w:r w:rsidRPr="00306A65">
        <w:rPr>
          <w:rFonts w:eastAsia="Arial" w:cs="Arial"/>
          <w:color w:val="202124"/>
          <w:shd w:val="clear" w:color="auto" w:fill="FFFFFF"/>
        </w:rPr>
        <w:t>,</w:t>
      </w:r>
      <w:r w:rsidRPr="00306A65">
        <w:rPr>
          <w:rFonts w:eastAsia="Arial" w:cs="Arial"/>
          <w:color w:val="000000" w:themeColor="text1"/>
        </w:rPr>
        <w:t xml:space="preserve">  the unobserved cases present in each sub-population to </w:t>
      </w:r>
      <m:oMath>
        <m:sSub>
          <m:sSubPr>
            <m:ctrlPr>
              <w:rPr>
                <w:rFonts w:ascii="Cambria Math" w:hAnsi="Cambria Math" w:cs="Arial"/>
                <w:i/>
                <w:iCs/>
                <w:color w:val="000000"/>
              </w:rPr>
            </m:ctrlPr>
          </m:sSubPr>
          <m:e>
            <m:r>
              <w:rPr>
                <w:rFonts w:ascii="Cambria Math" w:hAnsi="Cambria Math" w:cs="Arial"/>
                <w:color w:val="000000"/>
                <w:lang w:val="it-IT"/>
              </w:rPr>
              <m:t>C</m:t>
            </m:r>
          </m:e>
          <m:sub>
            <m:r>
              <w:rPr>
                <w:rFonts w:ascii="Cambria Math" w:hAnsi="Cambria Math" w:cs="Arial"/>
                <w:color w:val="000000"/>
                <w:lang w:val="it-IT"/>
              </w:rPr>
              <m:t>i</m:t>
            </m:r>
            <m:r>
              <w:rPr>
                <w:rFonts w:ascii="Cambria Math" w:hAnsi="Cambria Math" w:cs="Arial"/>
                <w:color w:val="000000"/>
              </w:rPr>
              <m:t>,</m:t>
            </m:r>
            <m:r>
              <w:rPr>
                <w:rFonts w:ascii="Cambria Math" w:hAnsi="Cambria Math" w:cs="Arial"/>
                <w:color w:val="000000"/>
                <w:lang w:val="it-IT"/>
              </w:rPr>
              <m:t>j</m:t>
            </m:r>
          </m:sub>
        </m:sSub>
      </m:oMath>
      <w:r w:rsidRPr="00306A65">
        <w:rPr>
          <w:rFonts w:eastAsia="Arial" w:cs="Arial"/>
          <w:iCs/>
          <w:color w:val="000000"/>
        </w:rPr>
        <w:t>,</w:t>
      </w:r>
      <w:r w:rsidRPr="00306A65">
        <w:rPr>
          <w:rFonts w:eastAsia="Arial" w:cs="Arial"/>
          <w:color w:val="000000" w:themeColor="text1"/>
        </w:rPr>
        <w:t xml:space="preserve">  the number of malaria cases ultimately detected by the health system. </w:t>
      </w:r>
    </w:p>
    <w:p w14:paraId="1093C404" w14:textId="77777777" w:rsidR="006C59DF" w:rsidRPr="00306A65" w:rsidRDefault="006C59DF" w:rsidP="006C59DF">
      <w:pPr>
        <w:spacing w:before="120" w:after="240" w:line="276" w:lineRule="auto"/>
        <w:rPr>
          <w:rFonts w:eastAsia="Arial" w:cs="Arial"/>
          <w:bCs/>
          <w:iCs/>
          <w:color w:val="000000" w:themeColor="text1"/>
        </w:rPr>
      </w:pPr>
      <w:r w:rsidRPr="00306A65">
        <w:rPr>
          <w:rFonts w:eastAsia="Arial" w:cs="Arial"/>
          <w:bCs/>
          <w:iCs/>
          <w:color w:val="000000" w:themeColor="text1"/>
        </w:rPr>
        <w:t>The number of patients attending the health facility is modelled as:</w:t>
      </w:r>
    </w:p>
    <w:p w14:paraId="0FD37A30" w14:textId="77777777" w:rsidR="006C59DF" w:rsidRPr="00306A65" w:rsidRDefault="00000000" w:rsidP="006C59DF">
      <w:pPr>
        <w:spacing w:before="120" w:after="240" w:line="276" w:lineRule="auto"/>
        <w:jc w:val="center"/>
        <w:rPr>
          <w:rFonts w:eastAsia="Arial" w:cs="Arial"/>
          <w:color w:val="000000" w:themeColor="text1"/>
        </w:rPr>
      </w:pPr>
      <m:oMath>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A</m:t>
            </m:r>
          </m:e>
          <m:sub>
            <m:r>
              <w:rPr>
                <w:rFonts w:ascii="Cambria Math" w:eastAsia="Arial" w:hAnsi="Cambria Math" w:cs="Arial"/>
                <w:color w:val="000000" w:themeColor="text1"/>
              </w:rPr>
              <m:t>i,j</m:t>
            </m:r>
          </m:sub>
        </m:sSub>
        <m:r>
          <w:rPr>
            <w:rFonts w:ascii="Cambria Math" w:eastAsia="Arial" w:hAnsi="Cambria Math" w:cs="Arial"/>
            <w:color w:val="000000" w:themeColor="text1"/>
          </w:rPr>
          <m:t>~Poisson</m:t>
        </m:r>
        <m:d>
          <m:dPr>
            <m:ctrlPr>
              <w:rPr>
                <w:rFonts w:ascii="Cambria Math" w:eastAsia="Arial" w:hAnsi="Cambria Math" w:cs="Arial"/>
                <w:i/>
                <w:color w:val="000000" w:themeColor="text1"/>
              </w:rPr>
            </m:ctrlPr>
          </m:dPr>
          <m:e>
            <m:sSubSup>
              <m:sSubSupPr>
                <m:ctrlPr>
                  <w:rPr>
                    <w:rFonts w:ascii="Cambria Math" w:eastAsia="Arial" w:hAnsi="Cambria Math" w:cs="Arial"/>
                    <w:i/>
                    <w:color w:val="000000" w:themeColor="text1"/>
                  </w:rPr>
                </m:ctrlPr>
              </m:sSubSupPr>
              <m:e>
                <m:r>
                  <w:rPr>
                    <w:rFonts w:ascii="Cambria Math" w:eastAsia="Arial" w:hAnsi="Cambria Math" w:cs="Arial"/>
                    <w:color w:val="000000" w:themeColor="text1"/>
                  </w:rPr>
                  <m:t>λ</m:t>
                </m:r>
              </m:e>
              <m:sub>
                <m:r>
                  <w:rPr>
                    <w:rFonts w:ascii="Cambria Math" w:eastAsia="Arial" w:hAnsi="Cambria Math" w:cs="Arial"/>
                    <w:color w:val="000000" w:themeColor="text1"/>
                  </w:rPr>
                  <m:t>i,j</m:t>
                </m:r>
              </m:sub>
              <m:sup>
                <m:r>
                  <w:rPr>
                    <w:rFonts w:ascii="Cambria Math" w:eastAsia="Arial" w:hAnsi="Cambria Math" w:cs="Arial"/>
                    <w:color w:val="000000" w:themeColor="text1"/>
                  </w:rPr>
                  <m:t>ATT</m:t>
                </m:r>
              </m:sup>
            </m:sSubSup>
          </m:e>
        </m:d>
      </m:oMath>
      <w:r w:rsidR="006C59DF" w:rsidRPr="00306A65">
        <w:rPr>
          <w:rFonts w:eastAsia="Arial" w:cs="Arial"/>
          <w:color w:val="000000" w:themeColor="text1"/>
        </w:rPr>
        <w:t>,</w:t>
      </w:r>
    </w:p>
    <w:p w14:paraId="3F0347C6" w14:textId="77777777" w:rsidR="006C59DF" w:rsidRPr="00306A65" w:rsidRDefault="006C59DF" w:rsidP="006C59DF">
      <w:pPr>
        <w:spacing w:after="240" w:line="276" w:lineRule="auto"/>
        <w:jc w:val="both"/>
        <w:rPr>
          <w:rFonts w:eastAsia="Arial"/>
          <w:i/>
          <w:iCs/>
          <w:color w:val="000000" w:themeColor="text1"/>
        </w:rPr>
      </w:pPr>
    </w:p>
    <w:p w14:paraId="7BE54394" w14:textId="77777777" w:rsidR="006C59DF" w:rsidRPr="00306A65" w:rsidRDefault="006C59DF" w:rsidP="006C59DF">
      <w:pPr>
        <w:spacing w:after="240" w:line="276" w:lineRule="auto"/>
        <w:rPr>
          <w:rFonts w:eastAsia="Arial" w:cs="Arial"/>
          <w:iCs/>
          <w:color w:val="000000" w:themeColor="text1"/>
        </w:rPr>
      </w:pPr>
      <w:r w:rsidRPr="00306A65">
        <w:rPr>
          <w:rFonts w:eastAsia="Arial" w:cs="Arial"/>
          <w:color w:val="000000" w:themeColor="text1"/>
        </w:rPr>
        <w:t xml:space="preserve">with the rate defined </w:t>
      </w:r>
      <w:r w:rsidRPr="00306A65">
        <w:rPr>
          <w:rFonts w:eastAsia="Arial" w:cs="Arial"/>
          <w:iCs/>
          <w:color w:val="000000" w:themeColor="text1"/>
        </w:rPr>
        <w:t>as</w:t>
      </w:r>
    </w:p>
    <w:p w14:paraId="255E7E00" w14:textId="77777777" w:rsidR="006C59DF" w:rsidRPr="00306A65" w:rsidRDefault="00000000" w:rsidP="006C59DF">
      <w:pPr>
        <w:spacing w:after="240" w:line="276" w:lineRule="auto"/>
        <w:jc w:val="center"/>
        <w:rPr>
          <w:rFonts w:eastAsia="Arial"/>
          <w:i/>
          <w:iCs/>
          <w:color w:val="202124"/>
          <w:shd w:val="clear" w:color="auto" w:fill="FFFFFF"/>
        </w:rPr>
      </w:pPr>
      <m:oMath>
        <m:sSubSup>
          <m:sSubSupPr>
            <m:ctrlPr>
              <w:rPr>
                <w:rFonts w:ascii="Cambria Math" w:eastAsia="Arial" w:hAnsi="Cambria Math" w:cs="Arial"/>
                <w:i/>
                <w:color w:val="000000" w:themeColor="text1"/>
              </w:rPr>
            </m:ctrlPr>
          </m:sSubSupPr>
          <m:e>
            <m:r>
              <w:rPr>
                <w:rFonts w:ascii="Cambria Math" w:eastAsia="Arial" w:hAnsi="Cambria Math" w:cs="Arial"/>
                <w:color w:val="000000" w:themeColor="text1"/>
              </w:rPr>
              <m:t>λ</m:t>
            </m:r>
          </m:e>
          <m:sub>
            <m:r>
              <w:rPr>
                <w:rFonts w:ascii="Cambria Math" w:eastAsia="Arial" w:hAnsi="Cambria Math" w:cs="Arial"/>
                <w:color w:val="000000" w:themeColor="text1"/>
              </w:rPr>
              <m:t>i,j</m:t>
            </m:r>
          </m:sub>
          <m:sup>
            <m:r>
              <w:rPr>
                <w:rFonts w:ascii="Cambria Math" w:eastAsia="Arial" w:hAnsi="Cambria Math" w:cs="Arial"/>
                <w:color w:val="000000" w:themeColor="text1"/>
              </w:rPr>
              <m:t>ATT</m:t>
            </m:r>
          </m:sup>
        </m:sSubSup>
        <m:r>
          <w:rPr>
            <w:rFonts w:ascii="Cambria Math" w:hAnsi="Cambria Math" w:cs="Arial"/>
            <w:color w:val="202124"/>
            <w:shd w:val="clear" w:color="auto" w:fill="FFFFFF"/>
          </w:rPr>
          <m:t>=</m:t>
        </m:r>
        <m:d>
          <m:dPr>
            <m:ctrlPr>
              <w:rPr>
                <w:rFonts w:ascii="Cambria Math" w:hAnsi="Cambria Math" w:cs="Arial"/>
                <w:i/>
                <w:iCs/>
                <w:color w:val="202124"/>
                <w:shd w:val="clear" w:color="auto" w:fill="FFFFFF"/>
              </w:rPr>
            </m:ctrlPr>
          </m:dPr>
          <m:e>
            <m:sSub>
              <m:sSubPr>
                <m:ctrlPr>
                  <w:rPr>
                    <w:rFonts w:ascii="Cambria Math" w:hAnsi="Cambria Math" w:cs="Arial"/>
                    <w:i/>
                    <w:color w:val="202124"/>
                    <w:shd w:val="clear" w:color="auto" w:fill="FFFFFF"/>
                  </w:rPr>
                </m:ctrlPr>
              </m:sSubPr>
              <m:e>
                <m:r>
                  <w:rPr>
                    <w:rFonts w:ascii="Cambria Math" w:hAnsi="Cambria Math" w:cs="Arial"/>
                    <w:color w:val="202124"/>
                    <w:shd w:val="clear" w:color="auto" w:fill="FFFFFF"/>
                  </w:rPr>
                  <m:t>r</m:t>
                </m:r>
              </m:e>
              <m:sub>
                <m:r>
                  <w:rPr>
                    <w:rFonts w:ascii="Cambria Math" w:hAnsi="Cambria Math" w:cs="Arial"/>
                    <w:color w:val="202124"/>
                    <w:shd w:val="clear" w:color="auto" w:fill="FFFFFF"/>
                  </w:rPr>
                  <m:t>j</m:t>
                </m:r>
              </m:sub>
            </m:sSub>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lang w:val="it-IT"/>
                  </w:rPr>
                  <m:t>N</m:t>
                </m:r>
              </m:e>
              <m:sub>
                <m:r>
                  <w:rPr>
                    <w:rFonts w:ascii="Cambria Math" w:hAnsi="Cambria Math" w:cs="Arial"/>
                    <w:color w:val="202124"/>
                    <w:shd w:val="clear" w:color="auto" w:fill="FFFFFF"/>
                    <w:lang w:val="it-IT"/>
                  </w:rPr>
                  <m:t>i</m:t>
                </m:r>
                <m:r>
                  <w:rPr>
                    <w:rFonts w:ascii="Cambria Math" w:hAnsi="Cambria Math" w:cs="Arial"/>
                    <w:color w:val="202124"/>
                    <w:shd w:val="clear" w:color="auto" w:fill="FFFFFF"/>
                  </w:rPr>
                  <m:t>,</m:t>
                </m:r>
                <m:r>
                  <w:rPr>
                    <w:rFonts w:ascii="Cambria Math" w:hAnsi="Cambria Math" w:cs="Arial"/>
                    <w:color w:val="202124"/>
                    <w:shd w:val="clear" w:color="auto" w:fill="FFFFFF"/>
                    <w:lang w:val="it-IT"/>
                  </w:rPr>
                  <m:t>j</m:t>
                </m:r>
              </m:sub>
            </m:sSub>
            <m:r>
              <w:rPr>
                <w:rFonts w:ascii="Cambria Math" w:hAnsi="Cambria Math" w:cs="Arial"/>
                <w:color w:val="202124"/>
                <w:shd w:val="clear" w:color="auto" w:fill="FFFFFF"/>
              </w:rPr>
              <m:t>+</m:t>
            </m:r>
            <m:sSup>
              <m:sSupPr>
                <m:ctrlPr>
                  <w:rPr>
                    <w:rFonts w:ascii="Cambria Math" w:hAnsi="Cambria Math" w:cs="Arial"/>
                    <w:i/>
                    <w:iCs/>
                    <w:color w:val="202124"/>
                    <w:shd w:val="clear" w:color="auto" w:fill="FFFFFF"/>
                  </w:rPr>
                </m:ctrlPr>
              </m:sSupPr>
              <m:e>
                <m:r>
                  <w:rPr>
                    <w:rFonts w:ascii="Cambria Math" w:hAnsi="Cambria Math" w:cs="Arial"/>
                    <w:color w:val="202124"/>
                    <w:shd w:val="clear" w:color="auto" w:fill="FFFFFF"/>
                  </w:rPr>
                  <m:t>P</m:t>
                </m:r>
              </m:e>
              <m:sup>
                <m:r>
                  <w:rPr>
                    <w:rFonts w:ascii="Cambria Math" w:hAnsi="Cambria Math" w:cs="Arial"/>
                    <w:color w:val="202124"/>
                    <w:shd w:val="clear" w:color="auto" w:fill="FFFFFF"/>
                  </w:rPr>
                  <m:t>CLINICAL</m:t>
                </m:r>
              </m:sup>
            </m:sSup>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rPr>
                  <m:t>M</m:t>
                </m:r>
              </m:e>
              <m:sub>
                <m:r>
                  <w:rPr>
                    <w:rFonts w:ascii="Cambria Math" w:hAnsi="Cambria Math" w:cs="Arial"/>
                    <w:color w:val="202124"/>
                    <w:shd w:val="clear" w:color="auto" w:fill="FFFFFF"/>
                  </w:rPr>
                  <m:t>i,j</m:t>
                </m:r>
              </m:sub>
            </m:sSub>
          </m:e>
        </m:d>
        <m:sSubSup>
          <m:sSubSupPr>
            <m:ctrlPr>
              <w:rPr>
                <w:rFonts w:ascii="Cambria Math" w:hAnsi="Cambria Math" w:cs="Arial"/>
                <w:i/>
                <w:color w:val="202124"/>
                <w:shd w:val="clear" w:color="auto" w:fill="FFFFFF"/>
              </w:rPr>
            </m:ctrlPr>
          </m:sSubSupPr>
          <m:e>
            <m:r>
              <w:rPr>
                <w:rFonts w:ascii="Cambria Math" w:hAnsi="Cambria Math" w:cs="Arial"/>
                <w:color w:val="202124"/>
                <w:shd w:val="clear" w:color="auto" w:fill="FFFFFF"/>
              </w:rPr>
              <m:t>P</m:t>
            </m:r>
          </m:e>
          <m:sub>
            <m:r>
              <w:rPr>
                <w:rFonts w:ascii="Cambria Math" w:hAnsi="Cambria Math" w:cs="Arial"/>
                <w:color w:val="202124"/>
                <w:shd w:val="clear" w:color="auto" w:fill="FFFFFF"/>
              </w:rPr>
              <m:t>j</m:t>
            </m:r>
            <m:ctrlPr>
              <w:rPr>
                <w:rFonts w:ascii="Cambria Math" w:hAnsi="Cambria Math" w:cs="Arial"/>
                <w:i/>
                <w:iCs/>
                <w:color w:val="202124"/>
                <w:shd w:val="clear" w:color="auto" w:fill="FFFFFF"/>
              </w:rPr>
            </m:ctrlPr>
          </m:sub>
          <m:sup>
            <m:r>
              <w:rPr>
                <w:rFonts w:ascii="Cambria Math" w:hAnsi="Cambria Math" w:cs="Arial"/>
                <w:color w:val="202124"/>
                <w:shd w:val="clear" w:color="auto" w:fill="FFFFFF"/>
              </w:rPr>
              <m:t>SEEK</m:t>
            </m:r>
          </m:sup>
        </m:sSubSup>
      </m:oMath>
      <w:r w:rsidR="006C59DF" w:rsidRPr="00306A65">
        <w:rPr>
          <w:rFonts w:eastAsia="Arial"/>
          <w:i/>
          <w:color w:val="202124"/>
          <w:shd w:val="clear" w:color="auto" w:fill="FFFFFF"/>
        </w:rPr>
        <w:t>,</w:t>
      </w:r>
    </w:p>
    <w:p w14:paraId="35149BF2" w14:textId="77777777" w:rsidR="006C59DF" w:rsidRPr="00306A65" w:rsidRDefault="006C59DF" w:rsidP="006C59DF">
      <w:pPr>
        <w:spacing w:before="240" w:after="240" w:line="276" w:lineRule="auto"/>
        <w:rPr>
          <w:rFonts w:eastAsia="Arial" w:cs="Arial"/>
          <w:color w:val="000000" w:themeColor="text1"/>
        </w:rPr>
      </w:pPr>
      <w:r w:rsidRPr="00306A65">
        <w:rPr>
          <w:rFonts w:eastAsia="Arial" w:cs="Arial"/>
          <w:color w:val="000000" w:themeColor="text1"/>
        </w:rPr>
        <w:t>where</w:t>
      </w:r>
      <m:oMath>
        <m:r>
          <w:rPr>
            <w:rFonts w:ascii="Cambria Math" w:eastAsia="Arial" w:hAnsi="Cambria Math" w:cs="Arial"/>
            <w:color w:val="000000"/>
          </w:rPr>
          <m:t xml:space="preserve"> </m:t>
        </m:r>
        <m:sSub>
          <m:sSubPr>
            <m:ctrlPr>
              <w:rPr>
                <w:rFonts w:ascii="Cambria Math" w:eastAsia="Arial" w:hAnsi="Cambria Math" w:cs="Arial"/>
                <w:i/>
                <w:iCs/>
                <w:color w:val="000000" w:themeColor="text1"/>
              </w:rPr>
            </m:ctrlPr>
          </m:sSubPr>
          <m:e>
            <m:r>
              <w:rPr>
                <w:rFonts w:ascii="Cambria Math" w:eastAsia="Arial" w:hAnsi="Cambria Math" w:cs="Arial"/>
                <w:color w:val="000000" w:themeColor="text1"/>
              </w:rPr>
              <m:t>N</m:t>
            </m:r>
          </m:e>
          <m:sub>
            <m:r>
              <w:rPr>
                <w:rFonts w:ascii="Cambria Math" w:eastAsia="Arial" w:hAnsi="Cambria Math" w:cs="Arial"/>
                <w:color w:val="000000" w:themeColor="text1"/>
              </w:rPr>
              <m:t>i,j</m:t>
            </m:r>
          </m:sub>
        </m:sSub>
      </m:oMath>
      <w:r w:rsidRPr="00306A65">
        <w:rPr>
          <w:rFonts w:eastAsia="Arial" w:cs="Arial"/>
          <w:color w:val="000000" w:themeColor="text1"/>
        </w:rPr>
        <w:t xml:space="preserve"> is the catchment population, </w:t>
      </w:r>
      <m:oMath>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r</m:t>
            </m:r>
          </m:e>
          <m:sub>
            <m:r>
              <w:rPr>
                <w:rFonts w:ascii="Cambria Math" w:eastAsia="Arial" w:hAnsi="Cambria Math" w:cs="Arial"/>
                <w:color w:val="000000" w:themeColor="text1"/>
              </w:rPr>
              <m:t>j</m:t>
            </m:r>
          </m:sub>
        </m:sSub>
      </m:oMath>
      <w:r w:rsidRPr="00306A65">
        <w:rPr>
          <w:rFonts w:eastAsia="Arial" w:cs="Arial"/>
          <w:color w:val="000000" w:themeColor="text1"/>
        </w:rPr>
        <w:t xml:space="preserve"> is the baseline monthly proportion of non-malaria illnesses leading to attendance, </w:t>
      </w:r>
      <m:oMath>
        <m:sSup>
          <m:sSupPr>
            <m:ctrlPr>
              <w:rPr>
                <w:rFonts w:ascii="Cambria Math" w:hAnsi="Cambria Math" w:cs="Arial"/>
                <w:i/>
                <w:iCs/>
                <w:color w:val="202124"/>
                <w:shd w:val="clear" w:color="auto" w:fill="FFFFFF"/>
              </w:rPr>
            </m:ctrlPr>
          </m:sSupPr>
          <m:e>
            <m:r>
              <w:rPr>
                <w:rFonts w:ascii="Cambria Math" w:hAnsi="Cambria Math" w:cs="Arial"/>
                <w:color w:val="202124"/>
                <w:shd w:val="clear" w:color="auto" w:fill="FFFFFF"/>
              </w:rPr>
              <m:t>P</m:t>
            </m:r>
          </m:e>
          <m:sup>
            <m:r>
              <w:rPr>
                <w:rFonts w:ascii="Cambria Math" w:hAnsi="Cambria Math" w:cs="Arial"/>
                <w:color w:val="202124"/>
                <w:shd w:val="clear" w:color="auto" w:fill="FFFFFF"/>
              </w:rPr>
              <m:t>CLINICAL</m:t>
            </m:r>
          </m:sup>
        </m:sSup>
      </m:oMath>
      <w:r w:rsidRPr="00306A65">
        <w:rPr>
          <w:rFonts w:eastAsia="Arial" w:cs="Arial"/>
          <w:color w:val="000000" w:themeColor="text1"/>
        </w:rPr>
        <w:t xml:space="preserve"> </w:t>
      </w:r>
      <w:r w:rsidRPr="00306A65">
        <w:rPr>
          <w:rFonts w:ascii="Arial" w:eastAsia="Arial" w:hAnsi="Arial" w:cs="Arial"/>
          <w:color w:val="000000" w:themeColor="text1"/>
        </w:rPr>
        <w:t>​</w:t>
      </w:r>
      <w:r w:rsidRPr="00306A65">
        <w:rPr>
          <w:rFonts w:eastAsia="Arial" w:cs="Arial"/>
          <w:color w:val="000000" w:themeColor="text1"/>
        </w:rPr>
        <w:t xml:space="preserve"> is the proportion of malaria infections that are symptomatic, and </w:t>
      </w:r>
      <m:oMath>
        <m:sSubSup>
          <m:sSubSupPr>
            <m:ctrlPr>
              <w:rPr>
                <w:rFonts w:ascii="Cambria Math" w:hAnsi="Cambria Math" w:cs="Arial"/>
                <w:i/>
                <w:color w:val="202124"/>
                <w:shd w:val="clear" w:color="auto" w:fill="FFFFFF"/>
              </w:rPr>
            </m:ctrlPr>
          </m:sSubSupPr>
          <m:e>
            <m:r>
              <w:rPr>
                <w:rFonts w:ascii="Cambria Math" w:hAnsi="Cambria Math" w:cs="Arial"/>
                <w:color w:val="202124"/>
                <w:shd w:val="clear" w:color="auto" w:fill="FFFFFF"/>
              </w:rPr>
              <m:t>P</m:t>
            </m:r>
          </m:e>
          <m:sub>
            <m:r>
              <w:rPr>
                <w:rFonts w:ascii="Cambria Math" w:hAnsi="Cambria Math" w:cs="Arial"/>
                <w:color w:val="202124"/>
                <w:shd w:val="clear" w:color="auto" w:fill="FFFFFF"/>
              </w:rPr>
              <m:t>j</m:t>
            </m:r>
            <m:ctrlPr>
              <w:rPr>
                <w:rFonts w:ascii="Cambria Math" w:hAnsi="Cambria Math" w:cs="Arial"/>
                <w:i/>
                <w:iCs/>
                <w:color w:val="202124"/>
                <w:shd w:val="clear" w:color="auto" w:fill="FFFFFF"/>
              </w:rPr>
            </m:ctrlPr>
          </m:sub>
          <m:sup>
            <m:r>
              <w:rPr>
                <w:rFonts w:ascii="Cambria Math" w:hAnsi="Cambria Math" w:cs="Arial"/>
                <w:color w:val="202124"/>
                <w:shd w:val="clear" w:color="auto" w:fill="FFFFFF"/>
              </w:rPr>
              <m:t>SEEK</m:t>
            </m:r>
          </m:sup>
        </m:sSubSup>
      </m:oMath>
      <w:r w:rsidRPr="00306A65">
        <w:rPr>
          <w:rFonts w:eastAsia="Arial" w:cs="Arial"/>
          <w:color w:val="202124"/>
          <w:shd w:val="clear" w:color="auto" w:fill="FFFFFF"/>
        </w:rPr>
        <w:t xml:space="preserve"> </w:t>
      </w:r>
      <w:r w:rsidRPr="00306A65">
        <w:rPr>
          <w:rFonts w:eastAsia="Arial" w:cs="Arial"/>
          <w:color w:val="000000" w:themeColor="text1"/>
        </w:rPr>
        <w:t xml:space="preserve">is the probability of care-seeking at facility </w:t>
      </w:r>
      <m:oMath>
        <m:r>
          <w:rPr>
            <w:rFonts w:ascii="Cambria Math" w:hAnsi="Cambria Math" w:cs="Arial"/>
            <w:color w:val="202124"/>
            <w:shd w:val="clear" w:color="auto" w:fill="FFFFFF"/>
          </w:rPr>
          <m:t>j</m:t>
        </m:r>
      </m:oMath>
      <w:r w:rsidRPr="00306A65">
        <w:rPr>
          <w:rFonts w:eastAsia="Arial" w:cs="Arial"/>
          <w:color w:val="000000" w:themeColor="text1"/>
        </w:rPr>
        <w:t>.</w:t>
      </w:r>
    </w:p>
    <w:p w14:paraId="72AF5380" w14:textId="77777777" w:rsidR="006C59DF" w:rsidRPr="00306A65" w:rsidRDefault="006C59DF" w:rsidP="006C59DF">
      <w:pPr>
        <w:spacing w:before="120" w:after="240" w:line="276" w:lineRule="auto"/>
        <w:rPr>
          <w:rFonts w:eastAsia="Arial" w:cs="Arial"/>
          <w:color w:val="000000" w:themeColor="text1"/>
        </w:rPr>
      </w:pPr>
      <w:r w:rsidRPr="00306A65">
        <w:rPr>
          <w:rFonts w:eastAsia="Arial" w:cs="Arial"/>
          <w:color w:val="000000" w:themeColor="text1"/>
        </w:rPr>
        <w:t>The number of attendees presenting with fever is modelled as:</w:t>
      </w:r>
    </w:p>
    <w:p w14:paraId="4B23455E" w14:textId="77777777" w:rsidR="006C59DF" w:rsidRPr="00306A65" w:rsidRDefault="00000000" w:rsidP="006C59DF">
      <w:pPr>
        <w:spacing w:before="120" w:after="240" w:line="276" w:lineRule="auto"/>
        <w:jc w:val="center"/>
        <w:rPr>
          <w:rFonts w:eastAsia="Arial" w:cs="Arial"/>
          <w:color w:val="000000" w:themeColor="text1"/>
        </w:rPr>
      </w:pPr>
      <m:oMath>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F</m:t>
            </m:r>
          </m:e>
          <m:sub>
            <m:r>
              <w:rPr>
                <w:rFonts w:ascii="Cambria Math" w:eastAsia="Arial" w:hAnsi="Cambria Math" w:cs="Arial"/>
                <w:color w:val="000000" w:themeColor="text1"/>
              </w:rPr>
              <m:t>i,j</m:t>
            </m:r>
          </m:sub>
        </m:sSub>
        <m:r>
          <w:rPr>
            <w:rFonts w:ascii="Cambria Math" w:eastAsia="Arial" w:hAnsi="Cambria Math" w:cs="Arial"/>
            <w:color w:val="000000" w:themeColor="text1"/>
          </w:rPr>
          <m:t>~Poisson</m:t>
        </m:r>
        <m:d>
          <m:dPr>
            <m:ctrlPr>
              <w:rPr>
                <w:rFonts w:ascii="Cambria Math" w:eastAsia="Arial" w:hAnsi="Cambria Math" w:cs="Arial"/>
                <w:i/>
                <w:color w:val="000000" w:themeColor="text1"/>
              </w:rPr>
            </m:ctrlPr>
          </m:dPr>
          <m:e>
            <m:sSubSup>
              <m:sSubSupPr>
                <m:ctrlPr>
                  <w:rPr>
                    <w:rFonts w:ascii="Cambria Math" w:eastAsia="Arial" w:hAnsi="Cambria Math" w:cs="Arial"/>
                    <w:i/>
                    <w:color w:val="000000" w:themeColor="text1"/>
                  </w:rPr>
                </m:ctrlPr>
              </m:sSubSupPr>
              <m:e>
                <m:r>
                  <w:rPr>
                    <w:rFonts w:ascii="Cambria Math" w:eastAsia="Arial" w:hAnsi="Cambria Math" w:cs="Arial"/>
                    <w:color w:val="000000" w:themeColor="text1"/>
                  </w:rPr>
                  <m:t>λ</m:t>
                </m:r>
              </m:e>
              <m:sub>
                <m:r>
                  <w:rPr>
                    <w:rFonts w:ascii="Cambria Math" w:eastAsia="Arial" w:hAnsi="Cambria Math" w:cs="Arial"/>
                    <w:color w:val="000000" w:themeColor="text1"/>
                  </w:rPr>
                  <m:t>i,j</m:t>
                </m:r>
              </m:sub>
              <m:sup>
                <m:r>
                  <w:rPr>
                    <w:rFonts w:ascii="Cambria Math" w:eastAsia="Arial" w:hAnsi="Cambria Math" w:cs="Arial"/>
                    <w:color w:val="000000" w:themeColor="text1"/>
                  </w:rPr>
                  <m:t>FEV</m:t>
                </m:r>
              </m:sup>
            </m:sSubSup>
          </m:e>
        </m:d>
      </m:oMath>
      <w:r w:rsidR="006C59DF" w:rsidRPr="00306A65">
        <w:rPr>
          <w:rFonts w:eastAsia="Arial" w:cs="Arial"/>
          <w:color w:val="000000" w:themeColor="text1"/>
        </w:rPr>
        <w:t>,</w:t>
      </w:r>
    </w:p>
    <w:p w14:paraId="23290855" w14:textId="77777777" w:rsidR="006C59DF" w:rsidRPr="00306A65" w:rsidRDefault="006C59DF" w:rsidP="006C59DF">
      <w:pPr>
        <w:spacing w:before="120" w:after="240" w:line="276" w:lineRule="auto"/>
        <w:rPr>
          <w:rFonts w:eastAsia="Arial" w:cs="Arial"/>
          <w:color w:val="000000" w:themeColor="text1"/>
        </w:rPr>
      </w:pPr>
      <w:proofErr w:type="gramStart"/>
      <w:r w:rsidRPr="00306A65">
        <w:rPr>
          <w:rFonts w:eastAsia="Arial" w:cs="Arial"/>
          <w:color w:val="000000" w:themeColor="text1"/>
        </w:rPr>
        <w:t>with</w:t>
      </w:r>
      <w:proofErr w:type="gramEnd"/>
    </w:p>
    <w:p w14:paraId="78316EE8" w14:textId="77777777" w:rsidR="006C59DF" w:rsidRPr="00306A65" w:rsidRDefault="00000000" w:rsidP="006C59DF">
      <w:pPr>
        <w:spacing w:before="120" w:after="240" w:line="276" w:lineRule="auto"/>
        <w:jc w:val="center"/>
        <w:rPr>
          <w:rFonts w:eastAsia="Arial" w:cs="Arial"/>
          <w:iCs/>
          <w:color w:val="202124"/>
          <w:shd w:val="clear" w:color="auto" w:fill="FFFFFF"/>
        </w:rPr>
      </w:pPr>
      <m:oMath>
        <m:sSubSup>
          <m:sSubSupPr>
            <m:ctrlPr>
              <w:rPr>
                <w:rFonts w:ascii="Cambria Math" w:eastAsia="Arial" w:hAnsi="Cambria Math" w:cs="Arial"/>
                <w:i/>
                <w:color w:val="000000" w:themeColor="text1"/>
              </w:rPr>
            </m:ctrlPr>
          </m:sSubSupPr>
          <m:e>
            <m:r>
              <w:rPr>
                <w:rFonts w:ascii="Cambria Math" w:eastAsia="Arial" w:hAnsi="Cambria Math" w:cs="Arial"/>
                <w:color w:val="000000" w:themeColor="text1"/>
              </w:rPr>
              <m:t>λ</m:t>
            </m:r>
          </m:e>
          <m:sub>
            <m:r>
              <w:rPr>
                <w:rFonts w:ascii="Cambria Math" w:eastAsia="Arial" w:hAnsi="Cambria Math" w:cs="Arial"/>
                <w:color w:val="000000" w:themeColor="text1"/>
              </w:rPr>
              <m:t>i,j</m:t>
            </m:r>
          </m:sub>
          <m:sup>
            <m:r>
              <w:rPr>
                <w:rFonts w:ascii="Cambria Math" w:eastAsia="Arial" w:hAnsi="Cambria Math" w:cs="Arial"/>
                <w:color w:val="000000" w:themeColor="text1"/>
              </w:rPr>
              <m:t>FEV</m:t>
            </m:r>
          </m:sup>
        </m:sSubSup>
        <m:r>
          <w:rPr>
            <w:rFonts w:ascii="Cambria Math" w:hAnsi="Cambria Math" w:cs="Arial"/>
            <w:color w:val="202124"/>
            <w:shd w:val="clear" w:color="auto" w:fill="FFFFFF"/>
          </w:rPr>
          <m:t>=s</m:t>
        </m:r>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rPr>
              <m:t>r</m:t>
            </m:r>
          </m:e>
          <m:sub>
            <m:r>
              <w:rPr>
                <w:rFonts w:ascii="Cambria Math" w:hAnsi="Cambria Math" w:cs="Arial"/>
                <w:color w:val="202124"/>
                <w:shd w:val="clear" w:color="auto" w:fill="FFFFFF"/>
              </w:rPr>
              <m:t>j</m:t>
            </m:r>
          </m:sub>
        </m:sSub>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lang w:val="it-IT"/>
              </w:rPr>
              <m:t>N</m:t>
            </m:r>
          </m:e>
          <m:sub>
            <m:r>
              <w:rPr>
                <w:rFonts w:ascii="Cambria Math" w:hAnsi="Cambria Math" w:cs="Arial"/>
                <w:color w:val="202124"/>
                <w:shd w:val="clear" w:color="auto" w:fill="FFFFFF"/>
                <w:lang w:val="it-IT"/>
              </w:rPr>
              <m:t>i</m:t>
            </m:r>
            <m:r>
              <w:rPr>
                <w:rFonts w:ascii="Cambria Math" w:hAnsi="Cambria Math" w:cs="Arial"/>
                <w:color w:val="202124"/>
                <w:shd w:val="clear" w:color="auto" w:fill="FFFFFF"/>
              </w:rPr>
              <m:t>,</m:t>
            </m:r>
            <m:r>
              <w:rPr>
                <w:rFonts w:ascii="Cambria Math" w:hAnsi="Cambria Math" w:cs="Arial"/>
                <w:color w:val="202124"/>
                <w:shd w:val="clear" w:color="auto" w:fill="FFFFFF"/>
                <w:lang w:val="it-IT"/>
              </w:rPr>
              <m:t>j</m:t>
            </m:r>
          </m:sub>
        </m:sSub>
        <m:r>
          <w:rPr>
            <w:rFonts w:ascii="Cambria Math" w:hAnsi="Cambria Math" w:cs="Arial"/>
            <w:color w:val="202124"/>
            <w:shd w:val="clear" w:color="auto" w:fill="FFFFFF"/>
          </w:rPr>
          <m:t>+</m:t>
        </m:r>
        <m:sSup>
          <m:sSupPr>
            <m:ctrlPr>
              <w:rPr>
                <w:rFonts w:ascii="Cambria Math" w:hAnsi="Cambria Math" w:cs="Arial"/>
                <w:i/>
                <w:iCs/>
                <w:color w:val="202124"/>
                <w:shd w:val="clear" w:color="auto" w:fill="FFFFFF"/>
              </w:rPr>
            </m:ctrlPr>
          </m:sSupPr>
          <m:e>
            <m:r>
              <w:rPr>
                <w:rFonts w:ascii="Cambria Math" w:hAnsi="Cambria Math" w:cs="Arial"/>
                <w:color w:val="202124"/>
                <w:shd w:val="clear" w:color="auto" w:fill="FFFFFF"/>
              </w:rPr>
              <m:t>P</m:t>
            </m:r>
          </m:e>
          <m:sup>
            <m:r>
              <w:rPr>
                <w:rFonts w:ascii="Cambria Math" w:hAnsi="Cambria Math" w:cs="Arial"/>
                <w:color w:val="202124"/>
                <w:shd w:val="clear" w:color="auto" w:fill="FFFFFF"/>
              </w:rPr>
              <m:t>CLINICAL</m:t>
            </m:r>
          </m:sup>
        </m:sSup>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lang w:val="it-IT"/>
              </w:rPr>
              <m:t>M</m:t>
            </m:r>
          </m:e>
          <m:sub>
            <m:r>
              <w:rPr>
                <w:rFonts w:ascii="Cambria Math" w:hAnsi="Cambria Math" w:cs="Arial"/>
                <w:color w:val="202124"/>
                <w:shd w:val="clear" w:color="auto" w:fill="FFFFFF"/>
                <w:lang w:val="it-IT"/>
              </w:rPr>
              <m:t>i</m:t>
            </m:r>
            <m:r>
              <w:rPr>
                <w:rFonts w:ascii="Cambria Math" w:hAnsi="Cambria Math" w:cs="Arial"/>
                <w:color w:val="202124"/>
                <w:shd w:val="clear" w:color="auto" w:fill="FFFFFF"/>
              </w:rPr>
              <m:t>,</m:t>
            </m:r>
            <m:r>
              <w:rPr>
                <w:rFonts w:ascii="Cambria Math" w:hAnsi="Cambria Math" w:cs="Arial"/>
                <w:color w:val="202124"/>
                <w:shd w:val="clear" w:color="auto" w:fill="FFFFFF"/>
                <w:lang w:val="it-IT"/>
              </w:rPr>
              <m:t>j</m:t>
            </m:r>
          </m:sub>
        </m:sSub>
      </m:oMath>
      <w:r w:rsidR="006C59DF" w:rsidRPr="00306A65">
        <w:rPr>
          <w:rFonts w:eastAsia="Arial" w:cs="Arial"/>
          <w:iCs/>
          <w:color w:val="202124"/>
          <w:shd w:val="clear" w:color="auto" w:fill="FFFFFF"/>
        </w:rPr>
        <w:t>,</w:t>
      </w:r>
    </w:p>
    <w:p w14:paraId="1B78A5CE" w14:textId="77777777" w:rsidR="006C59DF" w:rsidRPr="00306A65" w:rsidRDefault="006C59DF" w:rsidP="006C59DF">
      <w:pPr>
        <w:spacing w:before="120" w:after="240" w:line="276" w:lineRule="auto"/>
        <w:rPr>
          <w:rFonts w:eastAsia="Arial" w:cs="Arial"/>
          <w:iCs/>
          <w:color w:val="202124"/>
          <w:shd w:val="clear" w:color="auto" w:fill="FFFFFF"/>
        </w:rPr>
      </w:pPr>
      <w:r w:rsidRPr="00306A65">
        <w:rPr>
          <w:rFonts w:eastAsia="Arial" w:cs="Arial"/>
          <w:color w:val="000000" w:themeColor="text1"/>
        </w:rPr>
        <w:t xml:space="preserve">where </w:t>
      </w:r>
      <m:oMath>
        <m:r>
          <w:rPr>
            <w:rFonts w:ascii="Cambria Math" w:hAnsi="Cambria Math" w:cs="Arial"/>
            <w:color w:val="202124"/>
            <w:shd w:val="clear" w:color="auto" w:fill="FFFFFF"/>
          </w:rPr>
          <m:t>s</m:t>
        </m:r>
      </m:oMath>
      <w:r w:rsidRPr="00306A65">
        <w:rPr>
          <w:rFonts w:eastAsia="Arial" w:cs="Arial"/>
          <w:iCs/>
          <w:color w:val="202124"/>
          <w:shd w:val="clear" w:color="auto" w:fill="FFFFFF"/>
        </w:rPr>
        <w:t xml:space="preserve"> is the proportion of non-malaria attendances associated with fever.</w:t>
      </w:r>
    </w:p>
    <w:p w14:paraId="7E7D9C7C" w14:textId="77777777" w:rsidR="006C59DF" w:rsidRPr="00306A65" w:rsidRDefault="006C59DF" w:rsidP="006C59DF">
      <w:pPr>
        <w:spacing w:before="120" w:after="240" w:line="276" w:lineRule="auto"/>
        <w:rPr>
          <w:rFonts w:eastAsia="Arial" w:cs="Arial"/>
          <w:color w:val="000000" w:themeColor="text1"/>
        </w:rPr>
      </w:pPr>
      <w:r w:rsidRPr="00306A65">
        <w:rPr>
          <w:rFonts w:eastAsia="Arial" w:cs="Arial"/>
          <w:color w:val="000000" w:themeColor="text1"/>
        </w:rPr>
        <w:t>The number of febrile attendees tested for malaria is modelled as:</w:t>
      </w:r>
    </w:p>
    <w:p w14:paraId="33E93A48" w14:textId="77777777" w:rsidR="006C59DF" w:rsidRPr="00306A65" w:rsidRDefault="00000000" w:rsidP="006C59DF">
      <w:pPr>
        <w:spacing w:before="120" w:after="240" w:line="276" w:lineRule="auto"/>
        <w:jc w:val="center"/>
        <w:rPr>
          <w:rFonts w:eastAsia="Arial" w:cs="Arial"/>
          <w:color w:val="000000" w:themeColor="text1"/>
        </w:rPr>
      </w:pPr>
      <m:oMath>
        <m:sSub>
          <m:sSubPr>
            <m:ctrlPr>
              <w:rPr>
                <w:rFonts w:ascii="Cambria Math" w:eastAsia="Arial" w:hAnsi="Cambria Math" w:cs="Arial"/>
                <w:i/>
                <w:color w:val="000000" w:themeColor="text1"/>
              </w:rPr>
            </m:ctrlPr>
          </m:sSubPr>
          <m:e>
            <m:r>
              <w:rPr>
                <w:rFonts w:ascii="Cambria Math" w:eastAsia="Arial" w:hAnsi="Cambria Math" w:cs="Arial"/>
                <w:color w:val="000000" w:themeColor="text1"/>
              </w:rPr>
              <m:t>T</m:t>
            </m:r>
          </m:e>
          <m:sub>
            <m:r>
              <w:rPr>
                <w:rFonts w:ascii="Cambria Math" w:eastAsia="Arial" w:hAnsi="Cambria Math" w:cs="Arial"/>
                <w:color w:val="000000" w:themeColor="text1"/>
              </w:rPr>
              <m:t>i,j</m:t>
            </m:r>
          </m:sub>
        </m:sSub>
        <m:r>
          <w:rPr>
            <w:rFonts w:ascii="Cambria Math" w:eastAsia="Arial" w:hAnsi="Cambria Math" w:cs="Arial"/>
            <w:color w:val="000000" w:themeColor="text1"/>
          </w:rPr>
          <m:t>~Poisson</m:t>
        </m:r>
        <m:d>
          <m:dPr>
            <m:ctrlPr>
              <w:rPr>
                <w:rFonts w:ascii="Cambria Math" w:eastAsia="Arial" w:hAnsi="Cambria Math" w:cs="Arial"/>
                <w:i/>
                <w:color w:val="000000" w:themeColor="text1"/>
              </w:rPr>
            </m:ctrlPr>
          </m:dPr>
          <m:e>
            <m:sSubSup>
              <m:sSubSupPr>
                <m:ctrlPr>
                  <w:rPr>
                    <w:rFonts w:ascii="Cambria Math" w:hAnsi="Cambria Math" w:cs="Arial"/>
                    <w:i/>
                    <w:color w:val="202124"/>
                    <w:shd w:val="clear" w:color="auto" w:fill="FFFFFF"/>
                  </w:rPr>
                </m:ctrlPr>
              </m:sSubSupPr>
              <m:e>
                <m:r>
                  <w:rPr>
                    <w:rFonts w:ascii="Cambria Math" w:hAnsi="Cambria Math" w:cs="Arial"/>
                    <w:color w:val="202124"/>
                    <w:shd w:val="clear" w:color="auto" w:fill="FFFFFF"/>
                  </w:rPr>
                  <m:t>P</m:t>
                </m:r>
              </m:e>
              <m:sub>
                <m:r>
                  <w:rPr>
                    <w:rFonts w:ascii="Cambria Math" w:hAnsi="Cambria Math" w:cs="Arial"/>
                    <w:color w:val="202124"/>
                    <w:shd w:val="clear" w:color="auto" w:fill="FFFFFF"/>
                  </w:rPr>
                  <m:t>j</m:t>
                </m:r>
              </m:sub>
              <m:sup>
                <m:r>
                  <w:rPr>
                    <w:rFonts w:ascii="Cambria Math" w:hAnsi="Cambria Math" w:cs="Arial"/>
                    <w:color w:val="202124"/>
                    <w:shd w:val="clear" w:color="auto" w:fill="FFFFFF"/>
                  </w:rPr>
                  <m:t>TEST</m:t>
                </m:r>
              </m:sup>
            </m:sSubSup>
            <m:sSubSup>
              <m:sSubSupPr>
                <m:ctrlPr>
                  <w:rPr>
                    <w:rFonts w:ascii="Cambria Math" w:eastAsia="Arial" w:hAnsi="Cambria Math" w:cs="Arial"/>
                    <w:i/>
                    <w:color w:val="000000" w:themeColor="text1"/>
                  </w:rPr>
                </m:ctrlPr>
              </m:sSubSupPr>
              <m:e>
                <m:r>
                  <w:rPr>
                    <w:rFonts w:ascii="Cambria Math" w:eastAsia="Arial" w:hAnsi="Cambria Math" w:cs="Arial"/>
                    <w:color w:val="000000" w:themeColor="text1"/>
                  </w:rPr>
                  <m:t>λ</m:t>
                </m:r>
              </m:e>
              <m:sub>
                <m:r>
                  <w:rPr>
                    <w:rFonts w:ascii="Cambria Math" w:eastAsia="Arial" w:hAnsi="Cambria Math" w:cs="Arial"/>
                    <w:color w:val="000000" w:themeColor="text1"/>
                  </w:rPr>
                  <m:t>i,j</m:t>
                </m:r>
              </m:sub>
              <m:sup>
                <m:r>
                  <w:rPr>
                    <w:rFonts w:ascii="Cambria Math" w:eastAsia="Arial" w:hAnsi="Cambria Math" w:cs="Arial"/>
                    <w:color w:val="000000" w:themeColor="text1"/>
                  </w:rPr>
                  <m:t>FEV</m:t>
                </m:r>
              </m:sup>
            </m:sSubSup>
          </m:e>
        </m:d>
      </m:oMath>
      <w:r w:rsidR="006C59DF" w:rsidRPr="00306A65">
        <w:rPr>
          <w:rFonts w:eastAsia="Arial" w:cs="Arial"/>
          <w:color w:val="000000" w:themeColor="text1"/>
        </w:rPr>
        <w:t>,</w:t>
      </w:r>
    </w:p>
    <w:p w14:paraId="156DB21A" w14:textId="77777777" w:rsidR="006C59DF" w:rsidRPr="00306A65" w:rsidRDefault="006C59DF" w:rsidP="006C59DF">
      <w:pPr>
        <w:spacing w:before="120" w:after="240" w:line="276" w:lineRule="auto"/>
        <w:rPr>
          <w:rFonts w:eastAsia="Arial" w:cs="Arial"/>
          <w:color w:val="000000" w:themeColor="text1"/>
        </w:rPr>
      </w:pPr>
      <w:r w:rsidRPr="00306A65">
        <w:rPr>
          <w:rFonts w:eastAsia="Arial" w:cs="Arial"/>
          <w:color w:val="000000" w:themeColor="text1"/>
        </w:rPr>
        <w:t xml:space="preserve">where </w:t>
      </w:r>
      <m:oMath>
        <m:sSubSup>
          <m:sSubSupPr>
            <m:ctrlPr>
              <w:rPr>
                <w:rFonts w:ascii="Cambria Math" w:hAnsi="Cambria Math" w:cs="Arial"/>
                <w:i/>
                <w:color w:val="202124"/>
                <w:shd w:val="clear" w:color="auto" w:fill="FFFFFF"/>
              </w:rPr>
            </m:ctrlPr>
          </m:sSubSupPr>
          <m:e>
            <m:r>
              <w:rPr>
                <w:rFonts w:ascii="Cambria Math" w:hAnsi="Cambria Math" w:cs="Arial"/>
                <w:color w:val="202124"/>
                <w:shd w:val="clear" w:color="auto" w:fill="FFFFFF"/>
              </w:rPr>
              <m:t>P</m:t>
            </m:r>
          </m:e>
          <m:sub>
            <m:r>
              <w:rPr>
                <w:rFonts w:ascii="Cambria Math" w:hAnsi="Cambria Math" w:cs="Arial"/>
                <w:color w:val="202124"/>
                <w:shd w:val="clear" w:color="auto" w:fill="FFFFFF"/>
              </w:rPr>
              <m:t>j</m:t>
            </m:r>
          </m:sub>
          <m:sup>
            <m:r>
              <w:rPr>
                <w:rFonts w:ascii="Cambria Math" w:hAnsi="Cambria Math" w:cs="Arial"/>
                <w:color w:val="202124"/>
                <w:shd w:val="clear" w:color="auto" w:fill="FFFFFF"/>
              </w:rPr>
              <m:t>TEST</m:t>
            </m:r>
          </m:sup>
        </m:sSubSup>
      </m:oMath>
      <w:r w:rsidRPr="00306A65">
        <w:rPr>
          <w:rFonts w:eastAsia="Arial" w:cs="Arial"/>
          <w:color w:val="202124"/>
          <w:shd w:val="clear" w:color="auto" w:fill="FFFFFF"/>
        </w:rPr>
        <w:t xml:space="preserve"> </w:t>
      </w:r>
      <w:r w:rsidRPr="00306A65">
        <w:rPr>
          <w:rFonts w:eastAsia="Arial" w:cs="Arial"/>
          <w:color w:val="000000" w:themeColor="text1"/>
        </w:rPr>
        <w:t xml:space="preserve">is the probability that a febrile individual is tested for malaria at facility </w:t>
      </w:r>
      <m:oMath>
        <m:r>
          <w:rPr>
            <w:rFonts w:ascii="Cambria Math" w:hAnsi="Cambria Math" w:cs="Arial"/>
            <w:color w:val="202124"/>
            <w:shd w:val="clear" w:color="auto" w:fill="FFFFFF"/>
          </w:rPr>
          <m:t>j</m:t>
        </m:r>
      </m:oMath>
      <w:r w:rsidRPr="00306A65">
        <w:rPr>
          <w:rFonts w:eastAsia="Arial" w:cs="Arial"/>
          <w:color w:val="000000" w:themeColor="text1"/>
        </w:rPr>
        <w:t>.</w:t>
      </w:r>
    </w:p>
    <w:p w14:paraId="2C565009" w14:textId="77777777" w:rsidR="006C59DF" w:rsidRPr="00306A65" w:rsidRDefault="006C59DF" w:rsidP="006C59DF">
      <w:pPr>
        <w:spacing w:before="120" w:after="240" w:line="276" w:lineRule="auto"/>
        <w:rPr>
          <w:rFonts w:eastAsia="Arial" w:cs="Arial"/>
          <w:color w:val="000000" w:themeColor="text1"/>
        </w:rPr>
      </w:pPr>
      <w:r w:rsidRPr="00306A65">
        <w:rPr>
          <w:rFonts w:eastAsia="Arial" w:cs="Arial"/>
          <w:color w:val="000000" w:themeColor="text1"/>
        </w:rPr>
        <w:t>Finally, the number of confirmed malaria cases is modelled as:</w:t>
      </w:r>
    </w:p>
    <w:p w14:paraId="064932C7" w14:textId="77777777" w:rsidR="006C59DF" w:rsidRPr="00306A65" w:rsidRDefault="00000000" w:rsidP="006C59DF">
      <w:pPr>
        <w:spacing w:before="120" w:after="240" w:line="276" w:lineRule="auto"/>
        <w:jc w:val="center"/>
        <w:rPr>
          <w:rFonts w:eastAsia="Arial" w:cs="Arial"/>
          <w:bCs/>
          <w:iCs/>
          <w:color w:val="000000" w:themeColor="text1"/>
        </w:rPr>
      </w:pPr>
      <m:oMath>
        <m:sSub>
          <m:sSubPr>
            <m:ctrlPr>
              <w:rPr>
                <w:rFonts w:ascii="Cambria Math" w:eastAsia="Arial" w:hAnsi="Cambria Math" w:cs="Arial"/>
                <w:bCs/>
                <w:i/>
                <w:iCs/>
                <w:color w:val="000000" w:themeColor="text1"/>
              </w:rPr>
            </m:ctrlPr>
          </m:sSubPr>
          <m:e>
            <m:r>
              <w:rPr>
                <w:rFonts w:ascii="Cambria Math" w:eastAsia="Arial" w:hAnsi="Cambria Math" w:cs="Arial"/>
                <w:color w:val="000000" w:themeColor="text1"/>
              </w:rPr>
              <m:t>C</m:t>
            </m:r>
          </m:e>
          <m:sub>
            <m:r>
              <w:rPr>
                <w:rFonts w:ascii="Cambria Math" w:eastAsia="Arial" w:hAnsi="Cambria Math" w:cs="Arial"/>
                <w:color w:val="000000" w:themeColor="text1"/>
              </w:rPr>
              <m:t>i,</m:t>
            </m:r>
            <m:r>
              <w:rPr>
                <w:rFonts w:ascii="Cambria Math" w:eastAsia="Arial" w:hAnsi="Cambria Math" w:cs="Arial"/>
                <w:color w:val="000000" w:themeColor="text1"/>
                <w:lang w:val="it-IT"/>
              </w:rPr>
              <m:t>j</m:t>
            </m:r>
          </m:sub>
        </m:sSub>
        <m:r>
          <w:rPr>
            <w:rFonts w:ascii="Cambria Math" w:eastAsia="Arial" w:hAnsi="Cambria Math" w:cs="Arial"/>
            <w:color w:val="000000" w:themeColor="text1"/>
          </w:rPr>
          <m:t>~Poisson</m:t>
        </m:r>
        <m:d>
          <m:dPr>
            <m:ctrlPr>
              <w:rPr>
                <w:rFonts w:ascii="Cambria Math" w:eastAsia="Arial" w:hAnsi="Cambria Math" w:cs="Arial"/>
                <w:bCs/>
                <w:i/>
                <w:iCs/>
                <w:color w:val="000000" w:themeColor="text1"/>
              </w:rPr>
            </m:ctrlPr>
          </m:dPr>
          <m:e>
            <m:sSubSup>
              <m:sSubSupPr>
                <m:ctrlPr>
                  <w:rPr>
                    <w:rFonts w:ascii="Cambria Math" w:eastAsia="Arial" w:hAnsi="Cambria Math" w:cs="Arial"/>
                    <w:i/>
                    <w:color w:val="000000" w:themeColor="text1"/>
                  </w:rPr>
                </m:ctrlPr>
              </m:sSubSupPr>
              <m:e>
                <m:r>
                  <w:rPr>
                    <w:rFonts w:ascii="Cambria Math" w:eastAsia="Arial" w:hAnsi="Cambria Math" w:cs="Arial"/>
                    <w:color w:val="000000" w:themeColor="text1"/>
                  </w:rPr>
                  <m:t>λ</m:t>
                </m:r>
              </m:e>
              <m:sub>
                <m:r>
                  <w:rPr>
                    <w:rFonts w:ascii="Cambria Math" w:eastAsia="Arial" w:hAnsi="Cambria Math" w:cs="Arial"/>
                    <w:color w:val="000000" w:themeColor="text1"/>
                  </w:rPr>
                  <m:t>i,j</m:t>
                </m:r>
              </m:sub>
              <m:sup>
                <m:r>
                  <w:rPr>
                    <w:rFonts w:ascii="Cambria Math" w:eastAsia="Arial" w:hAnsi="Cambria Math" w:cs="Arial"/>
                    <w:color w:val="000000" w:themeColor="text1"/>
                  </w:rPr>
                  <m:t>CONF</m:t>
                </m:r>
              </m:sup>
            </m:sSubSup>
          </m:e>
        </m:d>
      </m:oMath>
      <w:r w:rsidR="006C59DF" w:rsidRPr="00306A65">
        <w:rPr>
          <w:rFonts w:eastAsia="Arial" w:cs="Arial"/>
          <w:bCs/>
          <w:iCs/>
          <w:color w:val="000000" w:themeColor="text1"/>
        </w:rPr>
        <w:t>,</w:t>
      </w:r>
    </w:p>
    <w:p w14:paraId="412DB709" w14:textId="77777777" w:rsidR="006C59DF" w:rsidRPr="00306A65" w:rsidRDefault="006C59DF" w:rsidP="006C59DF">
      <w:pPr>
        <w:spacing w:before="120" w:after="240" w:line="276" w:lineRule="auto"/>
        <w:rPr>
          <w:rFonts w:eastAsia="Arial" w:cs="Arial"/>
          <w:color w:val="000000" w:themeColor="text1"/>
        </w:rPr>
      </w:pPr>
      <w:proofErr w:type="gramStart"/>
      <w:r w:rsidRPr="00306A65">
        <w:rPr>
          <w:rFonts w:eastAsia="Arial" w:cs="Arial"/>
          <w:bCs/>
          <w:iCs/>
          <w:color w:val="000000" w:themeColor="text1"/>
        </w:rPr>
        <w:t>with</w:t>
      </w:r>
      <w:proofErr w:type="gramEnd"/>
      <w:r w:rsidRPr="00306A65">
        <w:rPr>
          <w:rFonts w:eastAsia="Arial" w:cs="Arial"/>
          <w:bCs/>
          <w:iCs/>
          <w:color w:val="000000" w:themeColor="text1"/>
        </w:rPr>
        <w:t xml:space="preserve"> </w:t>
      </w:r>
    </w:p>
    <w:p w14:paraId="11D3BDB2" w14:textId="77777777" w:rsidR="006C59DF" w:rsidRPr="00306A65" w:rsidRDefault="00000000" w:rsidP="006C59DF">
      <w:pPr>
        <w:spacing w:before="120" w:after="240" w:line="276" w:lineRule="auto"/>
        <w:rPr>
          <w:rFonts w:eastAsia="Arial" w:cs="Arial"/>
          <w:b/>
          <w:bCs/>
          <w:i/>
          <w:iCs/>
          <w:color w:val="000000" w:themeColor="text1"/>
        </w:rPr>
      </w:pPr>
      <m:oMathPara>
        <m:oMath>
          <m:sSubSup>
            <m:sSubSupPr>
              <m:ctrlPr>
                <w:rPr>
                  <w:rFonts w:ascii="Cambria Math" w:eastAsia="Arial" w:hAnsi="Cambria Math" w:cs="Arial"/>
                  <w:i/>
                  <w:color w:val="000000" w:themeColor="text1"/>
                </w:rPr>
              </m:ctrlPr>
            </m:sSubSupPr>
            <m:e>
              <m:r>
                <w:rPr>
                  <w:rFonts w:ascii="Cambria Math" w:eastAsia="Arial" w:hAnsi="Cambria Math" w:cs="Arial"/>
                  <w:color w:val="000000" w:themeColor="text1"/>
                </w:rPr>
                <m:t>λ</m:t>
              </m:r>
            </m:e>
            <m:sub>
              <m:r>
                <w:rPr>
                  <w:rFonts w:ascii="Cambria Math" w:eastAsia="Arial" w:hAnsi="Cambria Math" w:cs="Arial"/>
                  <w:color w:val="000000" w:themeColor="text1"/>
                </w:rPr>
                <m:t>i,j</m:t>
              </m:r>
            </m:sub>
            <m:sup>
              <m:r>
                <w:rPr>
                  <w:rFonts w:ascii="Cambria Math" w:eastAsia="Arial" w:hAnsi="Cambria Math" w:cs="Arial"/>
                  <w:color w:val="000000" w:themeColor="text1"/>
                </w:rPr>
                <m:t>CONF</m:t>
              </m:r>
            </m:sup>
          </m:sSubSup>
          <m:r>
            <w:rPr>
              <w:rFonts w:ascii="Cambria Math" w:eastAsia="Arial" w:hAnsi="Cambria Math" w:cs="Arial"/>
              <w:color w:val="000000" w:themeColor="text1"/>
            </w:rPr>
            <m:t>=</m:t>
          </m:r>
          <m:sSup>
            <m:sSupPr>
              <m:ctrlPr>
                <w:rPr>
                  <w:rFonts w:ascii="Cambria Math" w:hAnsi="Cambria Math" w:cs="Arial"/>
                  <w:i/>
                  <w:iCs/>
                  <w:color w:val="202124"/>
                  <w:shd w:val="clear" w:color="auto" w:fill="FFFFFF"/>
                </w:rPr>
              </m:ctrlPr>
            </m:sSupPr>
            <m:e>
              <m:r>
                <w:rPr>
                  <w:rFonts w:ascii="Cambria Math" w:hAnsi="Cambria Math" w:cs="Arial"/>
                  <w:color w:val="202124"/>
                  <w:shd w:val="clear" w:color="auto" w:fill="FFFFFF"/>
                </w:rPr>
                <m:t>P</m:t>
              </m:r>
            </m:e>
            <m:sup>
              <m:r>
                <w:rPr>
                  <w:rFonts w:ascii="Cambria Math" w:hAnsi="Cambria Math" w:cs="Arial"/>
                  <w:color w:val="202124"/>
                  <w:shd w:val="clear" w:color="auto" w:fill="FFFFFF"/>
                </w:rPr>
                <m:t>CLINICAL</m:t>
              </m:r>
            </m:sup>
          </m:sSup>
          <m:sSubSup>
            <m:sSubSupPr>
              <m:ctrlPr>
                <w:rPr>
                  <w:rFonts w:ascii="Cambria Math" w:hAnsi="Cambria Math" w:cs="Arial"/>
                  <w:i/>
                  <w:color w:val="202124"/>
                  <w:shd w:val="clear" w:color="auto" w:fill="FFFFFF"/>
                </w:rPr>
              </m:ctrlPr>
            </m:sSubSupPr>
            <m:e>
              <m:r>
                <w:rPr>
                  <w:rFonts w:ascii="Cambria Math" w:hAnsi="Cambria Math" w:cs="Arial"/>
                  <w:color w:val="202124"/>
                  <w:shd w:val="clear" w:color="auto" w:fill="FFFFFF"/>
                </w:rPr>
                <m:t>P</m:t>
              </m:r>
            </m:e>
            <m:sub>
              <m:r>
                <w:rPr>
                  <w:rFonts w:ascii="Cambria Math" w:hAnsi="Cambria Math" w:cs="Arial"/>
                  <w:color w:val="202124"/>
                  <w:shd w:val="clear" w:color="auto" w:fill="FFFFFF"/>
                </w:rPr>
                <m:t>j</m:t>
              </m:r>
            </m:sub>
            <m:sup>
              <m:r>
                <w:rPr>
                  <w:rFonts w:ascii="Cambria Math" w:hAnsi="Cambria Math" w:cs="Arial"/>
                  <w:color w:val="202124"/>
                  <w:shd w:val="clear" w:color="auto" w:fill="FFFFFF"/>
                </w:rPr>
                <m:t>TEST</m:t>
              </m:r>
            </m:sup>
          </m:sSubSup>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lang w:val="it-IT"/>
                </w:rPr>
                <m:t>M</m:t>
              </m:r>
            </m:e>
            <m:sub>
              <m:r>
                <w:rPr>
                  <w:rFonts w:ascii="Cambria Math" w:hAnsi="Cambria Math" w:cs="Arial"/>
                  <w:color w:val="202124"/>
                  <w:shd w:val="clear" w:color="auto" w:fill="FFFFFF"/>
                  <w:lang w:val="it-IT"/>
                </w:rPr>
                <m:t>i,j</m:t>
              </m:r>
            </m:sub>
          </m:sSub>
        </m:oMath>
      </m:oMathPara>
    </w:p>
    <w:p w14:paraId="03211EF3" w14:textId="642AB16E" w:rsidR="006C59DF" w:rsidRPr="00306A65" w:rsidRDefault="00603CE9" w:rsidP="006C59DF">
      <w:pPr>
        <w:spacing w:after="240" w:line="276" w:lineRule="auto"/>
        <w:rPr>
          <w:u w:val="single"/>
        </w:rPr>
      </w:pPr>
      <w:r>
        <w:rPr>
          <w:rFonts w:eastAsia="Arial"/>
          <w:color w:val="000000" w:themeColor="text1"/>
          <w:u w:val="single"/>
        </w:rPr>
        <w:t>Probability of f</w:t>
      </w:r>
      <w:r w:rsidR="006C59DF" w:rsidRPr="00306A65">
        <w:rPr>
          <w:rFonts w:eastAsia="Arial"/>
          <w:color w:val="000000" w:themeColor="text1"/>
          <w:u w:val="single"/>
        </w:rPr>
        <w:t xml:space="preserve">reedom </w:t>
      </w:r>
      <w:r>
        <w:rPr>
          <w:rFonts w:eastAsia="Arial"/>
          <w:color w:val="000000" w:themeColor="text1"/>
          <w:u w:val="single"/>
        </w:rPr>
        <w:t>f</w:t>
      </w:r>
      <w:r w:rsidR="006C59DF" w:rsidRPr="00306A65">
        <w:rPr>
          <w:rFonts w:eastAsia="Arial"/>
          <w:color w:val="000000" w:themeColor="text1"/>
          <w:u w:val="single"/>
        </w:rPr>
        <w:t xml:space="preserve">rom </w:t>
      </w:r>
      <w:r>
        <w:rPr>
          <w:rFonts w:eastAsia="Arial"/>
          <w:color w:val="000000" w:themeColor="text1"/>
          <w:u w:val="single"/>
        </w:rPr>
        <w:t>i</w:t>
      </w:r>
      <w:r w:rsidR="006C59DF" w:rsidRPr="00306A65">
        <w:rPr>
          <w:rFonts w:eastAsia="Arial"/>
          <w:color w:val="000000" w:themeColor="text1"/>
          <w:u w:val="single"/>
        </w:rPr>
        <w:t>nfection</w:t>
      </w:r>
    </w:p>
    <w:p w14:paraId="28ACF61E" w14:textId="77777777" w:rsidR="006C59DF" w:rsidRPr="00306A65" w:rsidRDefault="006C59DF" w:rsidP="006C59DF">
      <w:pPr>
        <w:spacing w:after="240" w:line="276" w:lineRule="auto"/>
      </w:pPr>
      <w:r w:rsidRPr="00306A65">
        <w:t xml:space="preserve">We jointly modelled the latent state and observation processes in an integrated Bayesian framework. Using the joint posterior distribution of all imputed values of </w:t>
      </w:r>
      <m:oMath>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lang w:val="it-IT"/>
              </w:rPr>
              <m:t>M</m:t>
            </m:r>
          </m:e>
          <m:sub>
            <m:r>
              <w:rPr>
                <w:rFonts w:ascii="Cambria Math" w:hAnsi="Cambria Math" w:cs="Arial"/>
                <w:color w:val="202124"/>
                <w:shd w:val="clear" w:color="auto" w:fill="FFFFFF"/>
                <w:lang w:val="it-IT"/>
              </w:rPr>
              <m:t>i</m:t>
            </m:r>
            <m:r>
              <w:rPr>
                <w:rFonts w:ascii="Cambria Math" w:hAnsi="Cambria Math" w:cs="Arial"/>
                <w:color w:val="202124"/>
                <w:shd w:val="clear" w:color="auto" w:fill="FFFFFF"/>
              </w:rPr>
              <m:t>,</m:t>
            </m:r>
            <m:r>
              <w:rPr>
                <w:rFonts w:ascii="Cambria Math" w:hAnsi="Cambria Math" w:cs="Arial"/>
                <w:color w:val="202124"/>
                <w:shd w:val="clear" w:color="auto" w:fill="FFFFFF"/>
                <w:lang w:val="it-IT"/>
              </w:rPr>
              <m:t>j</m:t>
            </m:r>
          </m:sub>
        </m:sSub>
      </m:oMath>
      <w:r w:rsidRPr="00306A65">
        <w:rPr>
          <w:rFonts w:ascii="Arial" w:hAnsi="Arial" w:cs="Arial"/>
        </w:rPr>
        <w:t>​</w:t>
      </w:r>
      <w:r w:rsidRPr="00306A65">
        <w:t xml:space="preserve"> (across time and facilities), we estimated the probability of freedom from infection (</w:t>
      </w:r>
      <w:proofErr w:type="spellStart"/>
      <w:r w:rsidRPr="00306A65">
        <w:t>PFree</w:t>
      </w:r>
      <w:proofErr w:type="spellEnd"/>
      <w:r w:rsidRPr="00306A65">
        <w:t>) at given time points and under specified thresholds.</w:t>
      </w:r>
    </w:p>
    <w:p w14:paraId="0E6AAC54" w14:textId="00EF46AA" w:rsidR="006C59DF" w:rsidRPr="00306A65" w:rsidRDefault="00603CE9" w:rsidP="006C59DF">
      <w:pPr>
        <w:spacing w:after="240" w:line="276" w:lineRule="auto"/>
      </w:pPr>
      <m:oMath>
        <m:sSup>
          <m:sSupPr>
            <m:ctrlPr>
              <w:rPr>
                <w:rFonts w:ascii="Cambria Math" w:hAnsi="Cambria Math"/>
                <w:i/>
              </w:rPr>
            </m:ctrlPr>
          </m:sSupPr>
          <m:e>
            <m:r>
              <w:rPr>
                <w:rFonts w:ascii="Cambria Math" w:hAnsi="Cambria Math"/>
              </w:rPr>
              <m:t>P</m:t>
            </m:r>
          </m:e>
          <m:sup>
            <m:r>
              <w:rPr>
                <w:rFonts w:ascii="Cambria Math" w:hAnsi="Cambria Math"/>
              </w:rPr>
              <m:t>FREE</m:t>
            </m:r>
          </m:sup>
        </m:sSup>
      </m:oMath>
      <w:r>
        <w:rPr>
          <w:rFonts w:eastAsiaTheme="minorEastAsia"/>
        </w:rPr>
        <w:t xml:space="preserve"> </w:t>
      </w:r>
      <w:r w:rsidR="006C59DF" w:rsidRPr="00306A65">
        <w:t xml:space="preserve">is defined as the proportion of posterior samples in which infection levels fall below a pre-defined threshold. For example, in this study we defined elimination as achieving fewer than 1 infection per 10,000 people. The </w:t>
      </w:r>
      <m:oMath>
        <m:sSup>
          <m:sSupPr>
            <m:ctrlPr>
              <w:rPr>
                <w:rFonts w:ascii="Cambria Math" w:hAnsi="Cambria Math"/>
                <w:i/>
              </w:rPr>
            </m:ctrlPr>
          </m:sSupPr>
          <m:e>
            <m:r>
              <w:rPr>
                <w:rFonts w:ascii="Cambria Math" w:hAnsi="Cambria Math"/>
              </w:rPr>
              <m:t>P</m:t>
            </m:r>
          </m:e>
          <m:sup>
            <m:r>
              <w:rPr>
                <w:rFonts w:ascii="Cambria Math" w:hAnsi="Cambria Math"/>
              </w:rPr>
              <m:t>FREE</m:t>
            </m:r>
          </m:sup>
        </m:sSup>
      </m:oMath>
      <w:r>
        <w:rPr>
          <w:rFonts w:eastAsiaTheme="minorEastAsia"/>
        </w:rPr>
        <w:t xml:space="preserve"> </w:t>
      </w:r>
      <w:r w:rsidR="006C59DF" w:rsidRPr="00306A65">
        <w:t xml:space="preserve">metric therefore represents the proportion of the posterior distribution of </w:t>
      </w:r>
      <m:oMath>
        <m:sSub>
          <m:sSubPr>
            <m:ctrlPr>
              <w:rPr>
                <w:rFonts w:ascii="Cambria Math" w:hAnsi="Cambria Math" w:cs="Arial"/>
                <w:i/>
                <w:iCs/>
                <w:color w:val="202124"/>
                <w:shd w:val="clear" w:color="auto" w:fill="FFFFFF"/>
              </w:rPr>
            </m:ctrlPr>
          </m:sSubPr>
          <m:e>
            <m:r>
              <w:rPr>
                <w:rFonts w:ascii="Cambria Math" w:hAnsi="Cambria Math" w:cs="Arial"/>
                <w:color w:val="202124"/>
                <w:shd w:val="clear" w:color="auto" w:fill="FFFFFF"/>
                <w:lang w:val="it-IT"/>
              </w:rPr>
              <m:t>M</m:t>
            </m:r>
          </m:e>
          <m:sub>
            <m:r>
              <w:rPr>
                <w:rFonts w:ascii="Cambria Math" w:hAnsi="Cambria Math" w:cs="Arial"/>
                <w:color w:val="202124"/>
                <w:shd w:val="clear" w:color="auto" w:fill="FFFFFF"/>
                <w:lang w:val="it-IT"/>
              </w:rPr>
              <m:t>i</m:t>
            </m:r>
            <m:r>
              <w:rPr>
                <w:rFonts w:ascii="Cambria Math" w:hAnsi="Cambria Math" w:cs="Arial"/>
                <w:color w:val="202124"/>
                <w:shd w:val="clear" w:color="auto" w:fill="FFFFFF"/>
              </w:rPr>
              <m:t>,</m:t>
            </m:r>
            <m:r>
              <w:rPr>
                <w:rFonts w:ascii="Cambria Math" w:hAnsi="Cambria Math" w:cs="Arial"/>
                <w:color w:val="202124"/>
                <w:shd w:val="clear" w:color="auto" w:fill="FFFFFF"/>
                <w:lang w:val="it-IT"/>
              </w:rPr>
              <m:t>j</m:t>
            </m:r>
          </m:sub>
        </m:sSub>
      </m:oMath>
      <w:r w:rsidR="006C59DF" w:rsidRPr="00306A65">
        <w:rPr>
          <w:rFonts w:ascii="Arial" w:hAnsi="Arial" w:cs="Arial"/>
        </w:rPr>
        <w:t>​</w:t>
      </w:r>
      <w:r w:rsidR="006C59DF" w:rsidRPr="00306A65">
        <w:t xml:space="preserve"> that lies below this threshold, with values ranging from 0 (no support for elimination) to 1 (full support).</w:t>
      </w:r>
    </w:p>
    <w:p w14:paraId="2D61CB50" w14:textId="2488B309" w:rsidR="006C59DF" w:rsidRPr="00306A65" w:rsidRDefault="006C59DF" w:rsidP="006C59DF">
      <w:pPr>
        <w:spacing w:after="240" w:line="276" w:lineRule="auto"/>
        <w:rPr>
          <w:u w:val="single"/>
        </w:rPr>
      </w:pPr>
      <w:r w:rsidRPr="00306A65">
        <w:rPr>
          <w:u w:val="single"/>
        </w:rPr>
        <w:t xml:space="preserve">Parameter </w:t>
      </w:r>
      <w:r w:rsidR="00603CE9">
        <w:rPr>
          <w:u w:val="single"/>
        </w:rPr>
        <w:t>e</w:t>
      </w:r>
      <w:r w:rsidRPr="00306A65">
        <w:rPr>
          <w:u w:val="single"/>
        </w:rPr>
        <w:t xml:space="preserve">stimation and </w:t>
      </w:r>
      <w:r w:rsidR="00603CE9">
        <w:rPr>
          <w:u w:val="single"/>
        </w:rPr>
        <w:t>c</w:t>
      </w:r>
      <w:r w:rsidRPr="00306A65">
        <w:rPr>
          <w:u w:val="single"/>
        </w:rPr>
        <w:t xml:space="preserve">ovariate </w:t>
      </w:r>
      <w:r w:rsidR="00603CE9">
        <w:rPr>
          <w:u w:val="single"/>
        </w:rPr>
        <w:t>m</w:t>
      </w:r>
      <w:r w:rsidRPr="00306A65">
        <w:rPr>
          <w:u w:val="single"/>
        </w:rPr>
        <w:t>odel</w:t>
      </w:r>
      <w:r w:rsidR="00603CE9">
        <w:rPr>
          <w:u w:val="single"/>
        </w:rPr>
        <w:t>l</w:t>
      </w:r>
      <w:r w:rsidRPr="00306A65">
        <w:rPr>
          <w:u w:val="single"/>
        </w:rPr>
        <w:t>ing</w:t>
      </w:r>
    </w:p>
    <w:p w14:paraId="1BC189C4" w14:textId="77777777" w:rsidR="006C59DF" w:rsidRPr="002F7534" w:rsidRDefault="006C59DF" w:rsidP="006C59DF">
      <w:pPr>
        <w:spacing w:after="240" w:line="276" w:lineRule="auto"/>
        <w:jc w:val="both"/>
      </w:pPr>
      <w:r w:rsidRPr="002F7534">
        <w:t>Parameters were estimated using a combination of expert-elicited priors, literature-informed priors, and empirical data.</w:t>
      </w:r>
    </w:p>
    <w:p w14:paraId="6ACEE58A" w14:textId="77777777" w:rsidR="006C59DF" w:rsidRPr="00306A65" w:rsidRDefault="006C59DF" w:rsidP="006C59DF">
      <w:pPr>
        <w:spacing w:after="240" w:line="276" w:lineRule="auto"/>
        <w:jc w:val="both"/>
      </w:pPr>
      <w:r w:rsidRPr="002F7534">
        <w:t>The probability of care-seeking at facility</w:t>
      </w:r>
      <w:r w:rsidRPr="00306A65">
        <w:t xml:space="preserve"> </w:t>
      </w:r>
      <m:oMath>
        <m:r>
          <w:rPr>
            <w:rFonts w:ascii="Cambria Math" w:hAnsi="Cambria Math"/>
          </w:rPr>
          <m:t>j</m:t>
        </m:r>
      </m:oMath>
      <w:r w:rsidRPr="002F7534">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j</m:t>
            </m:r>
          </m:sub>
          <m:sup>
            <m:r>
              <w:rPr>
                <w:rFonts w:ascii="Cambria Math" w:hAnsi="Cambria Math"/>
              </w:rPr>
              <m:t>SEEK</m:t>
            </m:r>
          </m:sup>
        </m:sSubSup>
      </m:oMath>
      <w:r w:rsidRPr="002F7534">
        <w:rPr>
          <w:rFonts w:ascii="Arial" w:hAnsi="Arial" w:cs="Arial"/>
        </w:rPr>
        <w:t>​</w:t>
      </w:r>
      <w:r w:rsidRPr="002F7534">
        <w:t>, was modelled as a logistic regression on facility-level characteristics:</w:t>
      </w:r>
    </w:p>
    <w:p w14:paraId="1E48C7F6" w14:textId="77777777" w:rsidR="006C59DF" w:rsidRPr="002F7534" w:rsidRDefault="006C59DF" w:rsidP="006C59DF">
      <w:pPr>
        <w:spacing w:after="240" w:line="276" w:lineRule="auto"/>
        <w:jc w:val="center"/>
      </w:pPr>
      <m:oMathPara>
        <m:oMath>
          <m:r>
            <w:rPr>
              <w:rFonts w:ascii="Cambria Math" w:hAnsi="Cambria Math"/>
            </w:rPr>
            <m:t>logit</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j</m:t>
                  </m:r>
                </m:sub>
                <m:sup>
                  <m:r>
                    <w:rPr>
                      <w:rFonts w:ascii="Cambria Math" w:hAnsi="Cambria Math"/>
                    </w:rPr>
                    <m:t>SEEK</m:t>
                  </m:r>
                </m:sup>
              </m:sSubSup>
            </m:e>
          </m:d>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r>
                    <w:rPr>
                      <w:rFonts w:ascii="Cambria Math" w:hAnsi="Cambria Math"/>
                    </w:rPr>
                    <m:t>β</m:t>
                  </m:r>
                </m:e>
                <m:sub>
                  <m:r>
                    <w:rPr>
                      <w:rFonts w:ascii="Cambria Math" w:hAnsi="Cambria Math"/>
                    </w:rPr>
                    <m:t>k</m:t>
                  </m:r>
                </m:sub>
              </m:sSub>
              <m:sSub>
                <m:sSubPr>
                  <m:ctrlPr>
                    <w:rPr>
                      <w:rFonts w:ascii="Cambria Math" w:hAnsi="Cambria Math"/>
                      <w:i/>
                    </w:rPr>
                  </m:ctrlPr>
                </m:sSubPr>
                <m:e>
                  <m:r>
                    <w:rPr>
                      <w:rFonts w:ascii="Cambria Math" w:hAnsi="Cambria Math"/>
                    </w:rPr>
                    <m:t>X</m:t>
                  </m:r>
                </m:e>
                <m:sub>
                  <m:r>
                    <w:rPr>
                      <w:rFonts w:ascii="Cambria Math" w:hAnsi="Cambria Math"/>
                    </w:rPr>
                    <m:t xml:space="preserve">j,k </m:t>
                  </m:r>
                </m:sub>
              </m:sSub>
              <m:r>
                <w:rPr>
                  <w:rFonts w:ascii="Cambria Math" w:hAnsi="Cambria Math"/>
                </w:rPr>
                <m:t xml:space="preserve"> </m:t>
              </m:r>
            </m:e>
          </m:nary>
        </m:oMath>
      </m:oMathPara>
    </w:p>
    <w:p w14:paraId="692BE056" w14:textId="77777777" w:rsidR="006C59DF" w:rsidRPr="002F7534" w:rsidRDefault="006C59DF" w:rsidP="006C59DF">
      <w:pPr>
        <w:spacing w:after="240" w:line="276" w:lineRule="auto"/>
        <w:jc w:val="both"/>
      </w:pPr>
      <w:r w:rsidRPr="002F7534">
        <w:lastRenderedPageBreak/>
        <w:t xml:space="preserve">where </w:t>
      </w:r>
      <m:oMath>
        <m:sSub>
          <m:sSubPr>
            <m:ctrlPr>
              <w:rPr>
                <w:rFonts w:ascii="Cambria Math" w:hAnsi="Cambria Math"/>
                <w:i/>
              </w:rPr>
            </m:ctrlPr>
          </m:sSubPr>
          <m:e>
            <m:r>
              <w:rPr>
                <w:rFonts w:ascii="Cambria Math" w:hAnsi="Cambria Math"/>
              </w:rPr>
              <m:t>X</m:t>
            </m:r>
          </m:e>
          <m:sub>
            <m:r>
              <w:rPr>
                <w:rFonts w:ascii="Cambria Math" w:hAnsi="Cambria Math"/>
              </w:rPr>
              <m:t xml:space="preserve">j,k </m:t>
            </m:r>
          </m:sub>
        </m:sSub>
      </m:oMath>
      <w:r w:rsidRPr="002F7534">
        <w:rPr>
          <w:rFonts w:ascii="Arial" w:hAnsi="Arial" w:cs="Arial"/>
        </w:rPr>
        <w:t>​</w:t>
      </w:r>
      <w:r w:rsidRPr="002F7534">
        <w:t xml:space="preserve"> are covariates describing access and service provision (e.g. drug availability, history of stock-outs, and accessibility).</w:t>
      </w:r>
    </w:p>
    <w:p w14:paraId="534A3761" w14:textId="77777777" w:rsidR="006C59DF" w:rsidRPr="002F7534" w:rsidRDefault="006C59DF" w:rsidP="006C59DF">
      <w:pPr>
        <w:spacing w:after="240" w:line="276" w:lineRule="auto"/>
        <w:jc w:val="both"/>
      </w:pPr>
      <w:r w:rsidRPr="002F7534">
        <w:t xml:space="preserve">The probability of being tested for malaria, </w:t>
      </w:r>
      <m:oMath>
        <m:sSubSup>
          <m:sSubSupPr>
            <m:ctrlPr>
              <w:rPr>
                <w:rFonts w:ascii="Cambria Math" w:hAnsi="Cambria Math"/>
                <w:i/>
              </w:rPr>
            </m:ctrlPr>
          </m:sSubSupPr>
          <m:e>
            <m:r>
              <w:rPr>
                <w:rFonts w:ascii="Cambria Math" w:hAnsi="Cambria Math"/>
              </w:rPr>
              <m:t>P</m:t>
            </m:r>
          </m:e>
          <m:sub>
            <m:r>
              <w:rPr>
                <w:rFonts w:ascii="Cambria Math" w:hAnsi="Cambria Math"/>
              </w:rPr>
              <m:t>j</m:t>
            </m:r>
          </m:sub>
          <m:sup>
            <m:r>
              <w:rPr>
                <w:rFonts w:ascii="Cambria Math" w:hAnsi="Cambria Math"/>
              </w:rPr>
              <m:t>TEST</m:t>
            </m:r>
          </m:sup>
        </m:sSubSup>
      </m:oMath>
      <w:r w:rsidRPr="002F7534">
        <w:rPr>
          <w:rFonts w:ascii="Arial" w:hAnsi="Arial" w:cs="Arial"/>
        </w:rPr>
        <w:t>​</w:t>
      </w:r>
      <w:r w:rsidRPr="002F7534">
        <w:t>, was also modelled as a logistic regression:</w:t>
      </w:r>
    </w:p>
    <w:p w14:paraId="613B72E8" w14:textId="77777777" w:rsidR="006C59DF" w:rsidRPr="002F7534" w:rsidRDefault="006C59DF" w:rsidP="006C59DF">
      <w:pPr>
        <w:spacing w:after="240" w:line="276" w:lineRule="auto"/>
        <w:jc w:val="center"/>
      </w:pPr>
      <m:oMathPara>
        <m:oMath>
          <m:r>
            <w:rPr>
              <w:rFonts w:ascii="Cambria Math" w:hAnsi="Cambria Math"/>
            </w:rPr>
            <m:t>logit</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j</m:t>
                  </m:r>
                </m:sub>
                <m:sup>
                  <m:r>
                    <w:rPr>
                      <w:rFonts w:ascii="Cambria Math" w:hAnsi="Cambria Math"/>
                    </w:rPr>
                    <m:t>TEST</m:t>
                  </m:r>
                </m:sup>
              </m:sSubSup>
            </m:e>
          </m:d>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0</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m</m:t>
              </m:r>
            </m:sub>
            <m:sup/>
            <m:e>
              <m:sSub>
                <m:sSubPr>
                  <m:ctrlPr>
                    <w:rPr>
                      <w:rFonts w:ascii="Cambria Math" w:hAnsi="Cambria Math"/>
                      <w:i/>
                    </w:rPr>
                  </m:ctrlPr>
                </m:sSubPr>
                <m:e>
                  <m:r>
                    <w:rPr>
                      <w:rFonts w:ascii="Cambria Math" w:hAnsi="Cambria Math"/>
                    </w:rPr>
                    <m:t>β</m:t>
                  </m:r>
                </m:e>
                <m:sub>
                  <m:r>
                    <w:rPr>
                      <w:rFonts w:ascii="Cambria Math" w:hAnsi="Cambria Math"/>
                    </w:rPr>
                    <m:t>m</m:t>
                  </m:r>
                </m:sub>
              </m:sSub>
              <m:sSub>
                <m:sSubPr>
                  <m:ctrlPr>
                    <w:rPr>
                      <w:rFonts w:ascii="Cambria Math" w:hAnsi="Cambria Math"/>
                      <w:i/>
                    </w:rPr>
                  </m:ctrlPr>
                </m:sSubPr>
                <m:e>
                  <m:r>
                    <w:rPr>
                      <w:rFonts w:ascii="Cambria Math" w:hAnsi="Cambria Math"/>
                    </w:rPr>
                    <m:t>Z</m:t>
                  </m:r>
                </m:e>
                <m:sub>
                  <m:r>
                    <w:rPr>
                      <w:rFonts w:ascii="Cambria Math" w:hAnsi="Cambria Math"/>
                    </w:rPr>
                    <m:t xml:space="preserve">j,m </m:t>
                  </m:r>
                </m:sub>
              </m:sSub>
              <m:r>
                <w:rPr>
                  <w:rFonts w:ascii="Cambria Math" w:hAnsi="Cambria Math"/>
                </w:rPr>
                <m:t xml:space="preserve"> </m:t>
              </m:r>
            </m:e>
          </m:nary>
        </m:oMath>
      </m:oMathPara>
    </w:p>
    <w:p w14:paraId="40B412FC" w14:textId="77777777" w:rsidR="006C59DF" w:rsidRPr="002F7534" w:rsidRDefault="006C59DF" w:rsidP="006C59DF">
      <w:pPr>
        <w:spacing w:after="240" w:line="276" w:lineRule="auto"/>
        <w:jc w:val="both"/>
      </w:pPr>
      <w:r w:rsidRPr="002F7534">
        <w:t xml:space="preserve">where </w:t>
      </w:r>
      <m:oMath>
        <m:sSub>
          <m:sSubPr>
            <m:ctrlPr>
              <w:rPr>
                <w:rFonts w:ascii="Cambria Math" w:hAnsi="Cambria Math"/>
                <w:i/>
              </w:rPr>
            </m:ctrlPr>
          </m:sSubPr>
          <m:e>
            <m:r>
              <w:rPr>
                <w:rFonts w:ascii="Cambria Math" w:hAnsi="Cambria Math"/>
              </w:rPr>
              <m:t>Z</m:t>
            </m:r>
          </m:e>
          <m:sub>
            <m:r>
              <w:rPr>
                <w:rFonts w:ascii="Cambria Math" w:hAnsi="Cambria Math"/>
              </w:rPr>
              <m:t xml:space="preserve">j,m </m:t>
            </m:r>
          </m:sub>
        </m:sSub>
      </m:oMath>
      <w:r w:rsidRPr="002F7534">
        <w:t>capture diagnostic capacity, stock-outs of RDTs or microscopy, the presence of guidelines, and supervisory visits.</w:t>
      </w:r>
    </w:p>
    <w:p w14:paraId="2D30CA5C" w14:textId="152E0E74" w:rsidR="006C59DF" w:rsidRPr="002F7534" w:rsidRDefault="006C59DF" w:rsidP="006C59DF">
      <w:pPr>
        <w:spacing w:after="240" w:line="276" w:lineRule="auto"/>
        <w:jc w:val="both"/>
      </w:pPr>
      <w:r w:rsidRPr="002F7534">
        <w:t xml:space="preserve">These covariates were included to capture heterogeneity in surveillance sensitivity across facilities. For the full list of parameter priors and justification, please refer to the prior specification table in Nelli et al. </w:t>
      </w:r>
      <w:r w:rsidR="007C7870">
        <w:t>(2024</w:t>
      </w:r>
      <w:r w:rsidRPr="002F7534">
        <w:t>)</w:t>
      </w:r>
      <w:r w:rsidR="00603CE9">
        <w:t>, and in Supplementary appendix 3.</w:t>
      </w:r>
    </w:p>
    <w:p w14:paraId="33171643" w14:textId="77777777" w:rsidR="00440B33" w:rsidRDefault="00440B33">
      <w:r>
        <w:br w:type="page"/>
      </w:r>
    </w:p>
    <w:p w14:paraId="1F0D6583" w14:textId="59F366DC" w:rsidR="006C59DF" w:rsidRPr="00306A65" w:rsidRDefault="006C59DF" w:rsidP="006C59DF">
      <w:pPr>
        <w:spacing w:after="240" w:line="276" w:lineRule="auto"/>
        <w:jc w:val="both"/>
        <w:rPr>
          <w:b/>
          <w:bCs/>
        </w:rPr>
      </w:pPr>
      <w:r w:rsidRPr="00306A65">
        <w:rPr>
          <w:b/>
          <w:bCs/>
        </w:rPr>
        <w:lastRenderedPageBreak/>
        <w:t xml:space="preserve">Supplementary </w:t>
      </w:r>
      <w:r w:rsidR="00603CE9">
        <w:rPr>
          <w:b/>
          <w:bCs/>
        </w:rPr>
        <w:t>i</w:t>
      </w:r>
      <w:r w:rsidRPr="00306A65">
        <w:rPr>
          <w:b/>
          <w:bCs/>
        </w:rPr>
        <w:t xml:space="preserve">nformation </w:t>
      </w:r>
      <w:r w:rsidR="00603CE9">
        <w:rPr>
          <w:b/>
          <w:bCs/>
        </w:rPr>
        <w:t>a</w:t>
      </w:r>
      <w:r w:rsidRPr="00306A65">
        <w:rPr>
          <w:b/>
          <w:bCs/>
        </w:rPr>
        <w:t xml:space="preserve">ppendix 2: </w:t>
      </w:r>
      <w:r w:rsidR="00603CE9">
        <w:rPr>
          <w:b/>
          <w:bCs/>
        </w:rPr>
        <w:t>E</w:t>
      </w:r>
      <w:r w:rsidRPr="00306A65">
        <w:rPr>
          <w:b/>
          <w:bCs/>
        </w:rPr>
        <w:t xml:space="preserve">xtensions to the FFI model </w:t>
      </w:r>
    </w:p>
    <w:p w14:paraId="5FFC2323" w14:textId="77777777" w:rsidR="006C59DF" w:rsidRPr="00306A65" w:rsidRDefault="006C59DF" w:rsidP="006C59DF">
      <w:pPr>
        <w:spacing w:after="240" w:line="276" w:lineRule="auto"/>
        <w:jc w:val="both"/>
      </w:pPr>
      <w:r w:rsidRPr="00306A65">
        <w:t>Several extensions to the basic FFI model were introduced in this study to reflect heterogeneity in malaria surveillance across Cabo Verde and to incorporate independent data sources for validation. These modifications allowed us to account for systematic differences between health facilities and to strengthen inference on malaria transmission in a low-burden setting.</w:t>
      </w:r>
    </w:p>
    <w:p w14:paraId="66DCD9AB" w14:textId="77777777" w:rsidR="006C59DF" w:rsidRPr="00306A65" w:rsidRDefault="006C59DF" w:rsidP="006C59DF">
      <w:pPr>
        <w:spacing w:after="240" w:line="276" w:lineRule="auto"/>
        <w:jc w:val="both"/>
        <w:rPr>
          <w:b/>
          <w:bCs/>
        </w:rPr>
      </w:pPr>
      <w:r w:rsidRPr="00306A65">
        <w:rPr>
          <w:b/>
          <w:bCs/>
        </w:rPr>
        <w:t>(</w:t>
      </w:r>
      <w:proofErr w:type="spellStart"/>
      <w:r w:rsidRPr="00306A65">
        <w:rPr>
          <w:b/>
          <w:bCs/>
        </w:rPr>
        <w:t>i</w:t>
      </w:r>
      <w:proofErr w:type="spellEnd"/>
      <w:r w:rsidRPr="00306A65">
        <w:rPr>
          <w:b/>
          <w:bCs/>
        </w:rPr>
        <w:t>) Risk strata</w:t>
      </w:r>
    </w:p>
    <w:p w14:paraId="41975ACD" w14:textId="77777777" w:rsidR="006C59DF" w:rsidRPr="00306A65" w:rsidRDefault="006C59DF" w:rsidP="006C59DF">
      <w:pPr>
        <w:spacing w:after="240" w:line="276" w:lineRule="auto"/>
        <w:jc w:val="both"/>
      </w:pPr>
      <w:r w:rsidRPr="00306A65">
        <w:t xml:space="preserve">To capture heterogeneity in malaria transmission potential across Cabo Verde, each health facility was assigned to a risk stratum based on the island where it is located. Classification was informed by historical outbreak reports, situational analyses of malaria elimination progress, WHO certification materials, and entomological surveys of </w:t>
      </w:r>
      <w:r w:rsidRPr="00306A65">
        <w:rPr>
          <w:i/>
          <w:iCs/>
        </w:rPr>
        <w:t xml:space="preserve">Anopheles </w:t>
      </w:r>
      <w:proofErr w:type="spellStart"/>
      <w:r w:rsidRPr="00306A65">
        <w:rPr>
          <w:i/>
          <w:iCs/>
        </w:rPr>
        <w:t>arabiensis</w:t>
      </w:r>
      <w:proofErr w:type="spellEnd"/>
      <w:r w:rsidRPr="00306A65">
        <w:t xml:space="preserve"> distribution (DePina et al. 2019; DePina et al. 2020; DePina et al. 2025; WHO 2024; Da Veiga Leal et al. 2024).</w:t>
      </w:r>
    </w:p>
    <w:p w14:paraId="6683309A" w14:textId="77777777" w:rsidR="006C59DF" w:rsidRPr="00306A65" w:rsidRDefault="006C59DF" w:rsidP="006C59DF">
      <w:pPr>
        <w:numPr>
          <w:ilvl w:val="0"/>
          <w:numId w:val="12"/>
        </w:numPr>
        <w:spacing w:after="240" w:line="276" w:lineRule="auto"/>
        <w:jc w:val="both"/>
      </w:pPr>
      <w:r w:rsidRPr="00306A65">
        <w:rPr>
          <w:b/>
          <w:bCs/>
        </w:rPr>
        <w:t>High-risk islands:</w:t>
      </w:r>
      <w:r w:rsidRPr="00306A65">
        <w:t xml:space="preserve"> Santiago (site of the 2017 outbreak and historically the highest burden) and Boa Vista (documented local transmission and presence of </w:t>
      </w:r>
      <w:r w:rsidRPr="00306A65">
        <w:rPr>
          <w:i/>
          <w:iCs/>
        </w:rPr>
        <w:t xml:space="preserve">Anopheles </w:t>
      </w:r>
      <w:proofErr w:type="spellStart"/>
      <w:r w:rsidRPr="00306A65">
        <w:rPr>
          <w:i/>
          <w:iCs/>
        </w:rPr>
        <w:t>arabiensis</w:t>
      </w:r>
      <w:proofErr w:type="spellEnd"/>
      <w:r w:rsidRPr="00306A65">
        <w:t>).</w:t>
      </w:r>
    </w:p>
    <w:p w14:paraId="51EC84BF" w14:textId="77777777" w:rsidR="006C59DF" w:rsidRPr="00306A65" w:rsidRDefault="006C59DF" w:rsidP="006C59DF">
      <w:pPr>
        <w:numPr>
          <w:ilvl w:val="0"/>
          <w:numId w:val="12"/>
        </w:numPr>
        <w:spacing w:after="240" w:line="276" w:lineRule="auto"/>
        <w:jc w:val="both"/>
      </w:pPr>
      <w:r w:rsidRPr="00306A65">
        <w:rPr>
          <w:b/>
          <w:bCs/>
        </w:rPr>
        <w:t>Mid-risk islands:</w:t>
      </w:r>
      <w:r w:rsidRPr="00306A65">
        <w:t xml:space="preserve"> Fogo and Maio (sporadic local cases in the past, ecological suitability for transmission, but no sustained outbreaks in recent years).</w:t>
      </w:r>
    </w:p>
    <w:p w14:paraId="79AD7670" w14:textId="77777777" w:rsidR="006C59DF" w:rsidRPr="00306A65" w:rsidRDefault="006C59DF" w:rsidP="006C59DF">
      <w:pPr>
        <w:numPr>
          <w:ilvl w:val="0"/>
          <w:numId w:val="12"/>
        </w:numPr>
        <w:spacing w:after="240" w:line="276" w:lineRule="auto"/>
        <w:jc w:val="both"/>
      </w:pPr>
      <w:r w:rsidRPr="00306A65">
        <w:rPr>
          <w:b/>
          <w:bCs/>
        </w:rPr>
        <w:t>Low-risk islands:</w:t>
      </w:r>
      <w:r w:rsidRPr="00306A65">
        <w:t xml:space="preserve"> Sal, São Vicente, Santo Antão, Brava, and São Nicolau (no confirmed local transmission in recent decades; only imported cases observed).</w:t>
      </w:r>
    </w:p>
    <w:p w14:paraId="0EA5ABD7" w14:textId="77777777" w:rsidR="006C59DF" w:rsidRPr="00306A65" w:rsidRDefault="006C59DF" w:rsidP="006C59DF">
      <w:pPr>
        <w:spacing w:after="240" w:line="276" w:lineRule="auto"/>
        <w:jc w:val="both"/>
      </w:pPr>
      <w:r w:rsidRPr="00306A65">
        <w:t>Risk strata were incorporated both in the state process (as modifiers of the endemic force of infection) and in the observation process (as modifiers of the testing probability). Specifically, we included two indicator variables for mid- and high-risk strata, with low risk serving as the reference category:</w:t>
      </w:r>
    </w:p>
    <w:p w14:paraId="04BE020B" w14:textId="77777777" w:rsidR="006C59DF" w:rsidRPr="00306A65" w:rsidRDefault="006C59DF" w:rsidP="006C59DF">
      <w:pPr>
        <w:spacing w:after="240" w:line="276" w:lineRule="auto"/>
        <w:jc w:val="both"/>
      </w:pPr>
      <m:oMathPara>
        <m:oMath>
          <m:r>
            <w:rPr>
              <w:rFonts w:ascii="Cambria Math" w:eastAsia="Arial" w:hAnsi="Cambria Math" w:cs="Arial"/>
              <w:color w:val="000000" w:themeColor="text1"/>
            </w:rPr>
            <m:t>log</m:t>
          </m:r>
          <m:d>
            <m:dPr>
              <m:ctrlPr>
                <w:rPr>
                  <w:rFonts w:ascii="Cambria Math" w:eastAsia="Arial" w:hAnsi="Cambria Math" w:cs="Arial"/>
                  <w:i/>
                  <w:color w:val="000000" w:themeColor="text1"/>
                </w:rPr>
              </m:ctrlPr>
            </m:dPr>
            <m:e>
              <m:sSubSup>
                <m:sSubSupPr>
                  <m:ctrlPr>
                    <w:rPr>
                      <w:rFonts w:ascii="Cambria Math" w:hAnsi="Cambria Math" w:cs="Arial"/>
                      <w:color w:val="202124"/>
                      <w:shd w:val="clear" w:color="auto" w:fill="FFFFFF"/>
                    </w:rPr>
                  </m:ctrlPr>
                </m:sSubSupPr>
                <m:e>
                  <m:r>
                    <m:rPr>
                      <m:sty m:val="p"/>
                    </m:rPr>
                    <w:rPr>
                      <w:rFonts w:ascii="Cambria Math" w:hAnsi="Cambria Math" w:cs="Arial"/>
                      <w:color w:val="202124"/>
                      <w:shd w:val="clear" w:color="auto" w:fill="FFFFFF"/>
                    </w:rPr>
                    <m:t>λ</m:t>
                  </m:r>
                </m:e>
                <m:sub>
                  <m:r>
                    <w:rPr>
                      <w:rFonts w:ascii="Cambria Math" w:eastAsia="Arial" w:hAnsi="Cambria Math" w:cs="Arial"/>
                      <w:color w:val="000000" w:themeColor="text1"/>
                    </w:rPr>
                    <m:t>i,j</m:t>
                  </m:r>
                  <m:ctrlPr>
                    <w:rPr>
                      <w:rFonts w:ascii="Cambria Math" w:eastAsia="Arial" w:hAnsi="Cambria Math" w:cs="Arial"/>
                      <w:i/>
                      <w:color w:val="000000" w:themeColor="text1"/>
                    </w:rPr>
                  </m:ctrlPr>
                </m:sub>
                <m:sup>
                  <m:r>
                    <m:rPr>
                      <m:sty m:val="p"/>
                    </m:rPr>
                    <w:rPr>
                      <w:rFonts w:ascii="Cambria Math" w:hAnsi="Cambria Math" w:cs="Arial"/>
                      <w:color w:val="202124"/>
                      <w:shd w:val="clear" w:color="auto" w:fill="FFFFFF"/>
                    </w:rPr>
                    <m:t>E</m:t>
                  </m:r>
                </m:sup>
              </m:sSubSup>
            </m:e>
          </m:d>
          <m:r>
            <w:rPr>
              <w:rFonts w:ascii="Cambria Math" w:eastAsia="Arial" w:hAnsi="Cambria Math" w:cs="Arial"/>
              <w:color w:val="000000" w:themeColor="text1"/>
            </w:rPr>
            <m:t>=…+</m:t>
          </m:r>
          <m:sSup>
            <m:sSupPr>
              <m:ctrlPr>
                <w:rPr>
                  <w:rFonts w:ascii="Cambria Math" w:eastAsia="Arial" w:hAnsi="Cambria Math" w:cs="Arial"/>
                  <w:i/>
                  <w:color w:val="000000" w:themeColor="text1"/>
                </w:rPr>
              </m:ctrlPr>
            </m:sSupPr>
            <m:e>
              <m:r>
                <w:rPr>
                  <w:rFonts w:ascii="Cambria Math" w:eastAsia="Arial" w:hAnsi="Cambria Math" w:cs="Arial"/>
                  <w:color w:val="000000" w:themeColor="text1"/>
                </w:rPr>
                <m:t>α</m:t>
              </m:r>
            </m:e>
            <m:sup>
              <m:r>
                <w:rPr>
                  <w:rFonts w:ascii="Cambria Math" w:eastAsia="Arial" w:hAnsi="Cambria Math" w:cs="Arial"/>
                  <w:color w:val="000000" w:themeColor="text1"/>
                </w:rPr>
                <m:t>mid</m:t>
              </m:r>
            </m:sup>
          </m:sSup>
          <m:r>
            <w:rPr>
              <w:rFonts w:ascii="Cambria Math" w:eastAsia="Arial" w:hAnsi="Cambria Math" w:cs="Arial"/>
              <w:color w:val="000000" w:themeColor="text1"/>
            </w:rPr>
            <m:t>1{j∈mid}+</m:t>
          </m:r>
          <m:sSup>
            <m:sSupPr>
              <m:ctrlPr>
                <w:rPr>
                  <w:rFonts w:ascii="Cambria Math" w:eastAsia="Arial" w:hAnsi="Cambria Math" w:cs="Arial"/>
                  <w:i/>
                  <w:color w:val="000000" w:themeColor="text1"/>
                </w:rPr>
              </m:ctrlPr>
            </m:sSupPr>
            <m:e>
              <m:r>
                <w:rPr>
                  <w:rFonts w:ascii="Cambria Math" w:eastAsia="Arial" w:hAnsi="Cambria Math" w:cs="Arial"/>
                  <w:color w:val="000000" w:themeColor="text1"/>
                </w:rPr>
                <m:t>α</m:t>
              </m:r>
            </m:e>
            <m:sup>
              <m:r>
                <w:rPr>
                  <w:rFonts w:ascii="Cambria Math" w:eastAsia="Arial" w:hAnsi="Cambria Math" w:cs="Arial"/>
                  <w:color w:val="000000" w:themeColor="text1"/>
                </w:rPr>
                <m:t>high</m:t>
              </m:r>
            </m:sup>
          </m:sSup>
          <m:r>
            <w:rPr>
              <w:rFonts w:ascii="Cambria Math" w:eastAsia="Arial" w:hAnsi="Cambria Math" w:cs="Arial"/>
              <w:color w:val="000000" w:themeColor="text1"/>
            </w:rPr>
            <m:t>1{j∈high}</m:t>
          </m:r>
        </m:oMath>
      </m:oMathPara>
    </w:p>
    <w:p w14:paraId="0861168C" w14:textId="77777777" w:rsidR="006C59DF" w:rsidRPr="00306A65" w:rsidRDefault="006C59DF" w:rsidP="006C59DF">
      <w:pPr>
        <w:spacing w:after="240" w:line="276" w:lineRule="auto"/>
        <w:jc w:val="both"/>
      </w:pPr>
      <m:oMathPara>
        <m:oMath>
          <m:r>
            <w:rPr>
              <w:rFonts w:ascii="Cambria Math" w:eastAsia="Arial" w:hAnsi="Cambria Math" w:cs="Arial"/>
              <w:color w:val="000000" w:themeColor="text1"/>
            </w:rPr>
            <m:t>logit</m:t>
          </m:r>
          <m:d>
            <m:dPr>
              <m:ctrlPr>
                <w:rPr>
                  <w:rFonts w:ascii="Cambria Math" w:eastAsia="Arial" w:hAnsi="Cambria Math" w:cs="Arial"/>
                  <w:i/>
                  <w:color w:val="000000" w:themeColor="text1"/>
                </w:rPr>
              </m:ctrlPr>
            </m:dPr>
            <m:e>
              <m:sSubSup>
                <m:sSubSupPr>
                  <m:ctrlPr>
                    <w:rPr>
                      <w:rFonts w:ascii="Cambria Math" w:hAnsi="Cambria Math" w:cs="Arial"/>
                      <w:i/>
                      <w:color w:val="202124"/>
                      <w:shd w:val="clear" w:color="auto" w:fill="FFFFFF"/>
                    </w:rPr>
                  </m:ctrlPr>
                </m:sSubSupPr>
                <m:e>
                  <m:r>
                    <w:rPr>
                      <w:rFonts w:ascii="Cambria Math" w:hAnsi="Cambria Math" w:cs="Arial"/>
                      <w:color w:val="202124"/>
                      <w:shd w:val="clear" w:color="auto" w:fill="FFFFFF"/>
                    </w:rPr>
                    <m:t>P</m:t>
                  </m:r>
                </m:e>
                <m:sub>
                  <m:r>
                    <w:rPr>
                      <w:rFonts w:ascii="Cambria Math" w:hAnsi="Cambria Math" w:cs="Arial"/>
                      <w:color w:val="202124"/>
                      <w:shd w:val="clear" w:color="auto" w:fill="FFFFFF"/>
                    </w:rPr>
                    <m:t>j</m:t>
                  </m:r>
                </m:sub>
                <m:sup>
                  <m:r>
                    <w:rPr>
                      <w:rFonts w:ascii="Cambria Math" w:hAnsi="Cambria Math" w:cs="Arial"/>
                      <w:color w:val="202124"/>
                      <w:shd w:val="clear" w:color="auto" w:fill="FFFFFF"/>
                    </w:rPr>
                    <m:t>TEST</m:t>
                  </m:r>
                </m:sup>
              </m:sSubSup>
            </m:e>
          </m:d>
          <m:r>
            <w:rPr>
              <w:rFonts w:ascii="Cambria Math" w:eastAsia="Arial" w:hAnsi="Cambria Math" w:cs="Arial"/>
              <w:color w:val="000000" w:themeColor="text1"/>
            </w:rPr>
            <m:t>=…+</m:t>
          </m:r>
          <m:sSup>
            <m:sSupPr>
              <m:ctrlPr>
                <w:rPr>
                  <w:rFonts w:ascii="Cambria Math" w:eastAsia="Arial" w:hAnsi="Cambria Math" w:cs="Arial"/>
                  <w:i/>
                  <w:color w:val="000000" w:themeColor="text1"/>
                </w:rPr>
              </m:ctrlPr>
            </m:sSupPr>
            <m:e>
              <m:r>
                <w:rPr>
                  <w:rFonts w:ascii="Cambria Math" w:eastAsia="Arial" w:hAnsi="Cambria Math" w:cs="Arial"/>
                  <w:color w:val="000000" w:themeColor="text1"/>
                </w:rPr>
                <m:t>β</m:t>
              </m:r>
            </m:e>
            <m:sup>
              <m:r>
                <w:rPr>
                  <w:rFonts w:ascii="Cambria Math" w:eastAsia="Arial" w:hAnsi="Cambria Math" w:cs="Arial"/>
                  <w:color w:val="000000" w:themeColor="text1"/>
                </w:rPr>
                <m:t>mid</m:t>
              </m:r>
            </m:sup>
          </m:sSup>
          <m:r>
            <w:rPr>
              <w:rFonts w:ascii="Cambria Math" w:eastAsia="Arial" w:hAnsi="Cambria Math" w:cs="Arial"/>
              <w:color w:val="000000" w:themeColor="text1"/>
            </w:rPr>
            <m:t>1{j∈mid}+</m:t>
          </m:r>
          <m:sSup>
            <m:sSupPr>
              <m:ctrlPr>
                <w:rPr>
                  <w:rFonts w:ascii="Cambria Math" w:eastAsia="Arial" w:hAnsi="Cambria Math" w:cs="Arial"/>
                  <w:i/>
                  <w:color w:val="000000" w:themeColor="text1"/>
                </w:rPr>
              </m:ctrlPr>
            </m:sSupPr>
            <m:e>
              <m:r>
                <w:rPr>
                  <w:rFonts w:ascii="Cambria Math" w:eastAsia="Arial" w:hAnsi="Cambria Math" w:cs="Arial"/>
                  <w:color w:val="000000" w:themeColor="text1"/>
                </w:rPr>
                <m:t>β</m:t>
              </m:r>
            </m:e>
            <m:sup>
              <m:r>
                <w:rPr>
                  <w:rFonts w:ascii="Cambria Math" w:eastAsia="Arial" w:hAnsi="Cambria Math" w:cs="Arial"/>
                  <w:color w:val="000000" w:themeColor="text1"/>
                </w:rPr>
                <m:t>high</m:t>
              </m:r>
            </m:sup>
          </m:sSup>
          <m:r>
            <w:rPr>
              <w:rFonts w:ascii="Cambria Math" w:eastAsia="Arial" w:hAnsi="Cambria Math" w:cs="Arial"/>
              <w:color w:val="000000" w:themeColor="text1"/>
            </w:rPr>
            <m:t>1{j∈high}</m:t>
          </m:r>
        </m:oMath>
      </m:oMathPara>
    </w:p>
    <w:p w14:paraId="0FAAB554" w14:textId="77777777" w:rsidR="006C59DF" w:rsidRPr="00306A65" w:rsidRDefault="006C59DF" w:rsidP="006C59DF">
      <w:pPr>
        <w:spacing w:after="240" w:line="276" w:lineRule="auto"/>
        <w:jc w:val="both"/>
      </w:pPr>
    </w:p>
    <w:p w14:paraId="22FB2166" w14:textId="77777777" w:rsidR="006C59DF" w:rsidRPr="00306A65" w:rsidRDefault="006C59DF" w:rsidP="006C59DF">
      <w:pPr>
        <w:spacing w:after="240" w:line="276" w:lineRule="auto"/>
        <w:jc w:val="both"/>
      </w:pPr>
      <w:r w:rsidRPr="00306A65">
        <w:t>This allowed the model to reflect that (a) the underlying force of infection may differ systematically across settings, and (b) the probability of being tested may also vary with perceived risk.</w:t>
      </w:r>
    </w:p>
    <w:p w14:paraId="173CFD48" w14:textId="77777777" w:rsidR="006C59DF" w:rsidRPr="00306A65" w:rsidRDefault="006C59DF" w:rsidP="006C59DF">
      <w:pPr>
        <w:spacing w:after="240" w:line="276" w:lineRule="auto"/>
        <w:jc w:val="both"/>
        <w:rPr>
          <w:b/>
          <w:bCs/>
        </w:rPr>
      </w:pPr>
      <w:r w:rsidRPr="00306A65">
        <w:rPr>
          <w:b/>
          <w:bCs/>
        </w:rPr>
        <w:t>(ii) Imported infection detection capacity</w:t>
      </w:r>
    </w:p>
    <w:p w14:paraId="19CD619D" w14:textId="77777777" w:rsidR="006C59DF" w:rsidRPr="00306A65" w:rsidRDefault="006C59DF" w:rsidP="006C59DF">
      <w:pPr>
        <w:spacing w:after="240" w:line="276" w:lineRule="auto"/>
        <w:jc w:val="both"/>
      </w:pPr>
      <w:r w:rsidRPr="00306A65">
        <w:lastRenderedPageBreak/>
        <w:t xml:space="preserve">In the years preceding malaria elimination in Cabo Verde, </w:t>
      </w:r>
      <w:proofErr w:type="gramStart"/>
      <w:r w:rsidRPr="00306A65">
        <w:t>the majority of</w:t>
      </w:r>
      <w:proofErr w:type="gramEnd"/>
      <w:r w:rsidRPr="00306A65">
        <w:t xml:space="preserve"> confirmed cases were imported, particularly on islands with international airports and ports. The ability of facilities to detect and report imported infections is therefore a key indicator of surveillance quality: it signals that the system is sufficiently sensitive to capture cases that are </w:t>
      </w:r>
      <w:r w:rsidRPr="00306A65">
        <w:rPr>
          <w:i/>
          <w:iCs/>
        </w:rPr>
        <w:t>not</w:t>
      </w:r>
      <w:r w:rsidRPr="00306A65">
        <w:t xml:space="preserve"> reflective of ongoing local transmission.</w:t>
      </w:r>
    </w:p>
    <w:p w14:paraId="77268F2F" w14:textId="77777777" w:rsidR="006C59DF" w:rsidRPr="00306A65" w:rsidRDefault="006C59DF" w:rsidP="006C59DF">
      <w:pPr>
        <w:spacing w:after="240" w:line="276" w:lineRule="auto"/>
        <w:jc w:val="both"/>
      </w:pPr>
      <w:r w:rsidRPr="00306A65">
        <w:t xml:space="preserve">To reflect this, we introduced a binary covariate </w:t>
      </w:r>
      <m:oMath>
        <m:r>
          <w:rPr>
            <w:rFonts w:ascii="Cambria Math" w:hAnsi="Cambria Math"/>
          </w:rPr>
          <m:t>IMPDE</m:t>
        </m:r>
        <m:sSub>
          <m:sSubPr>
            <m:ctrlPr>
              <w:rPr>
                <w:rFonts w:ascii="Cambria Math" w:hAnsi="Cambria Math"/>
                <w:i/>
              </w:rPr>
            </m:ctrlPr>
          </m:sSubPr>
          <m:e>
            <m:r>
              <w:rPr>
                <w:rFonts w:ascii="Cambria Math" w:hAnsi="Cambria Math"/>
              </w:rPr>
              <m:t>T</m:t>
            </m:r>
          </m:e>
          <m:sub>
            <m:r>
              <w:rPr>
                <w:rFonts w:ascii="Cambria Math" w:hAnsi="Cambria Math"/>
              </w:rPr>
              <m:t>j</m:t>
            </m:r>
          </m:sub>
        </m:sSub>
      </m:oMath>
      <w:r w:rsidRPr="00306A65">
        <w:rPr>
          <w:rFonts w:ascii="Arial" w:hAnsi="Arial" w:cs="Arial"/>
        </w:rPr>
        <w:t>​</w:t>
      </w:r>
      <w:r w:rsidRPr="00306A65">
        <w:t xml:space="preserve">, denoting whether facility </w:t>
      </w:r>
      <m:oMath>
        <m:r>
          <w:rPr>
            <w:rFonts w:ascii="Cambria Math" w:hAnsi="Cambria Math"/>
          </w:rPr>
          <m:t>j</m:t>
        </m:r>
      </m:oMath>
      <w:r w:rsidRPr="00306A65">
        <w:t xml:space="preserve"> had the capacity to detect imported cases. This capacity reflects a combination of infrastructure, diagnostic practices, and historical evidence of correctly identifying imported malaria.</w:t>
      </w:r>
    </w:p>
    <w:p w14:paraId="1D500566" w14:textId="77777777" w:rsidR="006C59DF" w:rsidRPr="00306A65" w:rsidRDefault="006C59DF" w:rsidP="006C59DF">
      <w:pPr>
        <w:spacing w:after="240" w:line="276" w:lineRule="auto"/>
        <w:jc w:val="both"/>
      </w:pPr>
      <w:r w:rsidRPr="00306A65">
        <w:t>The probability of testing febrile patients was then expressed as:</w:t>
      </w:r>
    </w:p>
    <w:p w14:paraId="21EBCF55" w14:textId="77777777" w:rsidR="006C59DF" w:rsidRPr="00306A65" w:rsidRDefault="006C59DF" w:rsidP="006C59DF">
      <w:pPr>
        <w:spacing w:after="240" w:line="276" w:lineRule="auto"/>
        <w:jc w:val="center"/>
      </w:pPr>
      <m:oMath>
        <m:r>
          <w:rPr>
            <w:rFonts w:ascii="Cambria Math" w:hAnsi="Cambria Math"/>
          </w:rPr>
          <m:t>logit</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j</m:t>
                </m:r>
              </m:sub>
              <m:sup>
                <m:r>
                  <w:rPr>
                    <w:rFonts w:ascii="Cambria Math" w:hAnsi="Cambria Math"/>
                  </w:rPr>
                  <m:t>TEST</m:t>
                </m:r>
              </m:sup>
            </m:sSubSup>
          </m:e>
        </m:d>
        <m:r>
          <w:rPr>
            <w:rFonts w:ascii="Cambria Math" w:hAnsi="Cambria Math"/>
          </w:rPr>
          <m:t>=…+</m:t>
        </m:r>
        <m:sSup>
          <m:sSupPr>
            <m:ctrlPr>
              <w:rPr>
                <w:rFonts w:ascii="Cambria Math" w:hAnsi="Cambria Math"/>
                <w:i/>
              </w:rPr>
            </m:ctrlPr>
          </m:sSupPr>
          <m:e>
            <m:r>
              <w:rPr>
                <w:rFonts w:ascii="Cambria Math" w:hAnsi="Cambria Math"/>
              </w:rPr>
              <m:t>β</m:t>
            </m:r>
          </m:e>
          <m:sup>
            <m:r>
              <w:rPr>
                <w:rFonts w:ascii="Cambria Math" w:hAnsi="Cambria Math"/>
              </w:rPr>
              <m:t>imp</m:t>
            </m:r>
          </m:sup>
        </m:sSup>
        <m:r>
          <w:rPr>
            <w:rFonts w:ascii="Cambria Math" w:hAnsi="Cambria Math"/>
          </w:rPr>
          <m:t>IMPDE</m:t>
        </m:r>
        <m:sSub>
          <m:sSubPr>
            <m:ctrlPr>
              <w:rPr>
                <w:rFonts w:ascii="Cambria Math" w:hAnsi="Cambria Math"/>
                <w:i/>
              </w:rPr>
            </m:ctrlPr>
          </m:sSubPr>
          <m:e>
            <m:r>
              <w:rPr>
                <w:rFonts w:ascii="Cambria Math" w:hAnsi="Cambria Math"/>
              </w:rPr>
              <m:t>T</m:t>
            </m:r>
          </m:e>
          <m:sub>
            <m:r>
              <w:rPr>
                <w:rFonts w:ascii="Cambria Math" w:hAnsi="Cambria Math"/>
              </w:rPr>
              <m:t>j</m:t>
            </m:r>
          </m:sub>
        </m:sSub>
        <m:r>
          <m:rPr>
            <m:sty m:val="p"/>
          </m:rPr>
          <w:rPr>
            <w:rFonts w:ascii="Cambria Math" w:hAnsi="Cambria Math"/>
          </w:rPr>
          <m:t>∙log⁡</m:t>
        </m:r>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m:t>
        </m:r>
      </m:oMath>
      <w:r w:rsidRPr="00306A65">
        <w:rPr>
          <w:rFonts w:eastAsiaTheme="minorEastAsia"/>
        </w:rPr>
        <w:t>.</w:t>
      </w:r>
    </w:p>
    <w:p w14:paraId="6E7DA8F9" w14:textId="77777777" w:rsidR="006C59DF" w:rsidRPr="00306A65" w:rsidRDefault="006C59DF" w:rsidP="006C59DF">
      <w:pPr>
        <w:spacing w:after="240" w:line="276" w:lineRule="auto"/>
        <w:jc w:val="both"/>
      </w:pPr>
      <w:r w:rsidRPr="00306A65">
        <w:t xml:space="preserve">The interaction with </w:t>
      </w:r>
      <m:oMath>
        <m:r>
          <m:rPr>
            <m:sty m:val="p"/>
          </m:rPr>
          <w:rPr>
            <w:rFonts w:ascii="Cambria Math" w:hAnsi="Cambria Math"/>
          </w:rPr>
          <m:t>log⁡</m:t>
        </m:r>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 xml:space="preserve">) </m:t>
        </m:r>
      </m:oMath>
      <w:r w:rsidRPr="00306A65">
        <w:t>ensures that the effect of imported-detection capacity scales with facility size. Larger facilities, with higher patient throughput, are more likely to encounter and correctly identify imported cases, so the boost to testing probability is greater. Smaller facilities, by contrast, may rarely encounter such cases, and the scaling prevents them from being disproportionately penalised for this.</w:t>
      </w:r>
    </w:p>
    <w:p w14:paraId="65C84207" w14:textId="77777777" w:rsidR="006C59DF" w:rsidRPr="00BE7A22" w:rsidRDefault="006C59DF" w:rsidP="006C59DF">
      <w:pPr>
        <w:spacing w:after="240" w:line="276" w:lineRule="auto"/>
        <w:jc w:val="both"/>
      </w:pPr>
      <w:r w:rsidRPr="00306A65">
        <w:t xml:space="preserve">This allowed the model to reflect that (a) </w:t>
      </w:r>
      <w:proofErr w:type="gramStart"/>
      <w:r w:rsidRPr="00306A65">
        <w:t>imported-detection</w:t>
      </w:r>
      <w:proofErr w:type="gramEnd"/>
      <w:r w:rsidRPr="00306A65">
        <w:t xml:space="preserve"> capacity is a marker of enhanced surveillance sensitivity, and (b) its impact depends on the size and operational scope of the facility.</w:t>
      </w:r>
    </w:p>
    <w:p w14:paraId="4E9A0432" w14:textId="77777777" w:rsidR="006C59DF" w:rsidRPr="00306A65" w:rsidRDefault="006C59DF" w:rsidP="006C59DF">
      <w:pPr>
        <w:spacing w:after="240" w:line="276" w:lineRule="auto"/>
        <w:jc w:val="both"/>
        <w:rPr>
          <w:b/>
          <w:bCs/>
        </w:rPr>
      </w:pPr>
      <w:r w:rsidRPr="00306A65">
        <w:rPr>
          <w:b/>
          <w:bCs/>
        </w:rPr>
        <w:t>(iii) Active case detection (PCR data)</w:t>
      </w:r>
    </w:p>
    <w:p w14:paraId="059FE376" w14:textId="77777777" w:rsidR="006C59DF" w:rsidRPr="00306A65" w:rsidRDefault="006C59DF" w:rsidP="006C59DF">
      <w:pPr>
        <w:spacing w:after="240" w:line="276" w:lineRule="auto"/>
        <w:jc w:val="both"/>
      </w:pPr>
      <w:r w:rsidRPr="00306A65">
        <w:t>While the FFI model is primarily designed around passive case detection (PCD), in this study we were also able to draw on active case detection (ACD) campaigns where individuals were systematically screened using PCR. PCR has a much higher sensitivity than routine diagnostics and provides a direct measure of current parasite prevalence, including low-density infections that may be missed by RDTs or microscopy.</w:t>
      </w:r>
    </w:p>
    <w:p w14:paraId="61E5CB8E" w14:textId="77777777" w:rsidR="006C59DF" w:rsidRPr="00306A65" w:rsidRDefault="006C59DF" w:rsidP="006C59DF">
      <w:pPr>
        <w:spacing w:after="240" w:line="276" w:lineRule="auto"/>
        <w:jc w:val="both"/>
      </w:pPr>
      <w:r w:rsidRPr="00306A65">
        <w:t xml:space="preserve">We therefore used PCR data as an independent validation likelihood, anchoring the latent force of infection estimated in the state process to </w:t>
      </w:r>
      <w:proofErr w:type="gramStart"/>
      <w:r w:rsidRPr="00306A65">
        <w:t>observed</w:t>
      </w:r>
      <w:proofErr w:type="gramEnd"/>
      <w:r w:rsidRPr="00306A65">
        <w:t xml:space="preserve"> prevalence in a subset of facilities. For each facility </w:t>
      </w:r>
      <m:oMath>
        <m:r>
          <w:rPr>
            <w:rFonts w:ascii="Cambria Math" w:hAnsi="Cambria Math"/>
          </w:rPr>
          <m:t>j</m:t>
        </m:r>
      </m:oMath>
      <w:r w:rsidRPr="00306A65">
        <w:rPr>
          <w:rFonts w:eastAsiaTheme="minorEastAsia"/>
        </w:rPr>
        <w:t xml:space="preserve"> </w:t>
      </w:r>
      <w:r w:rsidRPr="00306A65">
        <w:t>with PCR data, the number of PCR positives was modelled as:</w:t>
      </w:r>
    </w:p>
    <w:p w14:paraId="47BEEE70" w14:textId="3C2DCACD" w:rsidR="006C59DF" w:rsidRPr="00306A65" w:rsidRDefault="006C59DF" w:rsidP="006C59DF">
      <w:pPr>
        <w:spacing w:after="240" w:line="276" w:lineRule="auto"/>
        <w:jc w:val="both"/>
      </w:pPr>
      <m:oMathPara>
        <m:oMath>
          <m:r>
            <w:rPr>
              <w:rFonts w:ascii="Cambria Math" w:hAnsi="Cambria Math"/>
            </w:rPr>
            <m:t>PC</m:t>
          </m:r>
          <m:sSubSup>
            <m:sSubSupPr>
              <m:ctrlPr>
                <w:rPr>
                  <w:rFonts w:ascii="Cambria Math" w:hAnsi="Cambria Math"/>
                  <w:i/>
                </w:rPr>
              </m:ctrlPr>
            </m:sSubSupPr>
            <m:e>
              <m:r>
                <w:rPr>
                  <w:rFonts w:ascii="Cambria Math" w:hAnsi="Cambria Math"/>
                </w:rPr>
                <m:t>R</m:t>
              </m:r>
            </m:e>
            <m:sub>
              <m:r>
                <w:rPr>
                  <w:rFonts w:ascii="Cambria Math" w:hAnsi="Cambria Math"/>
                </w:rPr>
                <m:t>j</m:t>
              </m:r>
            </m:sub>
            <m:sup>
              <m:r>
                <w:rPr>
                  <w:rFonts w:ascii="Cambria Math" w:hAnsi="Cambria Math"/>
                </w:rPr>
                <m:t>+</m:t>
              </m:r>
            </m:sup>
          </m:sSubSup>
          <m:r>
            <w:rPr>
              <w:rFonts w:ascii="Cambria Math" w:hAnsi="Cambria Math"/>
            </w:rPr>
            <m:t>~Binomial(</m:t>
          </m:r>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π</m:t>
              </m:r>
            </m:e>
            <m:sub>
              <m:r>
                <w:rPr>
                  <w:rFonts w:ascii="Cambria Math" w:hAnsi="Cambria Math"/>
                </w:rPr>
                <m:t>j</m:t>
              </m:r>
            </m:sub>
            <m:sup>
              <m:r>
                <w:rPr>
                  <w:rFonts w:ascii="Cambria Math" w:hAnsi="Cambria Math"/>
                </w:rPr>
                <m:t>PCR</m:t>
              </m:r>
            </m:sup>
          </m:sSubSup>
          <m:r>
            <w:rPr>
              <w:rFonts w:ascii="Cambria Math" w:hAnsi="Cambria Math"/>
            </w:rPr>
            <m:t>)</m:t>
          </m:r>
        </m:oMath>
      </m:oMathPara>
    </w:p>
    <w:p w14:paraId="02CE0F17" w14:textId="77777777" w:rsidR="006C59DF" w:rsidRPr="00306A65" w:rsidRDefault="006C59DF" w:rsidP="006C59DF">
      <w:pPr>
        <w:spacing w:after="240" w:line="276" w:lineRule="auto"/>
        <w:jc w:val="both"/>
      </w:pPr>
      <w:r w:rsidRPr="00306A65">
        <w:t xml:space="preserve">where </w:t>
      </w:r>
      <m:oMath>
        <m:sSub>
          <m:sSubPr>
            <m:ctrlPr>
              <w:rPr>
                <w:rFonts w:ascii="Cambria Math" w:hAnsi="Cambria Math"/>
                <w:i/>
              </w:rPr>
            </m:ctrlPr>
          </m:sSubPr>
          <m:e>
            <m:r>
              <w:rPr>
                <w:rFonts w:ascii="Cambria Math" w:hAnsi="Cambria Math"/>
              </w:rPr>
              <m:t>n</m:t>
            </m:r>
          </m:e>
          <m:sub>
            <m:r>
              <w:rPr>
                <w:rFonts w:ascii="Cambria Math" w:hAnsi="Cambria Math"/>
              </w:rPr>
              <m:t>j</m:t>
            </m:r>
          </m:sub>
        </m:sSub>
      </m:oMath>
      <w:r w:rsidRPr="00306A65">
        <w:t xml:space="preserve">is the number of individuals tested by PCR, and </w:t>
      </w:r>
      <m:oMath>
        <m:sSubSup>
          <m:sSubSupPr>
            <m:ctrlPr>
              <w:rPr>
                <w:rFonts w:ascii="Cambria Math" w:hAnsi="Cambria Math"/>
                <w:i/>
              </w:rPr>
            </m:ctrlPr>
          </m:sSubSupPr>
          <m:e>
            <m:r>
              <w:rPr>
                <w:rFonts w:ascii="Cambria Math" w:hAnsi="Cambria Math"/>
              </w:rPr>
              <m:t>π</m:t>
            </m:r>
          </m:e>
          <m:sub>
            <m:r>
              <w:rPr>
                <w:rFonts w:ascii="Cambria Math" w:hAnsi="Cambria Math"/>
              </w:rPr>
              <m:t>j</m:t>
            </m:r>
          </m:sub>
          <m:sup>
            <m:r>
              <w:rPr>
                <w:rFonts w:ascii="Cambria Math" w:hAnsi="Cambria Math"/>
              </w:rPr>
              <m:t>PCR</m:t>
            </m:r>
          </m:sup>
        </m:sSubSup>
      </m:oMath>
      <w:r w:rsidRPr="00306A65">
        <w:rPr>
          <w:rFonts w:ascii="Arial" w:hAnsi="Arial" w:cs="Arial"/>
        </w:rPr>
        <w:t>​</w:t>
      </w:r>
      <w:r w:rsidRPr="00306A65">
        <w:t xml:space="preserve"> is the underlying prevalence estimated from the model. To reflect that PCR samples represent a short-term snapshot, prevalence was defined as the average force of infection over the final three surveillance months:</w:t>
      </w:r>
    </w:p>
    <w:p w14:paraId="36259503" w14:textId="77777777" w:rsidR="006C59DF" w:rsidRPr="00306A65" w:rsidRDefault="00000000" w:rsidP="006C59DF">
      <w:pPr>
        <w:spacing w:after="240" w:line="276" w:lineRule="auto"/>
        <w:jc w:val="center"/>
      </w:pPr>
      <m:oMath>
        <m:sSubSup>
          <m:sSubSupPr>
            <m:ctrlPr>
              <w:rPr>
                <w:rFonts w:ascii="Cambria Math" w:hAnsi="Cambria Math"/>
                <w:i/>
              </w:rPr>
            </m:ctrlPr>
          </m:sSubSupPr>
          <m:e>
            <m:r>
              <w:rPr>
                <w:rFonts w:ascii="Cambria Math" w:hAnsi="Cambria Math"/>
              </w:rPr>
              <m:t>π</m:t>
            </m:r>
          </m:e>
          <m:sub>
            <m:r>
              <w:rPr>
                <w:rFonts w:ascii="Cambria Math" w:hAnsi="Cambria Math"/>
              </w:rPr>
              <m:t>j</m:t>
            </m:r>
          </m:sub>
          <m:sup>
            <m:r>
              <w:rPr>
                <w:rFonts w:ascii="Cambria Math" w:hAnsi="Cambria Math"/>
              </w:rPr>
              <m:t>PCR</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nary>
          <m:naryPr>
            <m:chr m:val="∑"/>
            <m:limLoc m:val="undOvr"/>
            <m:ctrlPr>
              <w:rPr>
                <w:rFonts w:ascii="Cambria Math" w:hAnsi="Cambria Math"/>
                <w:i/>
              </w:rPr>
            </m:ctrlPr>
          </m:naryPr>
          <m:sub>
            <m:r>
              <w:rPr>
                <w:rFonts w:ascii="Cambria Math" w:hAnsi="Cambria Math"/>
              </w:rPr>
              <m:t>t=I-2</m:t>
            </m:r>
          </m:sub>
          <m:sup>
            <m:r>
              <w:rPr>
                <w:rFonts w:ascii="Cambria Math" w:hAnsi="Cambria Math"/>
              </w:rPr>
              <m:t>I</m:t>
            </m:r>
          </m:sup>
          <m:e>
            <m:sSubSup>
              <m:sSubSupPr>
                <m:ctrlPr>
                  <w:rPr>
                    <w:rFonts w:ascii="Cambria Math" w:hAnsi="Cambria Math" w:cs="Arial"/>
                    <w:color w:val="202124"/>
                    <w:shd w:val="clear" w:color="auto" w:fill="FFFFFF"/>
                  </w:rPr>
                </m:ctrlPr>
              </m:sSubSupPr>
              <m:e>
                <m:r>
                  <m:rPr>
                    <m:sty m:val="p"/>
                  </m:rPr>
                  <w:rPr>
                    <w:rFonts w:ascii="Cambria Math" w:hAnsi="Cambria Math" w:cs="Arial"/>
                    <w:color w:val="202124"/>
                    <w:shd w:val="clear" w:color="auto" w:fill="FFFFFF"/>
                  </w:rPr>
                  <m:t>λ</m:t>
                </m:r>
              </m:e>
              <m:sub>
                <m:r>
                  <w:rPr>
                    <w:rFonts w:ascii="Cambria Math" w:eastAsia="Arial" w:hAnsi="Cambria Math" w:cs="Arial"/>
                    <w:color w:val="000000" w:themeColor="text1"/>
                  </w:rPr>
                  <m:t xml:space="preserve">t,j </m:t>
                </m:r>
                <m:ctrlPr>
                  <w:rPr>
                    <w:rFonts w:ascii="Cambria Math" w:eastAsia="Arial" w:hAnsi="Cambria Math" w:cs="Arial"/>
                    <w:i/>
                    <w:color w:val="000000" w:themeColor="text1"/>
                  </w:rPr>
                </m:ctrlPr>
              </m:sub>
              <m:sup>
                <m:r>
                  <m:rPr>
                    <m:sty m:val="p"/>
                  </m:rPr>
                  <w:rPr>
                    <w:rFonts w:ascii="Cambria Math" w:hAnsi="Cambria Math" w:cs="Arial"/>
                    <w:color w:val="202124"/>
                    <w:shd w:val="clear" w:color="auto" w:fill="FFFFFF"/>
                  </w:rPr>
                  <m:t>E</m:t>
                </m:r>
              </m:sup>
            </m:sSubSup>
          </m:e>
        </m:nary>
      </m:oMath>
      <w:r w:rsidR="006C59DF" w:rsidRPr="00306A65">
        <w:rPr>
          <w:rFonts w:eastAsiaTheme="minorEastAsia"/>
        </w:rPr>
        <w:t>.</w:t>
      </w:r>
    </w:p>
    <w:p w14:paraId="5AD25BA6" w14:textId="77777777" w:rsidR="006C59DF" w:rsidRPr="004A3DF8" w:rsidRDefault="006C59DF" w:rsidP="006C59DF">
      <w:pPr>
        <w:spacing w:after="240" w:line="276" w:lineRule="auto"/>
        <w:jc w:val="both"/>
      </w:pPr>
      <w:r w:rsidRPr="00306A65">
        <w:t>A</w:t>
      </w:r>
      <w:r w:rsidRPr="004A3DF8">
        <w:t xml:space="preserve">ctive case detection surveys were conducted in October and November 2021, which in our temporal index correspond to months </w:t>
      </w:r>
      <m:oMath>
        <m:r>
          <w:rPr>
            <w:rFonts w:ascii="Cambria Math" w:hAnsi="Cambria Math"/>
          </w:rPr>
          <m:t>I=95</m:t>
        </m:r>
      </m:oMath>
      <w:r w:rsidRPr="00306A65">
        <w:rPr>
          <w:rFonts w:eastAsiaTheme="minorEastAsia"/>
        </w:rPr>
        <w:t xml:space="preserve"> </w:t>
      </w:r>
      <w:r w:rsidRPr="004A3DF8">
        <w:t xml:space="preserve">and </w:t>
      </w:r>
      <m:oMath>
        <m:r>
          <w:rPr>
            <w:rFonts w:ascii="Cambria Math" w:hAnsi="Cambria Math"/>
          </w:rPr>
          <m:t>I=96</m:t>
        </m:r>
      </m:oMath>
      <w:r w:rsidRPr="004A3DF8">
        <w:t>. To capture potential infections occurring slightly earlier, we averaged over months 94–96. This provides a conservative estimate, ensuring that the model’s predicted force of infection reflects infection dynamics in the period immediately surrounding the PCR survey.</w:t>
      </w:r>
    </w:p>
    <w:p w14:paraId="5312CBB1" w14:textId="5489FA97" w:rsidR="006C59DF" w:rsidRPr="004A3DF8" w:rsidRDefault="006C59DF" w:rsidP="006C59DF">
      <w:pPr>
        <w:spacing w:after="240" w:line="276" w:lineRule="auto"/>
        <w:jc w:val="both"/>
      </w:pPr>
      <w:r w:rsidRPr="004A3DF8">
        <w:t>This extension</w:t>
      </w:r>
      <w:r w:rsidRPr="00306A65">
        <w:t xml:space="preserve"> aimed </w:t>
      </w:r>
      <w:r w:rsidR="00603CE9">
        <w:t>to</w:t>
      </w:r>
      <w:r w:rsidRPr="004A3DF8">
        <w:t xml:space="preserve"> improv</w:t>
      </w:r>
      <w:r w:rsidR="00603CE9">
        <w:t>e</w:t>
      </w:r>
      <w:r w:rsidRPr="004A3DF8">
        <w:t xml:space="preserve"> the calibration of the model against directly observed infection prevalence and reduces reliance on routine case data, which may be sparse in elimination settings</w:t>
      </w:r>
      <w:r w:rsidRPr="00306A65">
        <w:t xml:space="preserve"> such as Cabo Verde</w:t>
      </w:r>
      <w:r w:rsidRPr="004A3DF8">
        <w:t>.</w:t>
      </w:r>
    </w:p>
    <w:p w14:paraId="131D1DB8" w14:textId="77777777" w:rsidR="006C59DF" w:rsidRPr="00306A65" w:rsidRDefault="006C59DF" w:rsidP="006C59DF">
      <w:pPr>
        <w:spacing w:after="240" w:line="276" w:lineRule="auto"/>
        <w:jc w:val="both"/>
        <w:rPr>
          <w:b/>
          <w:bCs/>
        </w:rPr>
      </w:pPr>
      <w:r w:rsidRPr="00306A65">
        <w:rPr>
          <w:b/>
          <w:bCs/>
        </w:rPr>
        <w:t>(</w:t>
      </w:r>
      <w:r>
        <w:rPr>
          <w:b/>
          <w:bCs/>
        </w:rPr>
        <w:t>i</w:t>
      </w:r>
      <w:r w:rsidRPr="00306A65">
        <w:rPr>
          <w:b/>
          <w:bCs/>
        </w:rPr>
        <w:t>v) Serology data</w:t>
      </w:r>
    </w:p>
    <w:p w14:paraId="5F09DC35" w14:textId="0263D3EE" w:rsidR="006C59DF" w:rsidRPr="004A3DF8" w:rsidRDefault="006C59DF" w:rsidP="006C59DF">
      <w:pPr>
        <w:spacing w:after="240" w:line="276" w:lineRule="auto"/>
        <w:jc w:val="both"/>
      </w:pPr>
      <w:r w:rsidRPr="004A3DF8">
        <w:t xml:space="preserve">Serological markers provide complementary information on malaria exposure, since antibody responses persist beyond the short detection window of PCR or RDTs. </w:t>
      </w:r>
      <w:r w:rsidRPr="00306A65">
        <w:t>Here</w:t>
      </w:r>
      <w:r w:rsidR="00603CE9">
        <w:t>,</w:t>
      </w:r>
      <w:r w:rsidRPr="004A3DF8">
        <w:t xml:space="preserve"> serological surveys were conducted in late 2021 and included both short-lived antibody markers (reflecting recent exposure) and long-lived antibody markers (reflecting historical exposure). These data were integrated into the FFI framework as additional likelihoods conditional on the latent force of infection.</w:t>
      </w:r>
    </w:p>
    <w:p w14:paraId="1851B838" w14:textId="77777777" w:rsidR="006C59DF" w:rsidRPr="00306A65" w:rsidRDefault="006C59DF" w:rsidP="006C59DF">
      <w:pPr>
        <w:spacing w:after="240" w:line="276" w:lineRule="auto"/>
      </w:pPr>
      <w:r w:rsidRPr="004A3DF8">
        <w:t>Recent exposure (short-term antibodies).</w:t>
      </w:r>
      <w:r w:rsidRPr="004A3DF8">
        <w:br/>
        <w:t>Recent antibodies reflect exposure within approximately the past 12 months. For each facility</w:t>
      </w:r>
      <w:r w:rsidRPr="00306A65">
        <w:t xml:space="preserve"> </w:t>
      </w:r>
      <m:oMath>
        <m:r>
          <w:rPr>
            <w:rFonts w:ascii="Cambria Math" w:hAnsi="Cambria Math"/>
          </w:rPr>
          <m:t>j</m:t>
        </m:r>
      </m:oMath>
      <w:r w:rsidRPr="004A3DF8">
        <w:t xml:space="preserve"> with serology data, the probability of remaining unexposed during this period was defined as the product of the complement of the monthly force of infection:</w:t>
      </w:r>
    </w:p>
    <w:p w14:paraId="12150374" w14:textId="77777777" w:rsidR="006C59DF" w:rsidRPr="004A3DF8" w:rsidRDefault="00000000" w:rsidP="006C59DF">
      <w:pPr>
        <w:spacing w:after="240" w:line="276" w:lineRule="auto"/>
      </w:pPr>
      <m:oMathPara>
        <m:oMath>
          <m:sSubSup>
            <m:sSubSupPr>
              <m:ctrlPr>
                <w:rPr>
                  <w:rFonts w:ascii="Cambria Math" w:hAnsi="Cambria Math"/>
                  <w:i/>
                </w:rPr>
              </m:ctrlPr>
            </m:sSubSupPr>
            <m:e>
              <m:r>
                <w:rPr>
                  <w:rFonts w:ascii="Cambria Math" w:hAnsi="Cambria Math"/>
                </w:rPr>
                <m:t>π</m:t>
              </m:r>
            </m:e>
            <m:sub>
              <m:r>
                <w:rPr>
                  <w:rFonts w:ascii="Cambria Math" w:hAnsi="Cambria Math"/>
                </w:rPr>
                <m:t>j</m:t>
              </m:r>
            </m:sub>
            <m:sup>
              <m:r>
                <w:rPr>
                  <w:rFonts w:ascii="Cambria Math" w:hAnsi="Cambria Math"/>
                </w:rPr>
                <m:t>REC</m:t>
              </m:r>
            </m:sup>
          </m:sSubSup>
          <m:r>
            <w:rPr>
              <w:rFonts w:ascii="Cambria Math" w:hAnsi="Cambria Math"/>
            </w:rPr>
            <m:t>=</m:t>
          </m:r>
          <m:nary>
            <m:naryPr>
              <m:chr m:val="∏"/>
              <m:limLoc m:val="undOvr"/>
              <m:ctrlPr>
                <w:rPr>
                  <w:rFonts w:ascii="Cambria Math" w:hAnsi="Cambria Math"/>
                  <w:i/>
                </w:rPr>
              </m:ctrlPr>
            </m:naryPr>
            <m:sub>
              <m:r>
                <w:rPr>
                  <w:rFonts w:ascii="Cambria Math" w:hAnsi="Cambria Math"/>
                </w:rPr>
                <m:t>t=I-11</m:t>
              </m:r>
            </m:sub>
            <m:sup>
              <m:r>
                <w:rPr>
                  <w:rFonts w:ascii="Cambria Math" w:hAnsi="Cambria Math"/>
                </w:rPr>
                <m:t>I</m:t>
              </m:r>
            </m:sup>
            <m:e>
              <m:r>
                <w:rPr>
                  <w:rFonts w:ascii="Cambria Math" w:hAnsi="Cambria Math"/>
                </w:rPr>
                <m:t>(1-</m:t>
              </m:r>
              <m:sSubSup>
                <m:sSubSupPr>
                  <m:ctrlPr>
                    <w:rPr>
                      <w:rFonts w:ascii="Cambria Math" w:hAnsi="Cambria Math" w:cs="Arial"/>
                      <w:color w:val="202124"/>
                      <w:shd w:val="clear" w:color="auto" w:fill="FFFFFF"/>
                    </w:rPr>
                  </m:ctrlPr>
                </m:sSubSupPr>
                <m:e>
                  <m:r>
                    <m:rPr>
                      <m:sty m:val="p"/>
                    </m:rPr>
                    <w:rPr>
                      <w:rFonts w:ascii="Cambria Math" w:hAnsi="Cambria Math" w:cs="Arial"/>
                      <w:color w:val="202124"/>
                      <w:shd w:val="clear" w:color="auto" w:fill="FFFFFF"/>
                    </w:rPr>
                    <m:t>λ</m:t>
                  </m:r>
                </m:e>
                <m:sub>
                  <m:r>
                    <w:rPr>
                      <w:rFonts w:ascii="Cambria Math" w:eastAsia="Arial" w:hAnsi="Cambria Math" w:cs="Arial"/>
                      <w:color w:val="000000" w:themeColor="text1"/>
                    </w:rPr>
                    <m:t xml:space="preserve">t,j </m:t>
                  </m:r>
                  <m:ctrlPr>
                    <w:rPr>
                      <w:rFonts w:ascii="Cambria Math" w:eastAsia="Arial" w:hAnsi="Cambria Math" w:cs="Arial"/>
                      <w:i/>
                      <w:color w:val="000000" w:themeColor="text1"/>
                    </w:rPr>
                  </m:ctrlPr>
                </m:sub>
                <m:sup>
                  <m:r>
                    <m:rPr>
                      <m:sty m:val="p"/>
                    </m:rPr>
                    <w:rPr>
                      <w:rFonts w:ascii="Cambria Math" w:hAnsi="Cambria Math" w:cs="Arial"/>
                      <w:color w:val="202124"/>
                      <w:shd w:val="clear" w:color="auto" w:fill="FFFFFF"/>
                    </w:rPr>
                    <m:t>E</m:t>
                  </m:r>
                </m:sup>
              </m:sSubSup>
              <m:r>
                <w:rPr>
                  <w:rFonts w:ascii="Cambria Math" w:hAnsi="Cambria Math"/>
                </w:rPr>
                <m:t>)</m:t>
              </m:r>
            </m:e>
          </m:nary>
        </m:oMath>
      </m:oMathPara>
    </w:p>
    <w:p w14:paraId="4B323B14" w14:textId="77777777" w:rsidR="006C59DF" w:rsidRPr="004A3DF8" w:rsidRDefault="006C59DF" w:rsidP="006C59DF">
      <w:pPr>
        <w:spacing w:after="240" w:line="276" w:lineRule="auto"/>
        <w:jc w:val="both"/>
      </w:pPr>
      <w:r w:rsidRPr="004A3DF8">
        <w:t>The number of individuals seropositive for recent markers was then modelled as:</w:t>
      </w:r>
    </w:p>
    <w:p w14:paraId="6111421C" w14:textId="77777777" w:rsidR="006C59DF" w:rsidRPr="00306A65" w:rsidRDefault="006C59DF" w:rsidP="006C59DF">
      <w:pPr>
        <w:spacing w:after="240" w:line="276" w:lineRule="auto"/>
        <w:jc w:val="both"/>
      </w:pPr>
    </w:p>
    <w:p w14:paraId="6E220FD3" w14:textId="40492FBF" w:rsidR="006C59DF" w:rsidRPr="00306A65" w:rsidRDefault="006C59DF" w:rsidP="006C59DF">
      <w:pPr>
        <w:spacing w:after="240" w:line="276" w:lineRule="auto"/>
        <w:jc w:val="both"/>
      </w:pPr>
      <m:oMathPara>
        <m:oMath>
          <m:r>
            <w:rPr>
              <w:rFonts w:ascii="Cambria Math" w:hAnsi="Cambria Math"/>
            </w:rPr>
            <m:t>P</m:t>
          </m:r>
          <m:sSubSup>
            <m:sSubSupPr>
              <m:ctrlPr>
                <w:rPr>
                  <w:rFonts w:ascii="Cambria Math" w:hAnsi="Cambria Math"/>
                  <w:i/>
                </w:rPr>
              </m:ctrlPr>
            </m:sSubSupPr>
            <m:e>
              <m:r>
                <w:rPr>
                  <w:rFonts w:ascii="Cambria Math" w:hAnsi="Cambria Math"/>
                </w:rPr>
                <m:t>F</m:t>
              </m:r>
            </m:e>
            <m:sub>
              <m:r>
                <w:rPr>
                  <w:rFonts w:ascii="Cambria Math" w:hAnsi="Cambria Math"/>
                </w:rPr>
                <m:t>j</m:t>
              </m:r>
            </m:sub>
            <m:sup>
              <m:r>
                <w:rPr>
                  <w:rFonts w:ascii="Cambria Math" w:hAnsi="Cambria Math"/>
                </w:rPr>
                <m:t>REC</m:t>
              </m:r>
            </m:sup>
          </m:sSubSup>
          <m:r>
            <w:rPr>
              <w:rFonts w:ascii="Cambria Math" w:hAnsi="Cambria Math"/>
            </w:rPr>
            <m:t>~Binomial</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,(1-</m:t>
              </m:r>
              <m:sSubSup>
                <m:sSubSupPr>
                  <m:ctrlPr>
                    <w:rPr>
                      <w:rFonts w:ascii="Cambria Math" w:hAnsi="Cambria Math"/>
                      <w:i/>
                    </w:rPr>
                  </m:ctrlPr>
                </m:sSubSupPr>
                <m:e>
                  <m:r>
                    <w:rPr>
                      <w:rFonts w:ascii="Cambria Math" w:hAnsi="Cambria Math"/>
                    </w:rPr>
                    <m:t>π</m:t>
                  </m:r>
                </m:e>
                <m:sub>
                  <m:r>
                    <w:rPr>
                      <w:rFonts w:ascii="Cambria Math" w:hAnsi="Cambria Math"/>
                    </w:rPr>
                    <m:t>j</m:t>
                  </m:r>
                </m:sub>
                <m:sup>
                  <m:r>
                    <w:rPr>
                      <w:rFonts w:ascii="Cambria Math" w:hAnsi="Cambria Math"/>
                    </w:rPr>
                    <m:t>REC</m:t>
                  </m:r>
                </m:sup>
              </m:sSubSup>
              <m:r>
                <w:rPr>
                  <w:rFonts w:ascii="Cambria Math" w:hAnsi="Cambria Math"/>
                </w:rPr>
                <m:t>)</m:t>
              </m:r>
            </m:e>
          </m:d>
          <m:r>
            <w:rPr>
              <w:rFonts w:ascii="Cambria Math" w:hAnsi="Cambria Math"/>
            </w:rPr>
            <m:t xml:space="preserve"> </m:t>
          </m:r>
        </m:oMath>
      </m:oMathPara>
    </w:p>
    <w:p w14:paraId="2BC601D2" w14:textId="77777777" w:rsidR="006C59DF" w:rsidRPr="00306A65" w:rsidRDefault="006C59DF" w:rsidP="006C59DF">
      <w:pPr>
        <w:spacing w:after="240" w:line="276" w:lineRule="auto"/>
        <w:jc w:val="both"/>
      </w:pPr>
    </w:p>
    <w:p w14:paraId="6640ABFB" w14:textId="77777777" w:rsidR="006C59DF" w:rsidRPr="004A3DF8" w:rsidRDefault="006C59DF" w:rsidP="006C59DF">
      <w:pPr>
        <w:spacing w:after="240" w:line="276" w:lineRule="auto"/>
        <w:jc w:val="both"/>
      </w:pPr>
      <w:r w:rsidRPr="004A3DF8">
        <w:t xml:space="preserve">where </w:t>
      </w:r>
      <m:oMath>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 xml:space="preserve"> </m:t>
        </m:r>
      </m:oMath>
      <w:r w:rsidRPr="004A3DF8">
        <w:t xml:space="preserve">is the number of individuals tested at facility </w:t>
      </w:r>
      <m:oMath>
        <m:r>
          <w:rPr>
            <w:rFonts w:ascii="Cambria Math" w:hAnsi="Cambria Math"/>
          </w:rPr>
          <m:t>j</m:t>
        </m:r>
      </m:oMath>
      <w:r w:rsidRPr="004A3DF8">
        <w:t>.</w:t>
      </w:r>
    </w:p>
    <w:p w14:paraId="5A129C17" w14:textId="4AC60829" w:rsidR="006C59DF" w:rsidRPr="00306A65" w:rsidRDefault="006C59DF" w:rsidP="006C59DF">
      <w:pPr>
        <w:spacing w:after="240" w:line="276" w:lineRule="auto"/>
      </w:pPr>
      <w:r w:rsidRPr="004A3DF8">
        <w:t>Historical exposure (long-term antibodies).</w:t>
      </w:r>
      <w:r w:rsidRPr="004A3DF8">
        <w:br/>
      </w:r>
      <w:r w:rsidR="00603CE9">
        <w:t>L</w:t>
      </w:r>
      <w:r w:rsidRPr="00306A65">
        <w:t xml:space="preserve">ong-lived antibodies reflect cumulative exposure over multiple </w:t>
      </w:r>
      <w:proofErr w:type="gramStart"/>
      <w:r w:rsidRPr="00306A65">
        <w:t>years, and</w:t>
      </w:r>
      <w:proofErr w:type="gramEnd"/>
      <w:r w:rsidRPr="00306A65">
        <w:t xml:space="preserve"> provide an estimate </w:t>
      </w:r>
      <w:r w:rsidRPr="00306A65">
        <w:lastRenderedPageBreak/>
        <w:t>of historical malaria burden. The probability of remaining unexposed over the entire observation window was defined as</w:t>
      </w:r>
    </w:p>
    <w:p w14:paraId="16FB0B61" w14:textId="77777777" w:rsidR="006C59DF" w:rsidRPr="004A3DF8" w:rsidRDefault="00000000" w:rsidP="006C59DF">
      <w:pPr>
        <w:spacing w:after="240" w:line="276" w:lineRule="auto"/>
      </w:pPr>
      <m:oMathPara>
        <m:oMath>
          <m:sSubSup>
            <m:sSubSupPr>
              <m:ctrlPr>
                <w:rPr>
                  <w:rFonts w:ascii="Cambria Math" w:hAnsi="Cambria Math"/>
                  <w:i/>
                </w:rPr>
              </m:ctrlPr>
            </m:sSubSupPr>
            <m:e>
              <m:r>
                <w:rPr>
                  <w:rFonts w:ascii="Cambria Math" w:hAnsi="Cambria Math"/>
                </w:rPr>
                <m:t>π</m:t>
              </m:r>
            </m:e>
            <m:sub>
              <m:r>
                <w:rPr>
                  <w:rFonts w:ascii="Cambria Math" w:hAnsi="Cambria Math"/>
                </w:rPr>
                <m:t>j</m:t>
              </m:r>
            </m:sub>
            <m:sup>
              <m:r>
                <w:rPr>
                  <w:rFonts w:ascii="Cambria Math" w:hAnsi="Cambria Math"/>
                </w:rPr>
                <m:t>HIST</m:t>
              </m:r>
            </m:sup>
          </m:sSubSup>
          <m:r>
            <w:rPr>
              <w:rFonts w:ascii="Cambria Math" w:hAnsi="Cambria Math"/>
            </w:rPr>
            <m:t>=</m:t>
          </m:r>
          <m:nary>
            <m:naryPr>
              <m:chr m:val="∏"/>
              <m:limLoc m:val="undOvr"/>
              <m:ctrlPr>
                <w:rPr>
                  <w:rFonts w:ascii="Cambria Math" w:hAnsi="Cambria Math"/>
                  <w:i/>
                </w:rPr>
              </m:ctrlPr>
            </m:naryPr>
            <m:sub>
              <m:r>
                <w:rPr>
                  <w:rFonts w:ascii="Cambria Math" w:hAnsi="Cambria Math"/>
                </w:rPr>
                <m:t>t=1</m:t>
              </m:r>
            </m:sub>
            <m:sup>
              <m:r>
                <w:rPr>
                  <w:rFonts w:ascii="Cambria Math" w:hAnsi="Cambria Math"/>
                </w:rPr>
                <m:t>I</m:t>
              </m:r>
            </m:sup>
            <m:e>
              <m:r>
                <w:rPr>
                  <w:rFonts w:ascii="Cambria Math" w:hAnsi="Cambria Math"/>
                </w:rPr>
                <m:t>(1-</m:t>
              </m:r>
              <m:sSubSup>
                <m:sSubSupPr>
                  <m:ctrlPr>
                    <w:rPr>
                      <w:rFonts w:ascii="Cambria Math" w:hAnsi="Cambria Math" w:cs="Arial"/>
                      <w:color w:val="202124"/>
                      <w:shd w:val="clear" w:color="auto" w:fill="FFFFFF"/>
                    </w:rPr>
                  </m:ctrlPr>
                </m:sSubSupPr>
                <m:e>
                  <m:r>
                    <m:rPr>
                      <m:sty m:val="p"/>
                    </m:rPr>
                    <w:rPr>
                      <w:rFonts w:ascii="Cambria Math" w:hAnsi="Cambria Math" w:cs="Arial"/>
                      <w:color w:val="202124"/>
                      <w:shd w:val="clear" w:color="auto" w:fill="FFFFFF"/>
                    </w:rPr>
                    <m:t>λ</m:t>
                  </m:r>
                </m:e>
                <m:sub>
                  <m:r>
                    <w:rPr>
                      <w:rFonts w:ascii="Cambria Math" w:eastAsia="Arial" w:hAnsi="Cambria Math" w:cs="Arial"/>
                      <w:color w:val="000000" w:themeColor="text1"/>
                    </w:rPr>
                    <m:t xml:space="preserve">t,j </m:t>
                  </m:r>
                  <m:ctrlPr>
                    <w:rPr>
                      <w:rFonts w:ascii="Cambria Math" w:eastAsia="Arial" w:hAnsi="Cambria Math" w:cs="Arial"/>
                      <w:i/>
                      <w:color w:val="000000" w:themeColor="text1"/>
                    </w:rPr>
                  </m:ctrlPr>
                </m:sub>
                <m:sup>
                  <m:r>
                    <m:rPr>
                      <m:sty m:val="p"/>
                    </m:rPr>
                    <w:rPr>
                      <w:rFonts w:ascii="Cambria Math" w:hAnsi="Cambria Math" w:cs="Arial"/>
                      <w:color w:val="202124"/>
                      <w:shd w:val="clear" w:color="auto" w:fill="FFFFFF"/>
                    </w:rPr>
                    <m:t>E</m:t>
                  </m:r>
                </m:sup>
              </m:sSubSup>
              <m:r>
                <w:rPr>
                  <w:rFonts w:ascii="Cambria Math" w:hAnsi="Cambria Math"/>
                </w:rPr>
                <m:t>)</m:t>
              </m:r>
            </m:e>
          </m:nary>
        </m:oMath>
      </m:oMathPara>
    </w:p>
    <w:p w14:paraId="37F046BB" w14:textId="77777777" w:rsidR="006C59DF" w:rsidRPr="00306A65" w:rsidRDefault="006C59DF" w:rsidP="006C59DF">
      <w:pPr>
        <w:spacing w:after="240" w:line="276" w:lineRule="auto"/>
      </w:pPr>
    </w:p>
    <w:p w14:paraId="17D63A25" w14:textId="77777777" w:rsidR="006C59DF" w:rsidRPr="00306A65" w:rsidRDefault="006C59DF" w:rsidP="006C59DF">
      <w:pPr>
        <w:spacing w:after="240" w:line="276" w:lineRule="auto"/>
      </w:pPr>
      <w:r w:rsidRPr="00306A65">
        <w:t>and the number of seropositive individuals for historical markers was modelled as:</w:t>
      </w:r>
    </w:p>
    <w:p w14:paraId="1081587D" w14:textId="6BB04736" w:rsidR="006C59DF" w:rsidRPr="00306A65" w:rsidRDefault="006C59DF" w:rsidP="006C59DF">
      <w:pPr>
        <w:spacing w:after="240" w:line="276" w:lineRule="auto"/>
        <w:jc w:val="both"/>
      </w:pPr>
      <m:oMathPara>
        <m:oMath>
          <m:r>
            <w:rPr>
              <w:rFonts w:ascii="Cambria Math" w:hAnsi="Cambria Math"/>
            </w:rPr>
            <m:t>P</m:t>
          </m:r>
          <m:sSubSup>
            <m:sSubSupPr>
              <m:ctrlPr>
                <w:rPr>
                  <w:rFonts w:ascii="Cambria Math" w:hAnsi="Cambria Math"/>
                  <w:i/>
                </w:rPr>
              </m:ctrlPr>
            </m:sSubSupPr>
            <m:e>
              <m:r>
                <w:rPr>
                  <w:rFonts w:ascii="Cambria Math" w:hAnsi="Cambria Math"/>
                </w:rPr>
                <m:t>F</m:t>
              </m:r>
            </m:e>
            <m:sub>
              <m:r>
                <w:rPr>
                  <w:rFonts w:ascii="Cambria Math" w:hAnsi="Cambria Math"/>
                </w:rPr>
                <m:t>j</m:t>
              </m:r>
            </m:sub>
            <m:sup>
              <m:r>
                <w:rPr>
                  <w:rFonts w:ascii="Cambria Math" w:hAnsi="Cambria Math"/>
                </w:rPr>
                <m:t>HIST</m:t>
              </m:r>
            </m:sup>
          </m:sSubSup>
          <m:r>
            <w:rPr>
              <w:rFonts w:ascii="Cambria Math" w:hAnsi="Cambria Math"/>
            </w:rPr>
            <m:t>~Binomial</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,(1-</m:t>
              </m:r>
              <m:sSubSup>
                <m:sSubSupPr>
                  <m:ctrlPr>
                    <w:rPr>
                      <w:rFonts w:ascii="Cambria Math" w:hAnsi="Cambria Math"/>
                      <w:i/>
                    </w:rPr>
                  </m:ctrlPr>
                </m:sSubSupPr>
                <m:e>
                  <m:r>
                    <w:rPr>
                      <w:rFonts w:ascii="Cambria Math" w:hAnsi="Cambria Math"/>
                    </w:rPr>
                    <m:t>π</m:t>
                  </m:r>
                </m:e>
                <m:sub>
                  <m:r>
                    <w:rPr>
                      <w:rFonts w:ascii="Cambria Math" w:hAnsi="Cambria Math"/>
                    </w:rPr>
                    <m:t>j</m:t>
                  </m:r>
                </m:sub>
                <m:sup>
                  <m:r>
                    <w:rPr>
                      <w:rFonts w:ascii="Cambria Math" w:hAnsi="Cambria Math"/>
                    </w:rPr>
                    <m:t>HIST</m:t>
                  </m:r>
                </m:sup>
              </m:sSubSup>
              <m:r>
                <w:rPr>
                  <w:rFonts w:ascii="Cambria Math" w:hAnsi="Cambria Math"/>
                </w:rPr>
                <m:t>)</m:t>
              </m:r>
            </m:e>
          </m:d>
          <m:r>
            <w:rPr>
              <w:rFonts w:ascii="Cambria Math" w:hAnsi="Cambria Math"/>
            </w:rPr>
            <m:t xml:space="preserve"> </m:t>
          </m:r>
        </m:oMath>
      </m:oMathPara>
    </w:p>
    <w:p w14:paraId="4D2C6BFB" w14:textId="77777777" w:rsidR="006C59DF" w:rsidRPr="00306A65" w:rsidRDefault="006C59DF" w:rsidP="006C59DF">
      <w:pPr>
        <w:spacing w:after="240" w:line="276" w:lineRule="auto"/>
      </w:pPr>
    </w:p>
    <w:p w14:paraId="3C375B58" w14:textId="77777777" w:rsidR="006C59DF" w:rsidRDefault="006C59DF" w:rsidP="006C59DF">
      <w:pPr>
        <w:spacing w:after="240" w:line="276" w:lineRule="auto"/>
      </w:pPr>
      <w:r w:rsidRPr="00306A65">
        <w:t xml:space="preserve">By integrating serology alongside PCR and routine case data, the FFI model </w:t>
      </w:r>
      <w:proofErr w:type="gramStart"/>
      <w:r w:rsidRPr="00306A65">
        <w:t>is able to</w:t>
      </w:r>
      <w:proofErr w:type="gramEnd"/>
      <w:r w:rsidRPr="00306A65">
        <w:t xml:space="preserve"> capture both short-term infection dynamics (through PCR and recent markers) and long-term exposure histories (through persistent antibodies). This strengthens inference on malaria transmission and provides an additional line of evidence to assess elimination progress in low-burden settings.</w:t>
      </w:r>
    </w:p>
    <w:p w14:paraId="32B80CAC" w14:textId="77777777" w:rsidR="006C59DF" w:rsidRDefault="006C59DF" w:rsidP="006C59DF">
      <w:pPr>
        <w:spacing w:after="240" w:line="276" w:lineRule="auto"/>
      </w:pPr>
      <w:r w:rsidRPr="00445683">
        <w:t>Together, these extensions enabled the FFI model to integrate facility-level heterogeneity and independent infection markers, strengthening inference on both malaria transmission and surveillance system sensitivity in Cabo Verde</w:t>
      </w:r>
      <w:r>
        <w:t>.</w:t>
      </w:r>
    </w:p>
    <w:p w14:paraId="12B228EB" w14:textId="36F2C097" w:rsidR="00F27442" w:rsidRDefault="00F27442">
      <w:r>
        <w:br w:type="page"/>
      </w:r>
    </w:p>
    <w:p w14:paraId="5B3DED66" w14:textId="4D116607" w:rsidR="00F27442" w:rsidRDefault="00F27442" w:rsidP="00F27442">
      <w:pPr>
        <w:spacing w:after="240" w:line="276" w:lineRule="auto"/>
        <w:jc w:val="both"/>
        <w:rPr>
          <w:b/>
          <w:bCs/>
        </w:rPr>
      </w:pPr>
      <w:r w:rsidRPr="00306A65">
        <w:rPr>
          <w:b/>
          <w:bCs/>
        </w:rPr>
        <w:lastRenderedPageBreak/>
        <w:t xml:space="preserve">Supplementary </w:t>
      </w:r>
      <w:r w:rsidR="00603CE9">
        <w:rPr>
          <w:b/>
          <w:bCs/>
        </w:rPr>
        <w:t>i</w:t>
      </w:r>
      <w:r w:rsidRPr="00306A65">
        <w:rPr>
          <w:b/>
          <w:bCs/>
        </w:rPr>
        <w:t xml:space="preserve">nformation </w:t>
      </w:r>
      <w:r w:rsidR="00603CE9">
        <w:rPr>
          <w:b/>
          <w:bCs/>
        </w:rPr>
        <w:t>a</w:t>
      </w:r>
      <w:r w:rsidRPr="00306A65">
        <w:rPr>
          <w:b/>
          <w:bCs/>
        </w:rPr>
        <w:t xml:space="preserve">ppendix </w:t>
      </w:r>
      <w:r>
        <w:rPr>
          <w:b/>
          <w:bCs/>
        </w:rPr>
        <w:t>3</w:t>
      </w:r>
      <w:r w:rsidRPr="00306A65">
        <w:rPr>
          <w:b/>
          <w:bCs/>
        </w:rPr>
        <w:t xml:space="preserve">: </w:t>
      </w:r>
      <w:r w:rsidR="00603CE9" w:rsidRPr="00603CE9">
        <w:rPr>
          <w:b/>
          <w:bCs/>
        </w:rPr>
        <w:t>Full prior specification</w:t>
      </w:r>
    </w:p>
    <w:p w14:paraId="72FB33A3" w14:textId="2A33D74D" w:rsidR="00EF506B" w:rsidRPr="00EF506B" w:rsidRDefault="00F27442" w:rsidP="00EF506B">
      <w:pPr>
        <w:spacing w:after="240" w:line="276" w:lineRule="auto"/>
      </w:pPr>
      <w:r w:rsidRPr="006B36F5">
        <w:rPr>
          <w:b/>
          <w:bCs/>
          <w:lang w:val="en-GB"/>
        </w:rPr>
        <w:t>Table S</w:t>
      </w:r>
      <w:r w:rsidR="00603CE9">
        <w:rPr>
          <w:b/>
          <w:bCs/>
          <w:lang w:val="en-GB"/>
        </w:rPr>
        <w:t>3</w:t>
      </w:r>
      <w:r w:rsidRPr="006B36F5">
        <w:rPr>
          <w:b/>
          <w:bCs/>
          <w:lang w:val="en-GB"/>
        </w:rPr>
        <w:t xml:space="preserve"> </w:t>
      </w:r>
      <w:r w:rsidRPr="006B36F5">
        <w:rPr>
          <w:lang w:val="en-GB"/>
        </w:rPr>
        <w:t xml:space="preserve">– </w:t>
      </w:r>
      <w:r w:rsidR="00EF506B" w:rsidRPr="00EF506B">
        <w:t xml:space="preserve">Description of model parameters and prior distributions used in the Freedom </w:t>
      </w:r>
      <w:proofErr w:type="gramStart"/>
      <w:r w:rsidR="00EF506B" w:rsidRPr="00EF506B">
        <w:t>From</w:t>
      </w:r>
      <w:proofErr w:type="gramEnd"/>
      <w:r w:rsidR="00EF506B" w:rsidRPr="00EF506B">
        <w:t xml:space="preserve"> Infection (FFI) framework and Cabo Verde model extensions. The table </w:t>
      </w:r>
      <w:proofErr w:type="spellStart"/>
      <w:r w:rsidR="00EF506B" w:rsidRPr="00EF506B">
        <w:t>summarises</w:t>
      </w:r>
      <w:proofErr w:type="spellEnd"/>
      <w:r w:rsidR="00EF506B" w:rsidRPr="00EF506B">
        <w:t xml:space="preserve"> parameters governing the latent state process (malaria transmission), observation process (malaria detection through the health system), and study-specific extensions including risk stratification and imported infection detection capacity. Priors were informed by a combination of expert knowledge, literature evidence, and empirical data, following the original FFI framework with modifications described for the Cabo Verde application</w:t>
      </w:r>
      <w:r w:rsidR="00603CE9">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1"/>
        <w:gridCol w:w="1199"/>
        <w:gridCol w:w="3544"/>
        <w:gridCol w:w="3336"/>
      </w:tblGrid>
      <w:tr w:rsidR="00EF506B" w:rsidRPr="00260A6A" w14:paraId="7360D623" w14:textId="77777777" w:rsidTr="00260A6A">
        <w:trPr>
          <w:jc w:val="center"/>
        </w:trPr>
        <w:tc>
          <w:tcPr>
            <w:tcW w:w="1211" w:type="dxa"/>
            <w:tcBorders>
              <w:bottom w:val="single" w:sz="4" w:space="0" w:color="auto"/>
            </w:tcBorders>
          </w:tcPr>
          <w:p w14:paraId="585FBB72" w14:textId="3D0AEBA7" w:rsidR="00EF506B" w:rsidRPr="00260A6A" w:rsidRDefault="00EF506B" w:rsidP="00675FB0">
            <w:pPr>
              <w:rPr>
                <w:rFonts w:cstheme="minorHAnsi"/>
                <w:b/>
                <w:bCs/>
                <w:sz w:val="20"/>
                <w:szCs w:val="20"/>
              </w:rPr>
            </w:pPr>
            <w:r w:rsidRPr="00260A6A">
              <w:rPr>
                <w:rFonts w:cstheme="minorHAnsi"/>
                <w:b/>
                <w:bCs/>
                <w:sz w:val="20"/>
                <w:szCs w:val="20"/>
              </w:rPr>
              <w:t>Process</w:t>
            </w:r>
          </w:p>
        </w:tc>
        <w:tc>
          <w:tcPr>
            <w:tcW w:w="1199" w:type="dxa"/>
            <w:tcBorders>
              <w:bottom w:val="single" w:sz="4" w:space="0" w:color="auto"/>
            </w:tcBorders>
          </w:tcPr>
          <w:p w14:paraId="494145ED" w14:textId="130F98A5" w:rsidR="00EF506B" w:rsidRPr="00260A6A" w:rsidRDefault="00EF506B" w:rsidP="00675FB0">
            <w:pPr>
              <w:rPr>
                <w:rFonts w:cstheme="minorHAnsi"/>
                <w:sz w:val="20"/>
                <w:szCs w:val="20"/>
              </w:rPr>
            </w:pPr>
            <w:r w:rsidRPr="00260A6A">
              <w:rPr>
                <w:rFonts w:cstheme="minorHAnsi"/>
                <w:b/>
                <w:bCs/>
                <w:sz w:val="20"/>
                <w:szCs w:val="20"/>
              </w:rPr>
              <w:t>Parameter</w:t>
            </w:r>
          </w:p>
        </w:tc>
        <w:tc>
          <w:tcPr>
            <w:tcW w:w="3544" w:type="dxa"/>
            <w:tcBorders>
              <w:bottom w:val="single" w:sz="4" w:space="0" w:color="auto"/>
            </w:tcBorders>
          </w:tcPr>
          <w:p w14:paraId="6824711C" w14:textId="43DDF242" w:rsidR="00EF506B" w:rsidRPr="00260A6A" w:rsidRDefault="00EF506B" w:rsidP="00675FB0">
            <w:pPr>
              <w:rPr>
                <w:rFonts w:cstheme="minorHAnsi"/>
                <w:sz w:val="20"/>
                <w:szCs w:val="20"/>
              </w:rPr>
            </w:pPr>
            <w:proofErr w:type="spellStart"/>
            <w:r w:rsidRPr="00260A6A">
              <w:rPr>
                <w:rFonts w:cstheme="minorHAnsi"/>
                <w:b/>
                <w:bCs/>
                <w:sz w:val="20"/>
                <w:szCs w:val="20"/>
              </w:rPr>
              <w:t>Descirption</w:t>
            </w:r>
            <w:proofErr w:type="spellEnd"/>
          </w:p>
        </w:tc>
        <w:tc>
          <w:tcPr>
            <w:tcW w:w="3336" w:type="dxa"/>
            <w:tcBorders>
              <w:bottom w:val="single" w:sz="4" w:space="0" w:color="auto"/>
            </w:tcBorders>
          </w:tcPr>
          <w:p w14:paraId="59141B1C" w14:textId="44C63C32" w:rsidR="00EF506B" w:rsidRPr="00260A6A" w:rsidRDefault="00EF506B" w:rsidP="00675FB0">
            <w:pPr>
              <w:rPr>
                <w:rFonts w:cstheme="minorHAnsi"/>
                <w:sz w:val="20"/>
                <w:szCs w:val="20"/>
              </w:rPr>
            </w:pPr>
            <w:r w:rsidRPr="00260A6A">
              <w:rPr>
                <w:rFonts w:cstheme="minorHAnsi"/>
                <w:b/>
                <w:bCs/>
                <w:sz w:val="20"/>
                <w:szCs w:val="20"/>
              </w:rPr>
              <w:t>Prior</w:t>
            </w:r>
          </w:p>
        </w:tc>
      </w:tr>
      <w:tr w:rsidR="00EF506B" w:rsidRPr="00260A6A" w14:paraId="33D50C0E" w14:textId="77777777" w:rsidTr="00260A6A">
        <w:trPr>
          <w:jc w:val="center"/>
        </w:trPr>
        <w:tc>
          <w:tcPr>
            <w:tcW w:w="1211" w:type="dxa"/>
            <w:vMerge w:val="restart"/>
            <w:tcBorders>
              <w:top w:val="single" w:sz="4" w:space="0" w:color="auto"/>
              <w:bottom w:val="nil"/>
            </w:tcBorders>
            <w:vAlign w:val="center"/>
          </w:tcPr>
          <w:p w14:paraId="7CC008BD" w14:textId="06F57B19" w:rsidR="00EF506B" w:rsidRPr="00260A6A" w:rsidRDefault="00EF506B" w:rsidP="00EF506B">
            <w:pPr>
              <w:rPr>
                <w:rFonts w:eastAsia="DengXian Light" w:cstheme="minorHAnsi"/>
                <w:color w:val="000000" w:themeColor="text1"/>
                <w:sz w:val="20"/>
                <w:szCs w:val="20"/>
              </w:rPr>
            </w:pPr>
            <w:r w:rsidRPr="00260A6A">
              <w:rPr>
                <w:rFonts w:eastAsia="DengXian Light" w:cstheme="minorHAnsi"/>
                <w:color w:val="000000" w:themeColor="text1"/>
                <w:sz w:val="20"/>
                <w:szCs w:val="20"/>
              </w:rPr>
              <w:t>State</w:t>
            </w:r>
          </w:p>
        </w:tc>
        <w:tc>
          <w:tcPr>
            <w:tcW w:w="1199" w:type="dxa"/>
            <w:tcBorders>
              <w:top w:val="single" w:sz="4" w:space="0" w:color="auto"/>
              <w:bottom w:val="single" w:sz="4" w:space="0" w:color="auto"/>
            </w:tcBorders>
          </w:tcPr>
          <w:p w14:paraId="6503FC2A" w14:textId="6BA6E585" w:rsidR="00EF506B" w:rsidRPr="00260A6A" w:rsidRDefault="00000000" w:rsidP="00675FB0">
            <w:pPr>
              <w:rPr>
                <w:rFonts w:cstheme="minorHAnsi"/>
                <w:sz w:val="20"/>
                <w:szCs w:val="20"/>
              </w:rPr>
            </w:pPr>
            <m:oMathPara>
              <m:oMath>
                <m:sSub>
                  <m:sSubPr>
                    <m:ctrlPr>
                      <w:rPr>
                        <w:rFonts w:ascii="Cambria Math" w:eastAsia="Arial" w:hAnsi="Cambria Math" w:cstheme="minorHAnsi"/>
                        <w:i/>
                        <w:color w:val="000000" w:themeColor="text1"/>
                        <w:sz w:val="20"/>
                        <w:szCs w:val="20"/>
                      </w:rPr>
                    </m:ctrlPr>
                  </m:sSubPr>
                  <m:e>
                    <m:r>
                      <w:rPr>
                        <w:rFonts w:ascii="Cambria Math" w:eastAsia="Arial" w:hAnsi="Cambria Math" w:cstheme="minorHAnsi"/>
                        <w:color w:val="000000" w:themeColor="text1"/>
                        <w:sz w:val="20"/>
                        <w:szCs w:val="20"/>
                      </w:rPr>
                      <m:t>α</m:t>
                    </m:r>
                  </m:e>
                  <m:sub>
                    <m:r>
                      <w:rPr>
                        <w:rFonts w:ascii="Cambria Math" w:eastAsia="Arial" w:hAnsi="Cambria Math" w:cstheme="minorHAnsi"/>
                        <w:color w:val="000000" w:themeColor="text1"/>
                        <w:sz w:val="20"/>
                        <w:szCs w:val="20"/>
                      </w:rPr>
                      <m:t>0,j</m:t>
                    </m:r>
                  </m:sub>
                </m:sSub>
              </m:oMath>
            </m:oMathPara>
          </w:p>
        </w:tc>
        <w:tc>
          <w:tcPr>
            <w:tcW w:w="3544" w:type="dxa"/>
            <w:tcBorders>
              <w:top w:val="single" w:sz="4" w:space="0" w:color="auto"/>
              <w:bottom w:val="single" w:sz="4" w:space="0" w:color="auto"/>
            </w:tcBorders>
          </w:tcPr>
          <w:p w14:paraId="64EDD669" w14:textId="4462B7D6" w:rsidR="00EF506B" w:rsidRPr="00260A6A" w:rsidRDefault="00EF506B" w:rsidP="00675FB0">
            <w:pPr>
              <w:rPr>
                <w:rFonts w:cstheme="minorHAnsi"/>
                <w:sz w:val="20"/>
                <w:szCs w:val="20"/>
              </w:rPr>
            </w:pPr>
            <w:r w:rsidRPr="00260A6A">
              <w:rPr>
                <w:rFonts w:cstheme="minorHAnsi"/>
                <w:sz w:val="20"/>
                <w:szCs w:val="20"/>
              </w:rPr>
              <w:t>Average endemic cases</w:t>
            </w:r>
          </w:p>
        </w:tc>
        <w:tc>
          <w:tcPr>
            <w:tcW w:w="3336" w:type="dxa"/>
            <w:tcBorders>
              <w:top w:val="single" w:sz="4" w:space="0" w:color="auto"/>
              <w:bottom w:val="single" w:sz="4" w:space="0" w:color="auto"/>
            </w:tcBorders>
          </w:tcPr>
          <w:p w14:paraId="13475D5A" w14:textId="2F64EE96" w:rsidR="00EF506B" w:rsidRPr="00260A6A" w:rsidRDefault="00EF506B" w:rsidP="00F27442">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Gamma (1, 1)</w:t>
            </w:r>
          </w:p>
        </w:tc>
      </w:tr>
      <w:tr w:rsidR="00EF506B" w:rsidRPr="00260A6A" w14:paraId="0348709C" w14:textId="77777777" w:rsidTr="00260A6A">
        <w:trPr>
          <w:jc w:val="center"/>
        </w:trPr>
        <w:tc>
          <w:tcPr>
            <w:tcW w:w="1211" w:type="dxa"/>
            <w:vMerge/>
            <w:tcBorders>
              <w:top w:val="nil"/>
            </w:tcBorders>
            <w:vAlign w:val="center"/>
          </w:tcPr>
          <w:p w14:paraId="49929E7C" w14:textId="77777777" w:rsidR="00EF506B" w:rsidRPr="00260A6A" w:rsidRDefault="00EF506B" w:rsidP="00EF506B">
            <w:pPr>
              <w:rPr>
                <w:rFonts w:eastAsia="DengXian Light" w:cstheme="minorHAnsi"/>
                <w:color w:val="000000" w:themeColor="text1"/>
                <w:sz w:val="20"/>
                <w:szCs w:val="20"/>
              </w:rPr>
            </w:pPr>
          </w:p>
        </w:tc>
        <w:tc>
          <w:tcPr>
            <w:tcW w:w="1199" w:type="dxa"/>
            <w:tcBorders>
              <w:top w:val="single" w:sz="4" w:space="0" w:color="auto"/>
              <w:bottom w:val="single" w:sz="4" w:space="0" w:color="auto"/>
            </w:tcBorders>
          </w:tcPr>
          <w:p w14:paraId="0F3C3E12" w14:textId="6E1C2A60" w:rsidR="00EF506B" w:rsidRPr="00260A6A" w:rsidRDefault="00000000" w:rsidP="00675FB0">
            <w:pPr>
              <w:rPr>
                <w:rFonts w:cstheme="minorHAnsi"/>
                <w:sz w:val="20"/>
                <w:szCs w:val="20"/>
              </w:rPr>
            </w:pPr>
            <m:oMathPara>
              <m:oMath>
                <m:sSub>
                  <m:sSubPr>
                    <m:ctrlPr>
                      <w:rPr>
                        <w:rFonts w:ascii="Cambria Math" w:eastAsia="Arial" w:hAnsi="Cambria Math" w:cstheme="minorHAnsi"/>
                        <w:i/>
                        <w:color w:val="000000" w:themeColor="text1"/>
                        <w:sz w:val="20"/>
                        <w:szCs w:val="20"/>
                      </w:rPr>
                    </m:ctrlPr>
                  </m:sSubPr>
                  <m:e>
                    <m:r>
                      <w:rPr>
                        <w:rFonts w:ascii="Cambria Math" w:eastAsia="Arial" w:hAnsi="Cambria Math" w:cstheme="minorHAnsi"/>
                        <w:color w:val="000000" w:themeColor="text1"/>
                        <w:sz w:val="20"/>
                        <w:szCs w:val="20"/>
                      </w:rPr>
                      <m:t>α</m:t>
                    </m:r>
                  </m:e>
                  <m:sub>
                    <m:r>
                      <w:rPr>
                        <w:rFonts w:ascii="Cambria Math" w:eastAsia="Arial" w:hAnsi="Cambria Math" w:cstheme="minorHAnsi"/>
                        <w:color w:val="000000" w:themeColor="text1"/>
                        <w:sz w:val="20"/>
                        <w:szCs w:val="20"/>
                      </w:rPr>
                      <m:t>1</m:t>
                    </m:r>
                  </m:sub>
                </m:sSub>
              </m:oMath>
            </m:oMathPara>
          </w:p>
        </w:tc>
        <w:tc>
          <w:tcPr>
            <w:tcW w:w="3544" w:type="dxa"/>
            <w:tcBorders>
              <w:top w:val="single" w:sz="4" w:space="0" w:color="auto"/>
              <w:bottom w:val="single" w:sz="4" w:space="0" w:color="auto"/>
            </w:tcBorders>
          </w:tcPr>
          <w:p w14:paraId="1525E8DF" w14:textId="2483FA6D" w:rsidR="00EF506B" w:rsidRPr="00260A6A" w:rsidRDefault="00EF506B" w:rsidP="00675FB0">
            <w:pPr>
              <w:rPr>
                <w:rFonts w:cstheme="minorHAnsi"/>
                <w:sz w:val="20"/>
                <w:szCs w:val="20"/>
              </w:rPr>
            </w:pPr>
            <w:r w:rsidRPr="00260A6A">
              <w:rPr>
                <w:rFonts w:cstheme="minorHAnsi"/>
                <w:sz w:val="20"/>
                <w:szCs w:val="20"/>
              </w:rPr>
              <w:t>Autoregressive term 1</w:t>
            </w:r>
          </w:p>
        </w:tc>
        <w:tc>
          <w:tcPr>
            <w:tcW w:w="3336" w:type="dxa"/>
            <w:tcBorders>
              <w:top w:val="single" w:sz="4" w:space="0" w:color="auto"/>
              <w:bottom w:val="single" w:sz="4" w:space="0" w:color="auto"/>
            </w:tcBorders>
          </w:tcPr>
          <w:p w14:paraId="6A636C8E" w14:textId="2CABE619" w:rsidR="00EF506B" w:rsidRPr="00260A6A" w:rsidRDefault="00EF506B" w:rsidP="00F27442">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Norm (0, 1000)</w:t>
            </w:r>
          </w:p>
        </w:tc>
      </w:tr>
      <w:tr w:rsidR="00EF506B" w:rsidRPr="00260A6A" w14:paraId="2C68EA83" w14:textId="77777777" w:rsidTr="00260A6A">
        <w:trPr>
          <w:jc w:val="center"/>
        </w:trPr>
        <w:tc>
          <w:tcPr>
            <w:tcW w:w="1211" w:type="dxa"/>
            <w:vMerge/>
            <w:vAlign w:val="center"/>
          </w:tcPr>
          <w:p w14:paraId="03926713" w14:textId="77777777" w:rsidR="00EF506B" w:rsidRPr="00260A6A" w:rsidRDefault="00EF506B" w:rsidP="00EF506B">
            <w:pPr>
              <w:rPr>
                <w:rFonts w:eastAsia="DengXian Light" w:cstheme="minorHAnsi"/>
                <w:color w:val="000000" w:themeColor="text1"/>
                <w:sz w:val="20"/>
                <w:szCs w:val="20"/>
              </w:rPr>
            </w:pPr>
          </w:p>
        </w:tc>
        <w:tc>
          <w:tcPr>
            <w:tcW w:w="1199" w:type="dxa"/>
            <w:tcBorders>
              <w:top w:val="single" w:sz="4" w:space="0" w:color="auto"/>
              <w:bottom w:val="single" w:sz="4" w:space="0" w:color="auto"/>
            </w:tcBorders>
          </w:tcPr>
          <w:p w14:paraId="0D14CF2A" w14:textId="18D6CD65" w:rsidR="00EF506B" w:rsidRPr="00260A6A" w:rsidRDefault="00000000" w:rsidP="00675FB0">
            <w:pPr>
              <w:rPr>
                <w:rFonts w:cstheme="minorHAnsi"/>
                <w:sz w:val="20"/>
                <w:szCs w:val="20"/>
              </w:rPr>
            </w:pPr>
            <m:oMathPara>
              <m:oMath>
                <m:sSub>
                  <m:sSubPr>
                    <m:ctrlPr>
                      <w:rPr>
                        <w:rFonts w:ascii="Cambria Math" w:eastAsia="Arial" w:hAnsi="Cambria Math" w:cstheme="minorHAnsi"/>
                        <w:i/>
                        <w:color w:val="000000" w:themeColor="text1"/>
                        <w:sz w:val="20"/>
                        <w:szCs w:val="20"/>
                      </w:rPr>
                    </m:ctrlPr>
                  </m:sSubPr>
                  <m:e>
                    <m:r>
                      <w:rPr>
                        <w:rFonts w:ascii="Cambria Math" w:eastAsia="Arial" w:hAnsi="Cambria Math" w:cstheme="minorHAnsi"/>
                        <w:color w:val="000000" w:themeColor="text1"/>
                        <w:sz w:val="20"/>
                        <w:szCs w:val="20"/>
                      </w:rPr>
                      <m:t>α</m:t>
                    </m:r>
                  </m:e>
                  <m:sub>
                    <m:r>
                      <w:rPr>
                        <w:rFonts w:ascii="Cambria Math" w:eastAsia="Arial" w:hAnsi="Cambria Math" w:cstheme="minorHAnsi"/>
                        <w:color w:val="000000" w:themeColor="text1"/>
                        <w:sz w:val="20"/>
                        <w:szCs w:val="20"/>
                      </w:rPr>
                      <m:t>2</m:t>
                    </m:r>
                  </m:sub>
                </m:sSub>
              </m:oMath>
            </m:oMathPara>
          </w:p>
        </w:tc>
        <w:tc>
          <w:tcPr>
            <w:tcW w:w="3544" w:type="dxa"/>
            <w:tcBorders>
              <w:top w:val="single" w:sz="4" w:space="0" w:color="auto"/>
              <w:bottom w:val="single" w:sz="4" w:space="0" w:color="auto"/>
            </w:tcBorders>
          </w:tcPr>
          <w:p w14:paraId="725C4477" w14:textId="0A5EA5F6" w:rsidR="00EF506B" w:rsidRPr="00260A6A" w:rsidRDefault="00EF506B" w:rsidP="00675FB0">
            <w:pPr>
              <w:rPr>
                <w:rFonts w:cstheme="minorHAnsi"/>
                <w:sz w:val="20"/>
                <w:szCs w:val="20"/>
              </w:rPr>
            </w:pPr>
            <w:r w:rsidRPr="00260A6A">
              <w:rPr>
                <w:rFonts w:cstheme="minorHAnsi"/>
                <w:sz w:val="20"/>
                <w:szCs w:val="20"/>
              </w:rPr>
              <w:t>Autoregressive term 2</w:t>
            </w:r>
          </w:p>
        </w:tc>
        <w:tc>
          <w:tcPr>
            <w:tcW w:w="3336" w:type="dxa"/>
            <w:tcBorders>
              <w:top w:val="single" w:sz="4" w:space="0" w:color="auto"/>
              <w:bottom w:val="single" w:sz="4" w:space="0" w:color="auto"/>
            </w:tcBorders>
          </w:tcPr>
          <w:p w14:paraId="58BB81A1" w14:textId="79CE85B2" w:rsidR="00EF506B" w:rsidRPr="00260A6A" w:rsidRDefault="00EF506B" w:rsidP="00F27442">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Norm (0, 1000)</w:t>
            </w:r>
          </w:p>
        </w:tc>
      </w:tr>
      <w:tr w:rsidR="00EF506B" w:rsidRPr="00260A6A" w14:paraId="5CDFE3D3" w14:textId="77777777" w:rsidTr="00260A6A">
        <w:trPr>
          <w:jc w:val="center"/>
        </w:trPr>
        <w:tc>
          <w:tcPr>
            <w:tcW w:w="1211" w:type="dxa"/>
            <w:vMerge/>
            <w:vAlign w:val="center"/>
          </w:tcPr>
          <w:p w14:paraId="79FA67C1" w14:textId="77777777" w:rsidR="00EF506B" w:rsidRPr="00260A6A" w:rsidRDefault="00EF506B" w:rsidP="00EF506B">
            <w:pPr>
              <w:rPr>
                <w:rFonts w:eastAsia="Calibri" w:cstheme="minorHAnsi"/>
                <w:color w:val="000000" w:themeColor="text1"/>
                <w:sz w:val="20"/>
                <w:szCs w:val="20"/>
              </w:rPr>
            </w:pPr>
          </w:p>
        </w:tc>
        <w:tc>
          <w:tcPr>
            <w:tcW w:w="1199" w:type="dxa"/>
            <w:tcBorders>
              <w:top w:val="single" w:sz="4" w:space="0" w:color="auto"/>
              <w:bottom w:val="single" w:sz="4" w:space="0" w:color="auto"/>
            </w:tcBorders>
          </w:tcPr>
          <w:p w14:paraId="2EB58A45" w14:textId="2288ED0A" w:rsidR="00EF506B" w:rsidRPr="00260A6A" w:rsidRDefault="00000000" w:rsidP="00B9184F">
            <w:pPr>
              <w:rPr>
                <w:rFonts w:eastAsia="Calibri" w:cstheme="minorHAnsi"/>
                <w:color w:val="000000" w:themeColor="text1"/>
                <w:sz w:val="20"/>
                <w:szCs w:val="20"/>
              </w:rPr>
            </w:pPr>
            <m:oMathPara>
              <m:oMath>
                <m:sSup>
                  <m:sSupPr>
                    <m:ctrlPr>
                      <w:rPr>
                        <w:rFonts w:ascii="Cambria Math" w:eastAsia="Arial" w:hAnsi="Cambria Math" w:cstheme="minorHAnsi"/>
                        <w:i/>
                        <w:color w:val="000000" w:themeColor="text1"/>
                        <w:sz w:val="20"/>
                        <w:szCs w:val="20"/>
                      </w:rPr>
                    </m:ctrlPr>
                  </m:sSupPr>
                  <m:e>
                    <m:r>
                      <w:rPr>
                        <w:rFonts w:ascii="Cambria Math" w:eastAsia="Arial" w:hAnsi="Cambria Math" w:cstheme="minorHAnsi"/>
                        <w:color w:val="000000" w:themeColor="text1"/>
                        <w:sz w:val="20"/>
                        <w:szCs w:val="20"/>
                      </w:rPr>
                      <m:t>α</m:t>
                    </m:r>
                  </m:e>
                  <m:sup>
                    <m:r>
                      <w:rPr>
                        <w:rFonts w:ascii="Cambria Math" w:eastAsia="Arial" w:hAnsi="Cambria Math" w:cstheme="minorHAnsi"/>
                        <w:color w:val="000000" w:themeColor="text1"/>
                        <w:sz w:val="20"/>
                        <w:szCs w:val="20"/>
                      </w:rPr>
                      <m:t>mid</m:t>
                    </m:r>
                  </m:sup>
                </m:sSup>
              </m:oMath>
            </m:oMathPara>
          </w:p>
        </w:tc>
        <w:tc>
          <w:tcPr>
            <w:tcW w:w="3544" w:type="dxa"/>
            <w:tcBorders>
              <w:top w:val="single" w:sz="4" w:space="0" w:color="auto"/>
              <w:bottom w:val="single" w:sz="4" w:space="0" w:color="auto"/>
            </w:tcBorders>
          </w:tcPr>
          <w:p w14:paraId="058632D7" w14:textId="6B6FA0C2" w:rsidR="00EF506B" w:rsidRPr="00260A6A" w:rsidRDefault="00EF506B" w:rsidP="00B9184F">
            <w:pPr>
              <w:rPr>
                <w:rFonts w:cstheme="minorHAnsi"/>
                <w:sz w:val="20"/>
                <w:szCs w:val="20"/>
              </w:rPr>
            </w:pPr>
            <w:r w:rsidRPr="00260A6A">
              <w:rPr>
                <w:rFonts w:cstheme="minorHAnsi"/>
                <w:sz w:val="20"/>
                <w:szCs w:val="20"/>
              </w:rPr>
              <w:t>Effect of mid-risk stratum on endemic force of infection</w:t>
            </w:r>
          </w:p>
        </w:tc>
        <w:tc>
          <w:tcPr>
            <w:tcW w:w="3336" w:type="dxa"/>
            <w:tcBorders>
              <w:top w:val="single" w:sz="4" w:space="0" w:color="auto"/>
              <w:bottom w:val="single" w:sz="4" w:space="0" w:color="auto"/>
            </w:tcBorders>
          </w:tcPr>
          <w:p w14:paraId="0859174F" w14:textId="2380F101" w:rsidR="00EF506B" w:rsidRPr="00260A6A" w:rsidRDefault="00EF506B" w:rsidP="00B9184F">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Norm (0, 1000)</w:t>
            </w:r>
          </w:p>
        </w:tc>
      </w:tr>
      <w:tr w:rsidR="00EF506B" w:rsidRPr="00260A6A" w14:paraId="77BF0FE6" w14:textId="77777777" w:rsidTr="00260A6A">
        <w:trPr>
          <w:jc w:val="center"/>
        </w:trPr>
        <w:tc>
          <w:tcPr>
            <w:tcW w:w="1211" w:type="dxa"/>
            <w:vMerge/>
            <w:vAlign w:val="center"/>
          </w:tcPr>
          <w:p w14:paraId="2DED9C97" w14:textId="77777777" w:rsidR="00EF506B" w:rsidRPr="00260A6A" w:rsidRDefault="00EF506B" w:rsidP="00EF506B">
            <w:pPr>
              <w:rPr>
                <w:rFonts w:eastAsia="Calibri" w:cstheme="minorHAnsi"/>
                <w:color w:val="000000" w:themeColor="text1"/>
                <w:sz w:val="20"/>
                <w:szCs w:val="20"/>
              </w:rPr>
            </w:pPr>
          </w:p>
        </w:tc>
        <w:tc>
          <w:tcPr>
            <w:tcW w:w="1199" w:type="dxa"/>
            <w:tcBorders>
              <w:top w:val="single" w:sz="4" w:space="0" w:color="auto"/>
              <w:bottom w:val="single" w:sz="4" w:space="0" w:color="auto"/>
            </w:tcBorders>
          </w:tcPr>
          <w:p w14:paraId="10897E94" w14:textId="166B5020" w:rsidR="00EF506B" w:rsidRPr="00260A6A" w:rsidRDefault="00000000" w:rsidP="00B9184F">
            <w:pPr>
              <w:rPr>
                <w:rFonts w:eastAsia="Calibri" w:cstheme="minorHAnsi"/>
                <w:color w:val="000000" w:themeColor="text1"/>
                <w:sz w:val="20"/>
                <w:szCs w:val="20"/>
              </w:rPr>
            </w:pPr>
            <m:oMathPara>
              <m:oMath>
                <m:sSup>
                  <m:sSupPr>
                    <m:ctrlPr>
                      <w:rPr>
                        <w:rFonts w:ascii="Cambria Math" w:eastAsia="Arial" w:hAnsi="Cambria Math" w:cstheme="minorHAnsi"/>
                        <w:i/>
                        <w:color w:val="000000" w:themeColor="text1"/>
                        <w:sz w:val="20"/>
                        <w:szCs w:val="20"/>
                      </w:rPr>
                    </m:ctrlPr>
                  </m:sSupPr>
                  <m:e>
                    <m:r>
                      <w:rPr>
                        <w:rFonts w:ascii="Cambria Math" w:eastAsia="Arial" w:hAnsi="Cambria Math" w:cstheme="minorHAnsi"/>
                        <w:color w:val="000000" w:themeColor="text1"/>
                        <w:sz w:val="20"/>
                        <w:szCs w:val="20"/>
                      </w:rPr>
                      <m:t>α</m:t>
                    </m:r>
                  </m:e>
                  <m:sup>
                    <m:r>
                      <w:rPr>
                        <w:rFonts w:ascii="Cambria Math" w:eastAsia="Arial" w:hAnsi="Cambria Math" w:cstheme="minorHAnsi"/>
                        <w:color w:val="000000" w:themeColor="text1"/>
                        <w:sz w:val="20"/>
                        <w:szCs w:val="20"/>
                      </w:rPr>
                      <m:t>high</m:t>
                    </m:r>
                  </m:sup>
                </m:sSup>
              </m:oMath>
            </m:oMathPara>
          </w:p>
        </w:tc>
        <w:tc>
          <w:tcPr>
            <w:tcW w:w="3544" w:type="dxa"/>
            <w:tcBorders>
              <w:top w:val="single" w:sz="4" w:space="0" w:color="auto"/>
              <w:bottom w:val="single" w:sz="4" w:space="0" w:color="auto"/>
            </w:tcBorders>
          </w:tcPr>
          <w:p w14:paraId="05C9B149" w14:textId="723B625A" w:rsidR="00EF506B" w:rsidRPr="00260A6A" w:rsidRDefault="00EF506B" w:rsidP="00B9184F">
            <w:pPr>
              <w:rPr>
                <w:rFonts w:cstheme="minorHAnsi"/>
                <w:sz w:val="20"/>
                <w:szCs w:val="20"/>
              </w:rPr>
            </w:pPr>
            <w:r w:rsidRPr="00260A6A">
              <w:rPr>
                <w:rFonts w:cstheme="minorHAnsi"/>
                <w:sz w:val="20"/>
                <w:szCs w:val="20"/>
              </w:rPr>
              <w:t>Effect of high-risk stratum on endemic force of infection</w:t>
            </w:r>
          </w:p>
        </w:tc>
        <w:tc>
          <w:tcPr>
            <w:tcW w:w="3336" w:type="dxa"/>
            <w:tcBorders>
              <w:top w:val="single" w:sz="4" w:space="0" w:color="auto"/>
              <w:bottom w:val="single" w:sz="4" w:space="0" w:color="auto"/>
            </w:tcBorders>
          </w:tcPr>
          <w:p w14:paraId="25A2F5DE" w14:textId="554FC719" w:rsidR="00EF506B" w:rsidRPr="00260A6A" w:rsidRDefault="00EF506B" w:rsidP="00B9184F">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Norm (0, 1000)</w:t>
            </w:r>
          </w:p>
        </w:tc>
      </w:tr>
      <w:tr w:rsidR="00EF506B" w:rsidRPr="00603CE9" w14:paraId="25E644BE" w14:textId="77777777" w:rsidTr="00260A6A">
        <w:trPr>
          <w:jc w:val="center"/>
        </w:trPr>
        <w:tc>
          <w:tcPr>
            <w:tcW w:w="1211" w:type="dxa"/>
            <w:vMerge/>
            <w:vAlign w:val="center"/>
          </w:tcPr>
          <w:p w14:paraId="17E88E9C" w14:textId="77777777" w:rsidR="00EF506B" w:rsidRPr="00260A6A" w:rsidRDefault="00EF506B" w:rsidP="00EF506B">
            <w:pPr>
              <w:rPr>
                <w:rFonts w:eastAsia="Calibri" w:cstheme="minorHAnsi"/>
                <w:color w:val="000000" w:themeColor="text1"/>
                <w:sz w:val="20"/>
                <w:szCs w:val="20"/>
              </w:rPr>
            </w:pPr>
          </w:p>
        </w:tc>
        <w:tc>
          <w:tcPr>
            <w:tcW w:w="1199" w:type="dxa"/>
            <w:tcBorders>
              <w:top w:val="single" w:sz="4" w:space="0" w:color="auto"/>
              <w:bottom w:val="single" w:sz="4" w:space="0" w:color="auto"/>
            </w:tcBorders>
          </w:tcPr>
          <w:p w14:paraId="4FF96214" w14:textId="0F9D12D7" w:rsidR="00EF506B" w:rsidRPr="00260A6A" w:rsidRDefault="00000000" w:rsidP="00B9184F">
            <w:pPr>
              <w:rPr>
                <w:rFonts w:cstheme="minorHAnsi"/>
                <w:sz w:val="20"/>
                <w:szCs w:val="20"/>
              </w:rPr>
            </w:pPr>
            <m:oMathPara>
              <m:oMath>
                <m:sSub>
                  <m:sSubPr>
                    <m:ctrlPr>
                      <w:rPr>
                        <w:rFonts w:ascii="Cambria Math" w:eastAsia="Arial" w:hAnsi="Cambria Math" w:cstheme="minorHAnsi"/>
                        <w:i/>
                        <w:color w:val="000000" w:themeColor="text1"/>
                        <w:sz w:val="20"/>
                        <w:szCs w:val="20"/>
                      </w:rPr>
                    </m:ctrlPr>
                  </m:sSubPr>
                  <m:e>
                    <m:r>
                      <w:rPr>
                        <w:rFonts w:ascii="Cambria Math" w:eastAsia="Arial" w:hAnsi="Cambria Math" w:cstheme="minorHAnsi"/>
                        <w:color w:val="000000" w:themeColor="text1"/>
                        <w:sz w:val="20"/>
                        <w:szCs w:val="20"/>
                      </w:rPr>
                      <m:t>ε</m:t>
                    </m:r>
                  </m:e>
                  <m:sub>
                    <m:r>
                      <w:rPr>
                        <w:rFonts w:ascii="Cambria Math" w:eastAsia="Arial" w:hAnsi="Cambria Math" w:cstheme="minorHAnsi"/>
                        <w:color w:val="000000" w:themeColor="text1"/>
                        <w:sz w:val="20"/>
                        <w:szCs w:val="20"/>
                      </w:rPr>
                      <m:t>i,j</m:t>
                    </m:r>
                  </m:sub>
                </m:sSub>
              </m:oMath>
            </m:oMathPara>
          </w:p>
        </w:tc>
        <w:tc>
          <w:tcPr>
            <w:tcW w:w="3544" w:type="dxa"/>
            <w:tcBorders>
              <w:top w:val="single" w:sz="4" w:space="0" w:color="auto"/>
              <w:bottom w:val="single" w:sz="4" w:space="0" w:color="auto"/>
            </w:tcBorders>
          </w:tcPr>
          <w:p w14:paraId="2D3485D7" w14:textId="19D9EF5A" w:rsidR="00EF506B" w:rsidRPr="00260A6A" w:rsidRDefault="00EF506B" w:rsidP="00B9184F">
            <w:pPr>
              <w:rPr>
                <w:rFonts w:cstheme="minorHAnsi"/>
                <w:sz w:val="20"/>
                <w:szCs w:val="20"/>
              </w:rPr>
            </w:pPr>
            <w:r w:rsidRPr="00260A6A">
              <w:rPr>
                <w:rFonts w:cstheme="minorHAnsi"/>
                <w:sz w:val="20"/>
                <w:szCs w:val="20"/>
              </w:rPr>
              <w:t>Overdispersion parameter</w:t>
            </w:r>
          </w:p>
        </w:tc>
        <w:tc>
          <w:tcPr>
            <w:tcW w:w="3336" w:type="dxa"/>
            <w:tcBorders>
              <w:top w:val="single" w:sz="4" w:space="0" w:color="auto"/>
              <w:bottom w:val="single" w:sz="4" w:space="0" w:color="auto"/>
            </w:tcBorders>
          </w:tcPr>
          <w:p w14:paraId="49FBD388" w14:textId="07CAF7D2" w:rsidR="00EF506B" w:rsidRPr="00260A6A" w:rsidRDefault="00EF506B" w:rsidP="00B9184F">
            <w:pPr>
              <w:rPr>
                <w:rFonts w:cstheme="minorHAnsi"/>
                <w:sz w:val="20"/>
                <w:szCs w:val="20"/>
                <w:lang w:val="nl-NL"/>
              </w:rPr>
            </w:pPr>
            <w:r w:rsidRPr="00260A6A">
              <w:rPr>
                <w:rFonts w:ascii="Cambria Math" w:hAnsi="Cambria Math" w:cs="Cambria Math"/>
                <w:sz w:val="20"/>
                <w:szCs w:val="20"/>
                <w:lang w:val="nl-NL"/>
              </w:rPr>
              <w:t>∼</w:t>
            </w:r>
            <w:r w:rsidRPr="00260A6A">
              <w:rPr>
                <w:rFonts w:cstheme="minorHAnsi"/>
                <w:sz w:val="20"/>
                <w:szCs w:val="20"/>
                <w:lang w:val="nl-NL"/>
              </w:rPr>
              <w:t xml:space="preserve"> Norm (0, 1/</w:t>
            </w:r>
            <m:oMath>
              <m:sSub>
                <m:sSubPr>
                  <m:ctrlPr>
                    <w:rPr>
                      <w:rFonts w:ascii="Cambria Math" w:hAnsi="Cambria Math" w:cstheme="minorHAnsi"/>
                      <w:i/>
                      <w:sz w:val="20"/>
                      <w:szCs w:val="20"/>
                    </w:rPr>
                  </m:ctrlPr>
                </m:sSubPr>
                <m:e>
                  <m:r>
                    <w:rPr>
                      <w:rFonts w:ascii="Cambria Math" w:hAnsi="Cambria Math" w:cstheme="minorHAnsi"/>
                      <w:sz w:val="20"/>
                      <w:szCs w:val="20"/>
                    </w:rPr>
                    <m:t>τ</m:t>
                  </m:r>
                </m:e>
                <m:sub>
                  <m:r>
                    <w:rPr>
                      <w:rFonts w:ascii="Cambria Math" w:hAnsi="Cambria Math" w:cstheme="minorHAnsi"/>
                      <w:sz w:val="20"/>
                      <w:szCs w:val="20"/>
                    </w:rPr>
                    <m:t>E</m:t>
                  </m:r>
                </m:sub>
              </m:sSub>
            </m:oMath>
            <w:r w:rsidRPr="00260A6A">
              <w:rPr>
                <w:rFonts w:cstheme="minorHAnsi"/>
                <w:sz w:val="20"/>
                <w:szCs w:val="20"/>
                <w:lang w:val="nl-NL"/>
              </w:rPr>
              <w:t xml:space="preserve">) </w:t>
            </w:r>
          </w:p>
          <w:p w14:paraId="52FF4426" w14:textId="10BF7952" w:rsidR="00EF506B" w:rsidRPr="00260A6A" w:rsidRDefault="00000000" w:rsidP="00B9184F">
            <w:pPr>
              <w:rPr>
                <w:rFonts w:cstheme="minorHAnsi"/>
                <w:sz w:val="20"/>
                <w:szCs w:val="20"/>
                <w:lang w:val="nl-NL"/>
              </w:rPr>
            </w:pPr>
            <m:oMath>
              <m:sSub>
                <m:sSubPr>
                  <m:ctrlPr>
                    <w:rPr>
                      <w:rFonts w:ascii="Cambria Math" w:hAnsi="Cambria Math" w:cstheme="minorHAnsi"/>
                      <w:i/>
                      <w:sz w:val="20"/>
                      <w:szCs w:val="20"/>
                    </w:rPr>
                  </m:ctrlPr>
                </m:sSubPr>
                <m:e>
                  <m:r>
                    <w:rPr>
                      <w:rFonts w:ascii="Cambria Math" w:hAnsi="Cambria Math" w:cstheme="minorHAnsi"/>
                      <w:sz w:val="20"/>
                      <w:szCs w:val="20"/>
                    </w:rPr>
                    <m:t>τ</m:t>
                  </m:r>
                </m:e>
                <m:sub>
                  <m:r>
                    <w:rPr>
                      <w:rFonts w:ascii="Cambria Math" w:hAnsi="Cambria Math" w:cstheme="minorHAnsi"/>
                      <w:sz w:val="20"/>
                      <w:szCs w:val="20"/>
                    </w:rPr>
                    <m:t>E</m:t>
                  </m:r>
                </m:sub>
              </m:sSub>
            </m:oMath>
            <w:r w:rsidR="00EF506B" w:rsidRPr="00260A6A">
              <w:rPr>
                <w:rFonts w:cstheme="minorHAnsi"/>
                <w:sz w:val="20"/>
                <w:szCs w:val="20"/>
                <w:lang w:val="nl-NL"/>
              </w:rPr>
              <w:t xml:space="preserve"> </w:t>
            </w:r>
            <w:r w:rsidR="00EF506B" w:rsidRPr="00260A6A">
              <w:rPr>
                <w:rFonts w:ascii="Cambria Math" w:hAnsi="Cambria Math" w:cs="Cambria Math"/>
                <w:sz w:val="20"/>
                <w:szCs w:val="20"/>
                <w:lang w:val="nl-NL"/>
              </w:rPr>
              <w:t>∼</w:t>
            </w:r>
            <w:r w:rsidR="00EF506B" w:rsidRPr="00260A6A">
              <w:rPr>
                <w:rFonts w:cstheme="minorHAnsi"/>
                <w:sz w:val="20"/>
                <w:szCs w:val="20"/>
                <w:lang w:val="nl-NL"/>
              </w:rPr>
              <w:t xml:space="preserve"> Gamma (1, 1)</w:t>
            </w:r>
          </w:p>
        </w:tc>
      </w:tr>
      <w:tr w:rsidR="00EF506B" w:rsidRPr="00603CE9" w14:paraId="36C2DC7F" w14:textId="77777777" w:rsidTr="00260A6A">
        <w:trPr>
          <w:jc w:val="center"/>
        </w:trPr>
        <w:tc>
          <w:tcPr>
            <w:tcW w:w="1211" w:type="dxa"/>
            <w:vMerge/>
            <w:vAlign w:val="center"/>
          </w:tcPr>
          <w:p w14:paraId="3D310758" w14:textId="77777777" w:rsidR="00EF506B" w:rsidRPr="00260A6A" w:rsidRDefault="00EF506B" w:rsidP="00EF506B">
            <w:pPr>
              <w:rPr>
                <w:rFonts w:eastAsia="Calibri" w:cstheme="minorHAnsi"/>
                <w:color w:val="000000" w:themeColor="text1"/>
                <w:sz w:val="20"/>
                <w:szCs w:val="20"/>
                <w:lang w:val="nl-NL"/>
              </w:rPr>
            </w:pPr>
          </w:p>
        </w:tc>
        <w:tc>
          <w:tcPr>
            <w:tcW w:w="1199" w:type="dxa"/>
            <w:tcBorders>
              <w:top w:val="single" w:sz="4" w:space="0" w:color="auto"/>
              <w:bottom w:val="single" w:sz="4" w:space="0" w:color="auto"/>
            </w:tcBorders>
          </w:tcPr>
          <w:p w14:paraId="0DE7E5D3" w14:textId="4FB3BB9B" w:rsidR="00EF506B" w:rsidRPr="00260A6A" w:rsidRDefault="00000000" w:rsidP="00B9184F">
            <w:pPr>
              <w:rPr>
                <w:rFonts w:cstheme="minorHAnsi"/>
                <w:sz w:val="20"/>
                <w:szCs w:val="20"/>
              </w:rPr>
            </w:pPr>
            <m:oMathPara>
              <m:oMath>
                <m:sSub>
                  <m:sSubPr>
                    <m:ctrlPr>
                      <w:rPr>
                        <w:rFonts w:ascii="Cambria Math" w:eastAsia="Arial" w:hAnsi="Cambria Math" w:cstheme="minorHAnsi"/>
                        <w:i/>
                        <w:color w:val="000000" w:themeColor="text1"/>
                        <w:sz w:val="20"/>
                        <w:szCs w:val="20"/>
                      </w:rPr>
                    </m:ctrlPr>
                  </m:sSubPr>
                  <m:e>
                    <m:r>
                      <w:rPr>
                        <w:rFonts w:ascii="Cambria Math" w:eastAsia="Arial" w:hAnsi="Cambria Math" w:cstheme="minorHAnsi"/>
                        <w:color w:val="000000" w:themeColor="text1"/>
                        <w:sz w:val="20"/>
                        <w:szCs w:val="20"/>
                      </w:rPr>
                      <m:t>φ</m:t>
                    </m:r>
                  </m:e>
                  <m:sub>
                    <m:r>
                      <w:rPr>
                        <w:rFonts w:ascii="Cambria Math" w:eastAsia="Arial" w:hAnsi="Cambria Math" w:cstheme="minorHAnsi"/>
                        <w:color w:val="000000" w:themeColor="text1"/>
                        <w:sz w:val="20"/>
                        <w:szCs w:val="20"/>
                      </w:rPr>
                      <m:t>i,j</m:t>
                    </m:r>
                  </m:sub>
                </m:sSub>
              </m:oMath>
            </m:oMathPara>
          </w:p>
        </w:tc>
        <w:tc>
          <w:tcPr>
            <w:tcW w:w="3544" w:type="dxa"/>
            <w:tcBorders>
              <w:top w:val="single" w:sz="4" w:space="0" w:color="auto"/>
              <w:bottom w:val="single" w:sz="4" w:space="0" w:color="auto"/>
            </w:tcBorders>
          </w:tcPr>
          <w:p w14:paraId="146876FE" w14:textId="622B2BC3" w:rsidR="00EF506B" w:rsidRPr="00260A6A" w:rsidRDefault="00EF506B" w:rsidP="00B9184F">
            <w:pPr>
              <w:rPr>
                <w:rFonts w:cstheme="minorHAnsi"/>
                <w:sz w:val="20"/>
                <w:szCs w:val="20"/>
              </w:rPr>
            </w:pPr>
            <w:r w:rsidRPr="00260A6A">
              <w:rPr>
                <w:rFonts w:cstheme="minorHAnsi"/>
                <w:sz w:val="20"/>
                <w:szCs w:val="20"/>
              </w:rPr>
              <w:t>Overdispersion parameter</w:t>
            </w:r>
          </w:p>
        </w:tc>
        <w:tc>
          <w:tcPr>
            <w:tcW w:w="3336" w:type="dxa"/>
            <w:tcBorders>
              <w:top w:val="single" w:sz="4" w:space="0" w:color="auto"/>
              <w:bottom w:val="single" w:sz="4" w:space="0" w:color="auto"/>
            </w:tcBorders>
          </w:tcPr>
          <w:p w14:paraId="4F68A1CB" w14:textId="69BE28FA" w:rsidR="00EF506B" w:rsidRPr="00260A6A" w:rsidRDefault="00EF506B" w:rsidP="00B9184F">
            <w:pPr>
              <w:rPr>
                <w:rFonts w:cstheme="minorHAnsi"/>
                <w:sz w:val="20"/>
                <w:szCs w:val="20"/>
                <w:lang w:val="nl-NL"/>
              </w:rPr>
            </w:pPr>
            <w:r w:rsidRPr="00260A6A">
              <w:rPr>
                <w:rFonts w:ascii="Cambria Math" w:hAnsi="Cambria Math" w:cs="Cambria Math"/>
                <w:sz w:val="20"/>
                <w:szCs w:val="20"/>
                <w:lang w:val="nl-NL"/>
              </w:rPr>
              <w:t>∼</w:t>
            </w:r>
            <w:r w:rsidRPr="00260A6A">
              <w:rPr>
                <w:rFonts w:cstheme="minorHAnsi"/>
                <w:sz w:val="20"/>
                <w:szCs w:val="20"/>
                <w:lang w:val="nl-NL"/>
              </w:rPr>
              <w:t xml:space="preserve"> Norm (0, 1/</w:t>
            </w:r>
            <m:oMath>
              <m:sSub>
                <m:sSubPr>
                  <m:ctrlPr>
                    <w:rPr>
                      <w:rFonts w:ascii="Cambria Math" w:hAnsi="Cambria Math" w:cstheme="minorHAnsi"/>
                      <w:i/>
                      <w:sz w:val="20"/>
                      <w:szCs w:val="20"/>
                    </w:rPr>
                  </m:ctrlPr>
                </m:sSubPr>
                <m:e>
                  <m:r>
                    <w:rPr>
                      <w:rFonts w:ascii="Cambria Math" w:hAnsi="Cambria Math" w:cstheme="minorHAnsi"/>
                      <w:sz w:val="20"/>
                      <w:szCs w:val="20"/>
                    </w:rPr>
                    <m:t>τ</m:t>
                  </m:r>
                </m:e>
                <m:sub>
                  <m:r>
                    <w:rPr>
                      <w:rFonts w:ascii="Cambria Math" w:hAnsi="Cambria Math" w:cstheme="minorHAnsi"/>
                      <w:sz w:val="20"/>
                      <w:szCs w:val="20"/>
                    </w:rPr>
                    <m:t>I</m:t>
                  </m:r>
                </m:sub>
              </m:sSub>
            </m:oMath>
            <w:r w:rsidRPr="00260A6A">
              <w:rPr>
                <w:rFonts w:cstheme="minorHAnsi"/>
                <w:sz w:val="20"/>
                <w:szCs w:val="20"/>
                <w:lang w:val="nl-NL"/>
              </w:rPr>
              <w:t xml:space="preserve">) </w:t>
            </w:r>
          </w:p>
          <w:p w14:paraId="06A9AF9D" w14:textId="545F3612" w:rsidR="00EF506B" w:rsidRPr="00260A6A" w:rsidRDefault="00000000" w:rsidP="00B9184F">
            <w:pPr>
              <w:rPr>
                <w:rFonts w:cstheme="minorHAnsi"/>
                <w:sz w:val="20"/>
                <w:szCs w:val="20"/>
                <w:lang w:val="nl-NL"/>
              </w:rPr>
            </w:pPr>
            <m:oMath>
              <m:sSub>
                <m:sSubPr>
                  <m:ctrlPr>
                    <w:rPr>
                      <w:rFonts w:ascii="Cambria Math" w:hAnsi="Cambria Math" w:cstheme="minorHAnsi"/>
                      <w:i/>
                      <w:sz w:val="20"/>
                      <w:szCs w:val="20"/>
                    </w:rPr>
                  </m:ctrlPr>
                </m:sSubPr>
                <m:e>
                  <m:r>
                    <w:rPr>
                      <w:rFonts w:ascii="Cambria Math" w:hAnsi="Cambria Math" w:cstheme="minorHAnsi"/>
                      <w:sz w:val="20"/>
                      <w:szCs w:val="20"/>
                    </w:rPr>
                    <m:t>τ</m:t>
                  </m:r>
                </m:e>
                <m:sub>
                  <m:r>
                    <w:rPr>
                      <w:rFonts w:ascii="Cambria Math" w:hAnsi="Cambria Math" w:cstheme="minorHAnsi"/>
                      <w:sz w:val="20"/>
                      <w:szCs w:val="20"/>
                    </w:rPr>
                    <m:t>I</m:t>
                  </m:r>
                </m:sub>
              </m:sSub>
            </m:oMath>
            <w:r w:rsidR="00EF506B" w:rsidRPr="00260A6A">
              <w:rPr>
                <w:rFonts w:cstheme="minorHAnsi"/>
                <w:sz w:val="20"/>
                <w:szCs w:val="20"/>
                <w:lang w:val="nl-NL"/>
              </w:rPr>
              <w:t xml:space="preserve"> </w:t>
            </w:r>
            <w:r w:rsidR="00EF506B" w:rsidRPr="00260A6A">
              <w:rPr>
                <w:rFonts w:ascii="Cambria Math" w:hAnsi="Cambria Math" w:cs="Cambria Math"/>
                <w:sz w:val="20"/>
                <w:szCs w:val="20"/>
                <w:lang w:val="nl-NL"/>
              </w:rPr>
              <w:t>∼</w:t>
            </w:r>
            <w:r w:rsidR="00EF506B" w:rsidRPr="00260A6A">
              <w:rPr>
                <w:rFonts w:cstheme="minorHAnsi"/>
                <w:sz w:val="20"/>
                <w:szCs w:val="20"/>
                <w:lang w:val="nl-NL"/>
              </w:rPr>
              <w:t xml:space="preserve"> Gamma (1, 1)</w:t>
            </w:r>
          </w:p>
        </w:tc>
      </w:tr>
      <w:tr w:rsidR="00EF506B" w:rsidRPr="00260A6A" w14:paraId="3D48722B" w14:textId="77777777" w:rsidTr="00260A6A">
        <w:trPr>
          <w:jc w:val="center"/>
        </w:trPr>
        <w:tc>
          <w:tcPr>
            <w:tcW w:w="1211" w:type="dxa"/>
            <w:vMerge/>
            <w:vAlign w:val="center"/>
          </w:tcPr>
          <w:p w14:paraId="47643D96" w14:textId="77777777" w:rsidR="00EF506B" w:rsidRPr="00260A6A" w:rsidRDefault="00EF506B" w:rsidP="00EF506B">
            <w:pPr>
              <w:rPr>
                <w:rFonts w:eastAsia="Calibri" w:cstheme="minorHAnsi"/>
                <w:color w:val="000000" w:themeColor="text1"/>
                <w:sz w:val="20"/>
                <w:szCs w:val="20"/>
                <w:lang w:val="nl-NL"/>
              </w:rPr>
            </w:pPr>
          </w:p>
        </w:tc>
        <w:tc>
          <w:tcPr>
            <w:tcW w:w="1199" w:type="dxa"/>
            <w:tcBorders>
              <w:top w:val="single" w:sz="4" w:space="0" w:color="auto"/>
              <w:bottom w:val="single" w:sz="4" w:space="0" w:color="auto"/>
            </w:tcBorders>
          </w:tcPr>
          <w:p w14:paraId="43902538" w14:textId="1CF3933D" w:rsidR="00EF506B" w:rsidRPr="00260A6A" w:rsidRDefault="00EF506B" w:rsidP="00B9184F">
            <w:pPr>
              <w:rPr>
                <w:rFonts w:cstheme="minorHAnsi"/>
                <w:sz w:val="20"/>
                <w:szCs w:val="20"/>
              </w:rPr>
            </w:pPr>
            <m:oMathPara>
              <m:oMath>
                <m:r>
                  <w:rPr>
                    <w:rFonts w:ascii="Cambria Math" w:eastAsia="Arial" w:hAnsi="Cambria Math" w:cstheme="minorHAnsi"/>
                    <w:color w:val="000000" w:themeColor="text1"/>
                    <w:sz w:val="20"/>
                    <w:szCs w:val="20"/>
                  </w:rPr>
                  <m:t>q</m:t>
                </m:r>
              </m:oMath>
            </m:oMathPara>
          </w:p>
        </w:tc>
        <w:tc>
          <w:tcPr>
            <w:tcW w:w="3544" w:type="dxa"/>
            <w:tcBorders>
              <w:top w:val="single" w:sz="4" w:space="0" w:color="auto"/>
              <w:bottom w:val="single" w:sz="4" w:space="0" w:color="auto"/>
            </w:tcBorders>
          </w:tcPr>
          <w:p w14:paraId="0BF0B1A9" w14:textId="26F4D09E" w:rsidR="00EF506B" w:rsidRPr="00260A6A" w:rsidRDefault="00EF506B" w:rsidP="00B9184F">
            <w:pPr>
              <w:rPr>
                <w:rFonts w:cstheme="minorHAnsi"/>
                <w:sz w:val="20"/>
                <w:szCs w:val="20"/>
              </w:rPr>
            </w:pPr>
            <w:r w:rsidRPr="00260A6A">
              <w:rPr>
                <w:rFonts w:cstheme="minorHAnsi"/>
                <w:sz w:val="20"/>
                <w:szCs w:val="20"/>
              </w:rPr>
              <w:t>Synchrony parameter</w:t>
            </w:r>
          </w:p>
        </w:tc>
        <w:tc>
          <w:tcPr>
            <w:tcW w:w="3336" w:type="dxa"/>
            <w:tcBorders>
              <w:top w:val="single" w:sz="4" w:space="0" w:color="auto"/>
              <w:bottom w:val="single" w:sz="4" w:space="0" w:color="auto"/>
            </w:tcBorders>
          </w:tcPr>
          <w:p w14:paraId="2BDC4B7B" w14:textId="42734907" w:rsidR="00EF506B" w:rsidRPr="00260A6A" w:rsidRDefault="00EF506B" w:rsidP="00B9184F">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Beta (1, 10)</w:t>
            </w:r>
          </w:p>
        </w:tc>
      </w:tr>
      <w:tr w:rsidR="00EF506B" w:rsidRPr="00260A6A" w14:paraId="7200EAD0" w14:textId="77777777" w:rsidTr="00260A6A">
        <w:trPr>
          <w:jc w:val="center"/>
        </w:trPr>
        <w:tc>
          <w:tcPr>
            <w:tcW w:w="1211" w:type="dxa"/>
            <w:vMerge/>
            <w:tcBorders>
              <w:bottom w:val="single" w:sz="4" w:space="0" w:color="auto"/>
            </w:tcBorders>
            <w:vAlign w:val="center"/>
          </w:tcPr>
          <w:p w14:paraId="488B4763" w14:textId="77777777" w:rsidR="00EF506B" w:rsidRPr="00260A6A" w:rsidRDefault="00EF506B" w:rsidP="00EF506B">
            <w:pPr>
              <w:rPr>
                <w:rFonts w:eastAsia="Calibri" w:cstheme="minorHAnsi"/>
                <w:color w:val="000000" w:themeColor="text1"/>
                <w:sz w:val="20"/>
                <w:szCs w:val="20"/>
              </w:rPr>
            </w:pPr>
          </w:p>
        </w:tc>
        <w:tc>
          <w:tcPr>
            <w:tcW w:w="1199" w:type="dxa"/>
            <w:tcBorders>
              <w:top w:val="single" w:sz="4" w:space="0" w:color="auto"/>
              <w:bottom w:val="single" w:sz="4" w:space="0" w:color="auto"/>
            </w:tcBorders>
          </w:tcPr>
          <w:p w14:paraId="39C21902" w14:textId="6B9B86B2" w:rsidR="00EF506B" w:rsidRPr="00260A6A" w:rsidRDefault="00EF506B" w:rsidP="00B9184F">
            <w:pPr>
              <w:rPr>
                <w:rFonts w:cstheme="minorHAnsi"/>
                <w:sz w:val="20"/>
                <w:szCs w:val="20"/>
              </w:rPr>
            </w:pPr>
            <m:oMathPara>
              <m:oMath>
                <m:r>
                  <w:rPr>
                    <w:rFonts w:ascii="Cambria Math" w:eastAsia="Arial" w:hAnsi="Cambria Math" w:cstheme="minorHAnsi"/>
                    <w:color w:val="000000" w:themeColor="text1"/>
                    <w:sz w:val="20"/>
                    <w:szCs w:val="20"/>
                  </w:rPr>
                  <m:t>γ</m:t>
                </m:r>
              </m:oMath>
            </m:oMathPara>
          </w:p>
        </w:tc>
        <w:tc>
          <w:tcPr>
            <w:tcW w:w="3544" w:type="dxa"/>
            <w:tcBorders>
              <w:top w:val="single" w:sz="4" w:space="0" w:color="auto"/>
              <w:bottom w:val="single" w:sz="4" w:space="0" w:color="auto"/>
            </w:tcBorders>
          </w:tcPr>
          <w:p w14:paraId="66463798" w14:textId="364657AD" w:rsidR="00EF506B" w:rsidRPr="00260A6A" w:rsidRDefault="00EF506B" w:rsidP="00B9184F">
            <w:pPr>
              <w:tabs>
                <w:tab w:val="left" w:pos="2208"/>
              </w:tabs>
              <w:rPr>
                <w:rFonts w:cstheme="minorHAnsi"/>
                <w:sz w:val="20"/>
                <w:szCs w:val="20"/>
              </w:rPr>
            </w:pPr>
            <w:r w:rsidRPr="00260A6A">
              <w:rPr>
                <w:rFonts w:cstheme="minorHAnsi"/>
                <w:sz w:val="20"/>
                <w:szCs w:val="20"/>
              </w:rPr>
              <w:t>Decay rate</w:t>
            </w:r>
            <w:r w:rsidRPr="00260A6A">
              <w:rPr>
                <w:rFonts w:cstheme="minorHAnsi"/>
                <w:sz w:val="20"/>
                <w:szCs w:val="20"/>
              </w:rPr>
              <w:tab/>
            </w:r>
          </w:p>
        </w:tc>
        <w:tc>
          <w:tcPr>
            <w:tcW w:w="3336" w:type="dxa"/>
            <w:tcBorders>
              <w:top w:val="single" w:sz="4" w:space="0" w:color="auto"/>
              <w:bottom w:val="single" w:sz="4" w:space="0" w:color="auto"/>
            </w:tcBorders>
          </w:tcPr>
          <w:p w14:paraId="2ECFB935" w14:textId="7723103B" w:rsidR="00EF506B" w:rsidRPr="00260A6A" w:rsidRDefault="00EF506B" w:rsidP="00B9184F">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Gamma (1, 0.1)</w:t>
            </w:r>
          </w:p>
        </w:tc>
      </w:tr>
      <w:tr w:rsidR="00EF506B" w:rsidRPr="00260A6A" w14:paraId="32754708" w14:textId="77777777" w:rsidTr="00260A6A">
        <w:trPr>
          <w:jc w:val="center"/>
        </w:trPr>
        <w:tc>
          <w:tcPr>
            <w:tcW w:w="1211" w:type="dxa"/>
            <w:vMerge w:val="restart"/>
            <w:tcBorders>
              <w:top w:val="single" w:sz="4" w:space="0" w:color="auto"/>
              <w:bottom w:val="nil"/>
            </w:tcBorders>
            <w:vAlign w:val="center"/>
          </w:tcPr>
          <w:p w14:paraId="4F761F7A" w14:textId="39F8601D" w:rsidR="00EF506B" w:rsidRPr="00260A6A" w:rsidRDefault="00EF506B" w:rsidP="00EF506B">
            <w:pPr>
              <w:rPr>
                <w:rFonts w:eastAsia="Calibri" w:cstheme="minorHAnsi"/>
                <w:color w:val="202124"/>
                <w:sz w:val="20"/>
                <w:szCs w:val="20"/>
                <w:shd w:val="clear" w:color="auto" w:fill="FFFFFF"/>
              </w:rPr>
            </w:pPr>
            <w:r w:rsidRPr="00260A6A">
              <w:rPr>
                <w:rFonts w:eastAsia="Calibri" w:cstheme="minorHAnsi"/>
                <w:color w:val="202124"/>
                <w:sz w:val="20"/>
                <w:szCs w:val="20"/>
                <w:shd w:val="clear" w:color="auto" w:fill="FFFFFF"/>
              </w:rPr>
              <w:t>Observation</w:t>
            </w:r>
          </w:p>
        </w:tc>
        <w:tc>
          <w:tcPr>
            <w:tcW w:w="1199" w:type="dxa"/>
            <w:tcBorders>
              <w:top w:val="single" w:sz="4" w:space="0" w:color="auto"/>
              <w:bottom w:val="single" w:sz="4" w:space="0" w:color="auto"/>
            </w:tcBorders>
          </w:tcPr>
          <w:p w14:paraId="6B4CF147" w14:textId="223E6A06" w:rsidR="00EF506B" w:rsidRPr="00260A6A" w:rsidRDefault="00000000" w:rsidP="00B9184F">
            <w:pPr>
              <w:rPr>
                <w:rFonts w:cstheme="minorHAnsi"/>
                <w:sz w:val="20"/>
                <w:szCs w:val="20"/>
              </w:rPr>
            </w:pPr>
            <m:oMathPara>
              <m:oMath>
                <m:sSub>
                  <m:sSubPr>
                    <m:ctrlPr>
                      <w:rPr>
                        <w:rFonts w:ascii="Cambria Math" w:hAnsi="Cambria Math" w:cstheme="minorHAnsi"/>
                        <w:i/>
                        <w:color w:val="202124"/>
                        <w:sz w:val="20"/>
                        <w:szCs w:val="20"/>
                        <w:shd w:val="clear" w:color="auto" w:fill="FFFFFF"/>
                      </w:rPr>
                    </m:ctrlPr>
                  </m:sSubPr>
                  <m:e>
                    <m:r>
                      <w:rPr>
                        <w:rFonts w:ascii="Cambria Math" w:hAnsi="Cambria Math" w:cstheme="minorHAnsi"/>
                        <w:color w:val="202124"/>
                        <w:sz w:val="20"/>
                        <w:szCs w:val="20"/>
                        <w:shd w:val="clear" w:color="auto" w:fill="FFFFFF"/>
                      </w:rPr>
                      <m:t>r</m:t>
                    </m:r>
                  </m:e>
                  <m:sub>
                    <m:r>
                      <w:rPr>
                        <w:rFonts w:ascii="Cambria Math" w:hAnsi="Cambria Math" w:cstheme="minorHAnsi"/>
                        <w:color w:val="202124"/>
                        <w:sz w:val="20"/>
                        <w:szCs w:val="20"/>
                        <w:shd w:val="clear" w:color="auto" w:fill="FFFFFF"/>
                      </w:rPr>
                      <m:t>j</m:t>
                    </m:r>
                  </m:sub>
                </m:sSub>
              </m:oMath>
            </m:oMathPara>
          </w:p>
        </w:tc>
        <w:tc>
          <w:tcPr>
            <w:tcW w:w="3544" w:type="dxa"/>
            <w:tcBorders>
              <w:top w:val="single" w:sz="4" w:space="0" w:color="auto"/>
              <w:bottom w:val="single" w:sz="4" w:space="0" w:color="auto"/>
            </w:tcBorders>
          </w:tcPr>
          <w:p w14:paraId="01D11234" w14:textId="5EBE89CF" w:rsidR="00EF506B" w:rsidRPr="00260A6A" w:rsidRDefault="00EF506B" w:rsidP="00B9184F">
            <w:pPr>
              <w:rPr>
                <w:rFonts w:cstheme="minorHAnsi"/>
                <w:sz w:val="20"/>
                <w:szCs w:val="20"/>
              </w:rPr>
            </w:pPr>
            <w:r w:rsidRPr="00260A6A">
              <w:rPr>
                <w:rFonts w:cstheme="minorHAnsi"/>
                <w:sz w:val="20"/>
                <w:szCs w:val="20"/>
              </w:rPr>
              <w:t>Proportion of ill people (non-malaria)</w:t>
            </w:r>
          </w:p>
        </w:tc>
        <w:tc>
          <w:tcPr>
            <w:tcW w:w="3336" w:type="dxa"/>
            <w:tcBorders>
              <w:top w:val="single" w:sz="4" w:space="0" w:color="auto"/>
              <w:bottom w:val="single" w:sz="4" w:space="0" w:color="auto"/>
            </w:tcBorders>
          </w:tcPr>
          <w:p w14:paraId="4CB40D76" w14:textId="0F9AFDC6" w:rsidR="00EF506B" w:rsidRPr="00260A6A" w:rsidRDefault="00EF506B" w:rsidP="00B9184F">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Beta (1, 10)</w:t>
            </w:r>
          </w:p>
        </w:tc>
      </w:tr>
      <w:tr w:rsidR="00EF506B" w:rsidRPr="00260A6A" w14:paraId="6F90D136" w14:textId="77777777" w:rsidTr="00260A6A">
        <w:trPr>
          <w:jc w:val="center"/>
        </w:trPr>
        <w:tc>
          <w:tcPr>
            <w:tcW w:w="1211" w:type="dxa"/>
            <w:vMerge/>
            <w:tcBorders>
              <w:top w:val="nil"/>
            </w:tcBorders>
          </w:tcPr>
          <w:p w14:paraId="4E5A6434" w14:textId="77777777" w:rsidR="00EF506B" w:rsidRPr="00260A6A" w:rsidRDefault="00EF506B" w:rsidP="00B9184F">
            <w:pPr>
              <w:rPr>
                <w:rFonts w:eastAsia="Calibri" w:cstheme="minorHAnsi"/>
                <w:color w:val="000000" w:themeColor="text1"/>
                <w:sz w:val="20"/>
                <w:szCs w:val="20"/>
              </w:rPr>
            </w:pPr>
          </w:p>
        </w:tc>
        <w:tc>
          <w:tcPr>
            <w:tcW w:w="1199" w:type="dxa"/>
            <w:tcBorders>
              <w:top w:val="single" w:sz="4" w:space="0" w:color="auto"/>
              <w:bottom w:val="single" w:sz="4" w:space="0" w:color="auto"/>
            </w:tcBorders>
          </w:tcPr>
          <w:p w14:paraId="53BEAFEA" w14:textId="01A2671D" w:rsidR="00EF506B" w:rsidRPr="00260A6A" w:rsidRDefault="00EF506B" w:rsidP="00B9184F">
            <w:pPr>
              <w:rPr>
                <w:rFonts w:cstheme="minorHAnsi"/>
                <w:sz w:val="20"/>
                <w:szCs w:val="20"/>
              </w:rPr>
            </w:pPr>
            <m:oMathPara>
              <m:oMath>
                <m:r>
                  <w:rPr>
                    <w:rFonts w:ascii="Cambria Math" w:eastAsia="Arial" w:hAnsi="Cambria Math" w:cstheme="minorHAnsi"/>
                    <w:color w:val="000000" w:themeColor="text1"/>
                    <w:sz w:val="20"/>
                    <w:szCs w:val="20"/>
                  </w:rPr>
                  <m:t>s</m:t>
                </m:r>
              </m:oMath>
            </m:oMathPara>
          </w:p>
        </w:tc>
        <w:tc>
          <w:tcPr>
            <w:tcW w:w="3544" w:type="dxa"/>
            <w:tcBorders>
              <w:top w:val="single" w:sz="4" w:space="0" w:color="auto"/>
              <w:bottom w:val="single" w:sz="4" w:space="0" w:color="auto"/>
            </w:tcBorders>
          </w:tcPr>
          <w:p w14:paraId="556F8A36" w14:textId="04CF31AB" w:rsidR="00EF506B" w:rsidRPr="00260A6A" w:rsidRDefault="00EF506B" w:rsidP="00B9184F">
            <w:pPr>
              <w:rPr>
                <w:rFonts w:cstheme="minorHAnsi"/>
                <w:sz w:val="20"/>
                <w:szCs w:val="20"/>
              </w:rPr>
            </w:pPr>
            <w:r w:rsidRPr="00260A6A">
              <w:rPr>
                <w:rFonts w:cstheme="minorHAnsi"/>
                <w:sz w:val="20"/>
                <w:szCs w:val="20"/>
              </w:rPr>
              <w:t>Proportion of ill people (non-malaria) with fever</w:t>
            </w:r>
          </w:p>
        </w:tc>
        <w:tc>
          <w:tcPr>
            <w:tcW w:w="3336" w:type="dxa"/>
            <w:tcBorders>
              <w:top w:val="single" w:sz="4" w:space="0" w:color="auto"/>
              <w:bottom w:val="single" w:sz="4" w:space="0" w:color="auto"/>
            </w:tcBorders>
          </w:tcPr>
          <w:p w14:paraId="33160A2B" w14:textId="580D3773" w:rsidR="00EF506B" w:rsidRPr="00260A6A" w:rsidRDefault="00EF506B" w:rsidP="00B9184F">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Beta (1, 10)</w:t>
            </w:r>
          </w:p>
        </w:tc>
      </w:tr>
      <w:tr w:rsidR="00EF506B" w:rsidRPr="00260A6A" w14:paraId="38A42B3D" w14:textId="77777777" w:rsidTr="00260A6A">
        <w:trPr>
          <w:jc w:val="center"/>
        </w:trPr>
        <w:tc>
          <w:tcPr>
            <w:tcW w:w="1211" w:type="dxa"/>
            <w:vMerge/>
          </w:tcPr>
          <w:p w14:paraId="5FEC6E23" w14:textId="77777777" w:rsidR="00EF506B" w:rsidRPr="00260A6A" w:rsidRDefault="00EF506B" w:rsidP="00B9184F">
            <w:pPr>
              <w:rPr>
                <w:rFonts w:eastAsia="Calibri" w:cstheme="minorHAnsi"/>
                <w:iCs/>
                <w:color w:val="202124"/>
                <w:sz w:val="20"/>
                <w:szCs w:val="20"/>
                <w:shd w:val="clear" w:color="auto" w:fill="FFFFFF"/>
              </w:rPr>
            </w:pPr>
          </w:p>
        </w:tc>
        <w:tc>
          <w:tcPr>
            <w:tcW w:w="1199" w:type="dxa"/>
            <w:tcBorders>
              <w:top w:val="single" w:sz="4" w:space="0" w:color="auto"/>
              <w:bottom w:val="single" w:sz="4" w:space="0" w:color="auto"/>
            </w:tcBorders>
          </w:tcPr>
          <w:p w14:paraId="2A59E5D1" w14:textId="7CC30038" w:rsidR="00EF506B" w:rsidRPr="00260A6A" w:rsidRDefault="00000000" w:rsidP="00B9184F">
            <w:pPr>
              <w:rPr>
                <w:rFonts w:cstheme="minorHAnsi"/>
                <w:sz w:val="20"/>
                <w:szCs w:val="20"/>
              </w:rPr>
            </w:pPr>
            <m:oMathPara>
              <m:oMath>
                <m:sSub>
                  <m:sSubPr>
                    <m:ctrlPr>
                      <w:rPr>
                        <w:rFonts w:ascii="Cambria Math" w:hAnsi="Cambria Math" w:cstheme="minorHAnsi"/>
                        <w:i/>
                        <w:iCs/>
                        <w:color w:val="202124"/>
                        <w:sz w:val="20"/>
                        <w:szCs w:val="20"/>
                        <w:shd w:val="clear" w:color="auto" w:fill="FFFFFF"/>
                      </w:rPr>
                    </m:ctrlPr>
                  </m:sSubPr>
                  <m:e>
                    <m:sSub>
                      <m:sSubPr>
                        <m:ctrlPr>
                          <w:rPr>
                            <w:rFonts w:ascii="Cambria Math" w:hAnsi="Cambria Math" w:cstheme="minorHAnsi"/>
                            <w:i/>
                            <w:iCs/>
                            <w:color w:val="202124"/>
                            <w:sz w:val="20"/>
                            <w:szCs w:val="20"/>
                            <w:shd w:val="clear" w:color="auto" w:fill="FFFFFF"/>
                          </w:rPr>
                        </m:ctrlPr>
                      </m:sSubPr>
                      <m:e>
                        <m:r>
                          <w:rPr>
                            <w:rFonts w:ascii="Cambria Math" w:hAnsi="Cambria Math" w:cstheme="minorHAnsi"/>
                            <w:color w:val="202124"/>
                            <w:sz w:val="20"/>
                            <w:szCs w:val="20"/>
                            <w:shd w:val="clear" w:color="auto" w:fill="FFFFFF"/>
                          </w:rPr>
                          <m:t>P</m:t>
                        </m:r>
                      </m:e>
                      <m:sub>
                        <m:r>
                          <w:rPr>
                            <w:rFonts w:ascii="Cambria Math" w:hAnsi="Cambria Math" w:cstheme="minorHAnsi"/>
                            <w:color w:val="202124"/>
                            <w:sz w:val="20"/>
                            <w:szCs w:val="20"/>
                            <w:shd w:val="clear" w:color="auto" w:fill="FFFFFF"/>
                          </w:rPr>
                          <m:t>SEEK</m:t>
                        </m:r>
                      </m:sub>
                    </m:sSub>
                  </m:e>
                  <m:sub>
                    <m:r>
                      <w:rPr>
                        <w:rFonts w:ascii="Cambria Math" w:hAnsi="Cambria Math" w:cstheme="minorHAnsi"/>
                        <w:color w:val="202124"/>
                        <w:sz w:val="20"/>
                        <w:szCs w:val="20"/>
                        <w:shd w:val="clear" w:color="auto" w:fill="FFFFFF"/>
                      </w:rPr>
                      <m:t>j</m:t>
                    </m:r>
                  </m:sub>
                </m:sSub>
              </m:oMath>
            </m:oMathPara>
          </w:p>
        </w:tc>
        <w:tc>
          <w:tcPr>
            <w:tcW w:w="3544" w:type="dxa"/>
            <w:tcBorders>
              <w:top w:val="single" w:sz="4" w:space="0" w:color="auto"/>
              <w:bottom w:val="single" w:sz="4" w:space="0" w:color="auto"/>
            </w:tcBorders>
          </w:tcPr>
          <w:p w14:paraId="55D24739" w14:textId="62FAC54D" w:rsidR="00EF506B" w:rsidRPr="00260A6A" w:rsidRDefault="00EF506B" w:rsidP="00B9184F">
            <w:pPr>
              <w:rPr>
                <w:rFonts w:cstheme="minorHAnsi"/>
                <w:sz w:val="20"/>
                <w:szCs w:val="20"/>
              </w:rPr>
            </w:pPr>
            <w:r w:rsidRPr="00260A6A">
              <w:rPr>
                <w:rFonts w:cstheme="minorHAnsi"/>
                <w:sz w:val="20"/>
                <w:szCs w:val="20"/>
              </w:rPr>
              <w:t>Probability of care</w:t>
            </w:r>
            <w:r w:rsidR="00603CE9">
              <w:rPr>
                <w:rFonts w:cstheme="minorHAnsi"/>
                <w:sz w:val="20"/>
                <w:szCs w:val="20"/>
              </w:rPr>
              <w:t>-</w:t>
            </w:r>
            <w:r w:rsidRPr="00260A6A">
              <w:rPr>
                <w:rFonts w:cstheme="minorHAnsi"/>
                <w:sz w:val="20"/>
                <w:szCs w:val="20"/>
              </w:rPr>
              <w:t>seeking</w:t>
            </w:r>
          </w:p>
        </w:tc>
        <w:tc>
          <w:tcPr>
            <w:tcW w:w="3336" w:type="dxa"/>
            <w:tcBorders>
              <w:top w:val="single" w:sz="4" w:space="0" w:color="auto"/>
              <w:bottom w:val="single" w:sz="4" w:space="0" w:color="auto"/>
            </w:tcBorders>
          </w:tcPr>
          <w:p w14:paraId="7F03320D" w14:textId="5186DDCA" w:rsidR="00EF506B" w:rsidRPr="00260A6A" w:rsidRDefault="00EF506B" w:rsidP="00B9184F">
            <w:pPr>
              <w:rPr>
                <w:rFonts w:cstheme="minorHAnsi"/>
                <w:sz w:val="20"/>
                <w:szCs w:val="20"/>
              </w:rPr>
            </w:pPr>
            <w:r w:rsidRPr="00260A6A">
              <w:rPr>
                <w:rFonts w:eastAsia="Arial" w:cstheme="minorHAnsi"/>
                <w:color w:val="000000" w:themeColor="text1"/>
                <w:sz w:val="20"/>
                <w:szCs w:val="20"/>
              </w:rPr>
              <w:t xml:space="preserve">Modelled as a function of covariates measured at the health facility </w:t>
            </w:r>
            <w:r w:rsidR="00260A6A" w:rsidRPr="00260A6A">
              <w:rPr>
                <w:rFonts w:eastAsia="Arial" w:cstheme="minorHAnsi"/>
                <w:color w:val="000000" w:themeColor="text1"/>
                <w:sz w:val="20"/>
                <w:szCs w:val="20"/>
              </w:rPr>
              <w:t>(Ahmad et al. 2022).</w:t>
            </w:r>
            <w:r w:rsidRPr="00260A6A">
              <w:rPr>
                <w:rFonts w:eastAsia="Arial" w:cstheme="minorHAnsi"/>
                <w:color w:val="000000" w:themeColor="text1"/>
                <w:sz w:val="20"/>
                <w:szCs w:val="20"/>
              </w:rPr>
              <w:t xml:space="preserve"> </w:t>
            </w:r>
          </w:p>
        </w:tc>
      </w:tr>
      <w:tr w:rsidR="00EF506B" w:rsidRPr="00260A6A" w14:paraId="7841EE8F" w14:textId="77777777" w:rsidTr="00260A6A">
        <w:trPr>
          <w:jc w:val="center"/>
        </w:trPr>
        <w:tc>
          <w:tcPr>
            <w:tcW w:w="1211" w:type="dxa"/>
            <w:vMerge/>
          </w:tcPr>
          <w:p w14:paraId="1056ACAD" w14:textId="77777777" w:rsidR="00EF506B" w:rsidRPr="00260A6A" w:rsidRDefault="00EF506B" w:rsidP="00B9184F">
            <w:pPr>
              <w:rPr>
                <w:rFonts w:eastAsia="Arial" w:cstheme="minorHAnsi"/>
                <w:iCs/>
                <w:color w:val="202124"/>
                <w:sz w:val="20"/>
                <w:szCs w:val="20"/>
                <w:shd w:val="clear" w:color="auto" w:fill="FFFFFF"/>
              </w:rPr>
            </w:pPr>
          </w:p>
        </w:tc>
        <w:tc>
          <w:tcPr>
            <w:tcW w:w="1199" w:type="dxa"/>
            <w:tcBorders>
              <w:top w:val="single" w:sz="4" w:space="0" w:color="auto"/>
              <w:bottom w:val="single" w:sz="4" w:space="0" w:color="auto"/>
            </w:tcBorders>
          </w:tcPr>
          <w:p w14:paraId="2AAC9725" w14:textId="0C4A100E" w:rsidR="00EF506B" w:rsidRPr="00260A6A" w:rsidRDefault="00000000" w:rsidP="00B9184F">
            <w:pPr>
              <w:rPr>
                <w:rFonts w:cstheme="minorHAnsi"/>
                <w:sz w:val="20"/>
                <w:szCs w:val="20"/>
              </w:rPr>
            </w:pPr>
            <m:oMathPara>
              <m:oMath>
                <m:sSub>
                  <m:sSubPr>
                    <m:ctrlPr>
                      <w:rPr>
                        <w:rFonts w:ascii="Cambria Math" w:hAnsi="Cambria Math" w:cstheme="minorHAnsi"/>
                        <w:i/>
                        <w:iCs/>
                        <w:color w:val="202124"/>
                        <w:sz w:val="20"/>
                        <w:szCs w:val="20"/>
                        <w:shd w:val="clear" w:color="auto" w:fill="FFFFFF"/>
                      </w:rPr>
                    </m:ctrlPr>
                  </m:sSubPr>
                  <m:e>
                    <m:r>
                      <w:rPr>
                        <w:rFonts w:ascii="Cambria Math" w:hAnsi="Cambria Math" w:cstheme="minorHAnsi"/>
                        <w:color w:val="202124"/>
                        <w:sz w:val="20"/>
                        <w:szCs w:val="20"/>
                        <w:shd w:val="clear" w:color="auto" w:fill="FFFFFF"/>
                      </w:rPr>
                      <m:t>P</m:t>
                    </m:r>
                  </m:e>
                  <m:sub>
                    <m:r>
                      <w:rPr>
                        <w:rFonts w:ascii="Cambria Math" w:hAnsi="Cambria Math" w:cstheme="minorHAnsi"/>
                        <w:color w:val="202124"/>
                        <w:sz w:val="20"/>
                        <w:szCs w:val="20"/>
                        <w:shd w:val="clear" w:color="auto" w:fill="FFFFFF"/>
                      </w:rPr>
                      <m:t>CLINICAL</m:t>
                    </m:r>
                  </m:sub>
                </m:sSub>
              </m:oMath>
            </m:oMathPara>
          </w:p>
        </w:tc>
        <w:tc>
          <w:tcPr>
            <w:tcW w:w="3544" w:type="dxa"/>
            <w:tcBorders>
              <w:top w:val="single" w:sz="4" w:space="0" w:color="auto"/>
              <w:bottom w:val="single" w:sz="4" w:space="0" w:color="auto"/>
            </w:tcBorders>
          </w:tcPr>
          <w:p w14:paraId="3A2F423B" w14:textId="22F757D8" w:rsidR="00EF506B" w:rsidRPr="00260A6A" w:rsidRDefault="00EF506B" w:rsidP="00B9184F">
            <w:pPr>
              <w:rPr>
                <w:rFonts w:cstheme="minorHAnsi"/>
                <w:sz w:val="20"/>
                <w:szCs w:val="20"/>
              </w:rPr>
            </w:pPr>
            <w:r w:rsidRPr="00260A6A">
              <w:rPr>
                <w:rFonts w:cstheme="minorHAnsi"/>
                <w:sz w:val="20"/>
                <w:szCs w:val="20"/>
              </w:rPr>
              <w:t>Probability of symptomatic malaria</w:t>
            </w:r>
          </w:p>
        </w:tc>
        <w:tc>
          <w:tcPr>
            <w:tcW w:w="3336" w:type="dxa"/>
            <w:tcBorders>
              <w:top w:val="single" w:sz="4" w:space="0" w:color="auto"/>
              <w:bottom w:val="single" w:sz="4" w:space="0" w:color="auto"/>
            </w:tcBorders>
          </w:tcPr>
          <w:p w14:paraId="420C9877" w14:textId="5CF3979D" w:rsidR="00EF506B" w:rsidRPr="00260A6A" w:rsidRDefault="00EF506B" w:rsidP="00B9184F">
            <w:pPr>
              <w:rPr>
                <w:rFonts w:cstheme="minorHAnsi"/>
                <w:sz w:val="20"/>
                <w:szCs w:val="20"/>
              </w:rPr>
            </w:pPr>
            <m:oMath>
              <m:r>
                <w:rPr>
                  <w:rFonts w:ascii="Cambria Math" w:eastAsia="Arial" w:hAnsi="Cambria Math" w:cstheme="minorHAnsi"/>
                  <w:color w:val="000000" w:themeColor="text1"/>
                  <w:sz w:val="20"/>
                  <w:szCs w:val="20"/>
                </w:rPr>
                <m:t>~Beta</m:t>
              </m:r>
              <m:d>
                <m:dPr>
                  <m:ctrlPr>
                    <w:rPr>
                      <w:rFonts w:ascii="Cambria Math" w:eastAsia="Arial" w:hAnsi="Cambria Math" w:cstheme="minorHAnsi"/>
                      <w:i/>
                      <w:color w:val="000000" w:themeColor="text1"/>
                      <w:sz w:val="20"/>
                      <w:szCs w:val="20"/>
                    </w:rPr>
                  </m:ctrlPr>
                </m:dPr>
                <m:e>
                  <m:r>
                    <w:rPr>
                      <w:rFonts w:ascii="Cambria Math" w:eastAsia="Arial" w:hAnsi="Cambria Math" w:cstheme="minorHAnsi"/>
                      <w:color w:val="000000" w:themeColor="text1"/>
                      <w:sz w:val="20"/>
                      <w:szCs w:val="20"/>
                    </w:rPr>
                    <m:t>50.4, 12.6</m:t>
                  </m:r>
                </m:e>
              </m:d>
            </m:oMath>
            <w:r w:rsidRPr="00260A6A">
              <w:rPr>
                <w:rFonts w:eastAsia="Arial" w:cstheme="minorHAnsi"/>
                <w:color w:val="000000" w:themeColor="text1"/>
                <w:sz w:val="20"/>
                <w:szCs w:val="20"/>
              </w:rPr>
              <w:t xml:space="preserve">, corresponding to a mean of 0.8 and </w:t>
            </w:r>
            <w:proofErr w:type="spellStart"/>
            <w:r w:rsidRPr="00260A6A">
              <w:rPr>
                <w:rFonts w:eastAsia="Arial" w:cstheme="minorHAnsi"/>
                <w:color w:val="000000" w:themeColor="text1"/>
                <w:sz w:val="20"/>
                <w:szCs w:val="20"/>
              </w:rPr>
              <w:t>sd</w:t>
            </w:r>
            <w:proofErr w:type="spellEnd"/>
            <w:r w:rsidRPr="00260A6A">
              <w:rPr>
                <w:rFonts w:eastAsia="Arial" w:cstheme="minorHAnsi"/>
                <w:color w:val="000000" w:themeColor="text1"/>
                <w:sz w:val="20"/>
                <w:szCs w:val="20"/>
              </w:rPr>
              <w:t xml:space="preserve"> 0.05</w:t>
            </w:r>
            <w:r w:rsidR="00260A6A" w:rsidRPr="00260A6A">
              <w:rPr>
                <w:rFonts w:eastAsia="Arial" w:cstheme="minorHAnsi"/>
                <w:color w:val="000000" w:themeColor="text1"/>
                <w:sz w:val="20"/>
                <w:szCs w:val="20"/>
              </w:rPr>
              <w:t xml:space="preserve"> (</w:t>
            </w:r>
            <w:proofErr w:type="spellStart"/>
            <w:r w:rsidR="00260A6A" w:rsidRPr="00260A6A">
              <w:rPr>
                <w:rFonts w:cstheme="minorHAnsi"/>
                <w:sz w:val="20"/>
                <w:szCs w:val="20"/>
              </w:rPr>
              <w:t>Koepfli</w:t>
            </w:r>
            <w:proofErr w:type="spellEnd"/>
            <w:r w:rsidR="00260A6A" w:rsidRPr="00260A6A">
              <w:rPr>
                <w:rFonts w:cstheme="minorHAnsi"/>
                <w:sz w:val="20"/>
                <w:szCs w:val="20"/>
              </w:rPr>
              <w:t xml:space="preserve"> et al. 2021)</w:t>
            </w:r>
          </w:p>
        </w:tc>
      </w:tr>
      <w:tr w:rsidR="00EF506B" w:rsidRPr="00260A6A" w14:paraId="5B92C201" w14:textId="77777777" w:rsidTr="00260A6A">
        <w:trPr>
          <w:jc w:val="center"/>
        </w:trPr>
        <w:tc>
          <w:tcPr>
            <w:tcW w:w="1211" w:type="dxa"/>
            <w:vMerge/>
          </w:tcPr>
          <w:p w14:paraId="57FEB86E" w14:textId="77777777" w:rsidR="00EF506B" w:rsidRPr="00260A6A" w:rsidRDefault="00EF506B" w:rsidP="00B9184F">
            <w:pPr>
              <w:rPr>
                <w:rFonts w:eastAsia="Arial" w:cstheme="minorHAnsi"/>
                <w:bCs/>
                <w:iCs/>
                <w:color w:val="000000" w:themeColor="text1"/>
                <w:sz w:val="20"/>
                <w:szCs w:val="20"/>
              </w:rPr>
            </w:pPr>
          </w:p>
        </w:tc>
        <w:tc>
          <w:tcPr>
            <w:tcW w:w="1199" w:type="dxa"/>
            <w:tcBorders>
              <w:top w:val="single" w:sz="4" w:space="0" w:color="auto"/>
              <w:bottom w:val="single" w:sz="4" w:space="0" w:color="auto"/>
            </w:tcBorders>
          </w:tcPr>
          <w:p w14:paraId="60BB2713" w14:textId="682B162D" w:rsidR="00EF506B" w:rsidRPr="00260A6A" w:rsidRDefault="00000000" w:rsidP="00B9184F">
            <w:pPr>
              <w:rPr>
                <w:rFonts w:cstheme="minorHAnsi"/>
                <w:sz w:val="20"/>
                <w:szCs w:val="20"/>
              </w:rPr>
            </w:pPr>
            <m:oMathPara>
              <m:oMath>
                <m:sSub>
                  <m:sSubPr>
                    <m:ctrlPr>
                      <w:rPr>
                        <w:rFonts w:ascii="Cambria Math" w:eastAsia="Arial" w:hAnsi="Cambria Math" w:cstheme="minorHAnsi"/>
                        <w:bCs/>
                        <w:i/>
                        <w:iCs/>
                        <w:color w:val="000000" w:themeColor="text1"/>
                        <w:sz w:val="20"/>
                        <w:szCs w:val="20"/>
                      </w:rPr>
                    </m:ctrlPr>
                  </m:sSubPr>
                  <m:e>
                    <m:r>
                      <w:rPr>
                        <w:rFonts w:ascii="Cambria Math" w:eastAsia="Arial" w:hAnsi="Cambria Math" w:cstheme="minorHAnsi"/>
                        <w:color w:val="000000" w:themeColor="text1"/>
                        <w:sz w:val="20"/>
                        <w:szCs w:val="20"/>
                      </w:rPr>
                      <m:t>P</m:t>
                    </m:r>
                  </m:e>
                  <m:sub>
                    <m:sSub>
                      <m:sSubPr>
                        <m:ctrlPr>
                          <w:rPr>
                            <w:rFonts w:ascii="Cambria Math" w:eastAsia="Arial" w:hAnsi="Cambria Math" w:cstheme="minorHAnsi"/>
                            <w:bCs/>
                            <w:i/>
                            <w:iCs/>
                            <w:color w:val="000000" w:themeColor="text1"/>
                            <w:sz w:val="20"/>
                            <w:szCs w:val="20"/>
                          </w:rPr>
                        </m:ctrlPr>
                      </m:sSubPr>
                      <m:e>
                        <m:r>
                          <w:rPr>
                            <w:rFonts w:ascii="Cambria Math" w:eastAsia="Arial" w:hAnsi="Cambria Math" w:cstheme="minorHAnsi"/>
                            <w:color w:val="000000" w:themeColor="text1"/>
                            <w:sz w:val="20"/>
                            <w:szCs w:val="20"/>
                          </w:rPr>
                          <m:t>TEST</m:t>
                        </m:r>
                      </m:e>
                      <m:sub>
                        <m:r>
                          <w:rPr>
                            <w:rFonts w:ascii="Cambria Math" w:eastAsia="Arial" w:hAnsi="Cambria Math" w:cstheme="minorHAnsi"/>
                            <w:color w:val="000000" w:themeColor="text1"/>
                            <w:sz w:val="20"/>
                            <w:szCs w:val="20"/>
                            <w:lang w:val="it-IT"/>
                          </w:rPr>
                          <m:t>j</m:t>
                        </m:r>
                      </m:sub>
                    </m:sSub>
                  </m:sub>
                </m:sSub>
              </m:oMath>
            </m:oMathPara>
          </w:p>
        </w:tc>
        <w:tc>
          <w:tcPr>
            <w:tcW w:w="3544" w:type="dxa"/>
            <w:tcBorders>
              <w:top w:val="single" w:sz="4" w:space="0" w:color="auto"/>
              <w:bottom w:val="single" w:sz="4" w:space="0" w:color="auto"/>
            </w:tcBorders>
          </w:tcPr>
          <w:p w14:paraId="06D6DBB9" w14:textId="3D5CA219" w:rsidR="00EF506B" w:rsidRPr="00260A6A" w:rsidRDefault="00EF506B" w:rsidP="00B9184F">
            <w:pPr>
              <w:rPr>
                <w:rFonts w:cstheme="minorHAnsi"/>
                <w:sz w:val="20"/>
                <w:szCs w:val="20"/>
              </w:rPr>
            </w:pPr>
            <w:r w:rsidRPr="00260A6A">
              <w:rPr>
                <w:rFonts w:cstheme="minorHAnsi"/>
                <w:sz w:val="20"/>
                <w:szCs w:val="20"/>
              </w:rPr>
              <w:t>Probability of being tested</w:t>
            </w:r>
          </w:p>
        </w:tc>
        <w:tc>
          <w:tcPr>
            <w:tcW w:w="3336" w:type="dxa"/>
            <w:tcBorders>
              <w:top w:val="single" w:sz="4" w:space="0" w:color="auto"/>
              <w:bottom w:val="single" w:sz="4" w:space="0" w:color="auto"/>
            </w:tcBorders>
          </w:tcPr>
          <w:p w14:paraId="7BB7F72F" w14:textId="3E2643A3" w:rsidR="00EF506B" w:rsidRPr="00260A6A" w:rsidRDefault="00EF506B" w:rsidP="00B9184F">
            <w:pPr>
              <w:rPr>
                <w:rFonts w:cstheme="minorHAnsi"/>
                <w:sz w:val="20"/>
                <w:szCs w:val="20"/>
              </w:rPr>
            </w:pPr>
            <w:r w:rsidRPr="00260A6A">
              <w:rPr>
                <w:rFonts w:eastAsia="Arial" w:cstheme="minorHAnsi"/>
                <w:color w:val="000000" w:themeColor="text1"/>
                <w:sz w:val="20"/>
                <w:szCs w:val="20"/>
              </w:rPr>
              <w:t xml:space="preserve">Modelled as a function of covariates measured at the health facility </w:t>
            </w:r>
            <w:r w:rsidR="00260A6A" w:rsidRPr="00260A6A">
              <w:rPr>
                <w:rFonts w:eastAsia="Arial" w:cstheme="minorHAnsi"/>
                <w:color w:val="000000" w:themeColor="text1"/>
                <w:sz w:val="20"/>
                <w:szCs w:val="20"/>
              </w:rPr>
              <w:t>(Ahmad et al. 2022).</w:t>
            </w:r>
          </w:p>
        </w:tc>
      </w:tr>
      <w:tr w:rsidR="00EF506B" w:rsidRPr="00260A6A" w14:paraId="6A5659EB" w14:textId="77777777" w:rsidTr="00260A6A">
        <w:trPr>
          <w:jc w:val="center"/>
        </w:trPr>
        <w:tc>
          <w:tcPr>
            <w:tcW w:w="1211" w:type="dxa"/>
            <w:vMerge/>
          </w:tcPr>
          <w:p w14:paraId="3B1CF098" w14:textId="77777777" w:rsidR="00EF506B" w:rsidRPr="00260A6A" w:rsidRDefault="00EF506B" w:rsidP="00B9184F">
            <w:pPr>
              <w:rPr>
                <w:rFonts w:eastAsia="Arial" w:cstheme="minorHAnsi"/>
                <w:color w:val="000000" w:themeColor="text1"/>
                <w:sz w:val="20"/>
                <w:szCs w:val="20"/>
              </w:rPr>
            </w:pPr>
          </w:p>
        </w:tc>
        <w:tc>
          <w:tcPr>
            <w:tcW w:w="1199" w:type="dxa"/>
            <w:tcBorders>
              <w:top w:val="single" w:sz="4" w:space="0" w:color="auto"/>
              <w:bottom w:val="single" w:sz="4" w:space="0" w:color="auto"/>
            </w:tcBorders>
          </w:tcPr>
          <w:p w14:paraId="12176C0A" w14:textId="61F62601" w:rsidR="00EF506B" w:rsidRPr="00260A6A" w:rsidRDefault="00000000" w:rsidP="00B9184F">
            <w:pPr>
              <w:rPr>
                <w:rFonts w:cstheme="minorHAnsi"/>
                <w:sz w:val="20"/>
                <w:szCs w:val="20"/>
              </w:rPr>
            </w:pPr>
            <m:oMathPara>
              <m:oMath>
                <m:sSup>
                  <m:sSupPr>
                    <m:ctrlPr>
                      <w:rPr>
                        <w:rFonts w:ascii="Cambria Math" w:eastAsia="Arial" w:hAnsi="Cambria Math" w:cstheme="minorHAnsi"/>
                        <w:i/>
                        <w:color w:val="000000" w:themeColor="text1"/>
                        <w:sz w:val="20"/>
                        <w:szCs w:val="20"/>
                      </w:rPr>
                    </m:ctrlPr>
                  </m:sSupPr>
                  <m:e>
                    <m:r>
                      <w:rPr>
                        <w:rFonts w:ascii="Cambria Math" w:eastAsia="Arial" w:hAnsi="Cambria Math" w:cstheme="minorHAnsi"/>
                        <w:color w:val="000000" w:themeColor="text1"/>
                        <w:sz w:val="20"/>
                        <w:szCs w:val="20"/>
                      </w:rPr>
                      <m:t>β</m:t>
                    </m:r>
                  </m:e>
                  <m:sup>
                    <m:r>
                      <w:rPr>
                        <w:rFonts w:ascii="Cambria Math" w:eastAsia="Arial" w:hAnsi="Cambria Math" w:cstheme="minorHAnsi"/>
                        <w:color w:val="000000" w:themeColor="text1"/>
                        <w:sz w:val="20"/>
                        <w:szCs w:val="20"/>
                      </w:rPr>
                      <m:t>mid</m:t>
                    </m:r>
                  </m:sup>
                </m:sSup>
              </m:oMath>
            </m:oMathPara>
          </w:p>
        </w:tc>
        <w:tc>
          <w:tcPr>
            <w:tcW w:w="3544" w:type="dxa"/>
            <w:tcBorders>
              <w:top w:val="single" w:sz="4" w:space="0" w:color="auto"/>
              <w:bottom w:val="single" w:sz="4" w:space="0" w:color="auto"/>
            </w:tcBorders>
          </w:tcPr>
          <w:p w14:paraId="279871CF" w14:textId="5D0575D2" w:rsidR="00EF506B" w:rsidRPr="00260A6A" w:rsidRDefault="00EF506B" w:rsidP="00B9184F">
            <w:pPr>
              <w:rPr>
                <w:rFonts w:cstheme="minorHAnsi"/>
                <w:sz w:val="20"/>
                <w:szCs w:val="20"/>
              </w:rPr>
            </w:pPr>
            <w:r w:rsidRPr="00260A6A">
              <w:rPr>
                <w:rFonts w:cstheme="minorHAnsi"/>
                <w:sz w:val="20"/>
                <w:szCs w:val="20"/>
              </w:rPr>
              <w:t>Effect of mid-risk stratum on probability of being tested</w:t>
            </w:r>
          </w:p>
        </w:tc>
        <w:tc>
          <w:tcPr>
            <w:tcW w:w="3336" w:type="dxa"/>
            <w:tcBorders>
              <w:top w:val="single" w:sz="4" w:space="0" w:color="auto"/>
              <w:bottom w:val="single" w:sz="4" w:space="0" w:color="auto"/>
            </w:tcBorders>
          </w:tcPr>
          <w:p w14:paraId="1E52D231" w14:textId="282CD59E" w:rsidR="00EF506B" w:rsidRPr="00260A6A" w:rsidRDefault="00EF506B" w:rsidP="00B9184F">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Norm (0, 1000)</w:t>
            </w:r>
          </w:p>
        </w:tc>
      </w:tr>
      <w:tr w:rsidR="00EF506B" w:rsidRPr="00260A6A" w14:paraId="67A1F676" w14:textId="77777777" w:rsidTr="00260A6A">
        <w:trPr>
          <w:jc w:val="center"/>
        </w:trPr>
        <w:tc>
          <w:tcPr>
            <w:tcW w:w="1211" w:type="dxa"/>
            <w:vMerge/>
          </w:tcPr>
          <w:p w14:paraId="18BAB385" w14:textId="77777777" w:rsidR="00EF506B" w:rsidRPr="00260A6A" w:rsidRDefault="00EF506B" w:rsidP="00B9184F">
            <w:pPr>
              <w:rPr>
                <w:rFonts w:eastAsia="Arial" w:cstheme="minorHAnsi"/>
                <w:color w:val="000000" w:themeColor="text1"/>
                <w:sz w:val="20"/>
                <w:szCs w:val="20"/>
              </w:rPr>
            </w:pPr>
          </w:p>
        </w:tc>
        <w:tc>
          <w:tcPr>
            <w:tcW w:w="1199" w:type="dxa"/>
            <w:tcBorders>
              <w:top w:val="single" w:sz="4" w:space="0" w:color="auto"/>
              <w:bottom w:val="single" w:sz="4" w:space="0" w:color="auto"/>
            </w:tcBorders>
          </w:tcPr>
          <w:p w14:paraId="3C73A78A" w14:textId="6046D733" w:rsidR="00EF506B" w:rsidRPr="00260A6A" w:rsidRDefault="00000000" w:rsidP="00B9184F">
            <w:pPr>
              <w:rPr>
                <w:rFonts w:cstheme="minorHAnsi"/>
                <w:sz w:val="20"/>
                <w:szCs w:val="20"/>
              </w:rPr>
            </w:pPr>
            <m:oMathPara>
              <m:oMath>
                <m:sSup>
                  <m:sSupPr>
                    <m:ctrlPr>
                      <w:rPr>
                        <w:rFonts w:ascii="Cambria Math" w:eastAsia="Arial" w:hAnsi="Cambria Math" w:cstheme="minorHAnsi"/>
                        <w:i/>
                        <w:color w:val="000000" w:themeColor="text1"/>
                        <w:sz w:val="20"/>
                        <w:szCs w:val="20"/>
                      </w:rPr>
                    </m:ctrlPr>
                  </m:sSupPr>
                  <m:e>
                    <m:r>
                      <w:rPr>
                        <w:rFonts w:ascii="Cambria Math" w:eastAsia="Arial" w:hAnsi="Cambria Math" w:cstheme="minorHAnsi"/>
                        <w:color w:val="000000" w:themeColor="text1"/>
                        <w:sz w:val="20"/>
                        <w:szCs w:val="20"/>
                      </w:rPr>
                      <m:t>β</m:t>
                    </m:r>
                  </m:e>
                  <m:sup>
                    <m:r>
                      <w:rPr>
                        <w:rFonts w:ascii="Cambria Math" w:eastAsia="Arial" w:hAnsi="Cambria Math" w:cstheme="minorHAnsi"/>
                        <w:color w:val="000000" w:themeColor="text1"/>
                        <w:sz w:val="20"/>
                        <w:szCs w:val="20"/>
                      </w:rPr>
                      <m:t>high</m:t>
                    </m:r>
                  </m:sup>
                </m:sSup>
              </m:oMath>
            </m:oMathPara>
          </w:p>
        </w:tc>
        <w:tc>
          <w:tcPr>
            <w:tcW w:w="3544" w:type="dxa"/>
            <w:tcBorders>
              <w:top w:val="single" w:sz="4" w:space="0" w:color="auto"/>
              <w:bottom w:val="single" w:sz="4" w:space="0" w:color="auto"/>
            </w:tcBorders>
          </w:tcPr>
          <w:p w14:paraId="3BEF3FEF" w14:textId="34CC5189" w:rsidR="00EF506B" w:rsidRPr="00260A6A" w:rsidRDefault="00EF506B" w:rsidP="00B9184F">
            <w:pPr>
              <w:rPr>
                <w:rFonts w:cstheme="minorHAnsi"/>
                <w:sz w:val="20"/>
                <w:szCs w:val="20"/>
              </w:rPr>
            </w:pPr>
            <w:r w:rsidRPr="00260A6A">
              <w:rPr>
                <w:rFonts w:cstheme="minorHAnsi"/>
                <w:sz w:val="20"/>
                <w:szCs w:val="20"/>
              </w:rPr>
              <w:t>Effect of high-risk stratum on probability of being tested</w:t>
            </w:r>
          </w:p>
        </w:tc>
        <w:tc>
          <w:tcPr>
            <w:tcW w:w="3336" w:type="dxa"/>
            <w:tcBorders>
              <w:top w:val="single" w:sz="4" w:space="0" w:color="auto"/>
              <w:bottom w:val="single" w:sz="4" w:space="0" w:color="auto"/>
            </w:tcBorders>
          </w:tcPr>
          <w:p w14:paraId="647495C1" w14:textId="6062D3E4" w:rsidR="00EF506B" w:rsidRPr="00260A6A" w:rsidRDefault="00EF506B" w:rsidP="00B9184F">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Norm (0, 1000)</w:t>
            </w:r>
          </w:p>
        </w:tc>
      </w:tr>
      <w:tr w:rsidR="00EF506B" w:rsidRPr="00260A6A" w14:paraId="137C4E73" w14:textId="77777777" w:rsidTr="00260A6A">
        <w:trPr>
          <w:jc w:val="center"/>
        </w:trPr>
        <w:tc>
          <w:tcPr>
            <w:tcW w:w="1211" w:type="dxa"/>
            <w:vMerge/>
          </w:tcPr>
          <w:p w14:paraId="1CB1B986" w14:textId="77777777" w:rsidR="00EF506B" w:rsidRPr="00260A6A" w:rsidRDefault="00EF506B" w:rsidP="00B9184F">
            <w:pPr>
              <w:rPr>
                <w:rFonts w:eastAsia="Arial" w:cstheme="minorHAnsi"/>
                <w:sz w:val="20"/>
                <w:szCs w:val="20"/>
              </w:rPr>
            </w:pPr>
          </w:p>
        </w:tc>
        <w:tc>
          <w:tcPr>
            <w:tcW w:w="1199" w:type="dxa"/>
            <w:tcBorders>
              <w:top w:val="single" w:sz="4" w:space="0" w:color="auto"/>
              <w:bottom w:val="single" w:sz="4" w:space="0" w:color="auto"/>
            </w:tcBorders>
          </w:tcPr>
          <w:p w14:paraId="73FC2D5B" w14:textId="4D85AFAF" w:rsidR="00EF506B" w:rsidRPr="00260A6A" w:rsidRDefault="00000000" w:rsidP="00B9184F">
            <w:pPr>
              <w:rPr>
                <w:rFonts w:cstheme="minorHAnsi"/>
                <w:sz w:val="20"/>
                <w:szCs w:val="20"/>
              </w:rPr>
            </w:pPr>
            <m:oMathPara>
              <m:oMath>
                <m:sSup>
                  <m:sSupPr>
                    <m:ctrlPr>
                      <w:rPr>
                        <w:rFonts w:ascii="Cambria Math" w:hAnsi="Cambria Math" w:cstheme="minorHAnsi"/>
                        <w:i/>
                        <w:sz w:val="20"/>
                        <w:szCs w:val="20"/>
                      </w:rPr>
                    </m:ctrlPr>
                  </m:sSupPr>
                  <m:e>
                    <m:r>
                      <w:rPr>
                        <w:rFonts w:ascii="Cambria Math" w:hAnsi="Cambria Math" w:cstheme="minorHAnsi"/>
                        <w:sz w:val="20"/>
                        <w:szCs w:val="20"/>
                      </w:rPr>
                      <m:t>β</m:t>
                    </m:r>
                  </m:e>
                  <m:sup>
                    <m:r>
                      <w:rPr>
                        <w:rFonts w:ascii="Cambria Math" w:hAnsi="Cambria Math" w:cstheme="minorHAnsi"/>
                        <w:sz w:val="20"/>
                        <w:szCs w:val="20"/>
                      </w:rPr>
                      <m:t>imp</m:t>
                    </m:r>
                  </m:sup>
                </m:sSup>
              </m:oMath>
            </m:oMathPara>
          </w:p>
        </w:tc>
        <w:tc>
          <w:tcPr>
            <w:tcW w:w="3544" w:type="dxa"/>
            <w:tcBorders>
              <w:top w:val="single" w:sz="4" w:space="0" w:color="auto"/>
              <w:bottom w:val="single" w:sz="4" w:space="0" w:color="auto"/>
            </w:tcBorders>
          </w:tcPr>
          <w:p w14:paraId="2C64EE67" w14:textId="7D4EFA6E" w:rsidR="00EF506B" w:rsidRPr="00260A6A" w:rsidRDefault="00EF506B" w:rsidP="00B9184F">
            <w:pPr>
              <w:rPr>
                <w:rFonts w:cstheme="minorHAnsi"/>
                <w:sz w:val="20"/>
                <w:szCs w:val="20"/>
              </w:rPr>
            </w:pPr>
            <w:r w:rsidRPr="00260A6A">
              <w:rPr>
                <w:rFonts w:cstheme="minorHAnsi"/>
                <w:sz w:val="20"/>
                <w:szCs w:val="20"/>
              </w:rPr>
              <w:t>Effect of imported-infection detection capacity (scaled by facility size) on probability of being tested</w:t>
            </w:r>
          </w:p>
        </w:tc>
        <w:tc>
          <w:tcPr>
            <w:tcW w:w="3336" w:type="dxa"/>
            <w:tcBorders>
              <w:top w:val="single" w:sz="4" w:space="0" w:color="auto"/>
              <w:bottom w:val="single" w:sz="4" w:space="0" w:color="auto"/>
            </w:tcBorders>
          </w:tcPr>
          <w:p w14:paraId="371AA016" w14:textId="2EA43A56" w:rsidR="00EF506B" w:rsidRPr="00260A6A" w:rsidRDefault="00EF506B" w:rsidP="00B9184F">
            <w:pPr>
              <w:rPr>
                <w:rFonts w:cstheme="minorHAnsi"/>
                <w:sz w:val="20"/>
                <w:szCs w:val="20"/>
              </w:rPr>
            </w:pPr>
            <w:r w:rsidRPr="00260A6A">
              <w:rPr>
                <w:rFonts w:ascii="Cambria Math" w:hAnsi="Cambria Math" w:cs="Cambria Math"/>
                <w:sz w:val="20"/>
                <w:szCs w:val="20"/>
              </w:rPr>
              <w:t>∼</w:t>
            </w:r>
            <w:r w:rsidRPr="00260A6A">
              <w:rPr>
                <w:rFonts w:cstheme="minorHAnsi"/>
                <w:sz w:val="20"/>
                <w:szCs w:val="20"/>
              </w:rPr>
              <w:t xml:space="preserve"> Gamma (10, 1)</w:t>
            </w:r>
          </w:p>
        </w:tc>
      </w:tr>
    </w:tbl>
    <w:p w14:paraId="1FA75FDB" w14:textId="3367FD9C" w:rsidR="006B36F5" w:rsidRPr="00BB1431" w:rsidRDefault="006B36F5" w:rsidP="00F27442">
      <w:pPr>
        <w:rPr>
          <w:b/>
          <w:bCs/>
          <w:sz w:val="16"/>
          <w:szCs w:val="16"/>
        </w:rPr>
      </w:pPr>
      <w:r>
        <w:br w:type="page"/>
      </w:r>
    </w:p>
    <w:p w14:paraId="30CD0CE8" w14:textId="77777777" w:rsidR="005C375B" w:rsidRDefault="006C59DF" w:rsidP="005C375B">
      <w:pPr>
        <w:spacing w:line="276" w:lineRule="auto"/>
        <w:jc w:val="both"/>
      </w:pPr>
      <w:r w:rsidRPr="006C59DF">
        <w:rPr>
          <w:b/>
          <w:bCs/>
        </w:rPr>
        <w:lastRenderedPageBreak/>
        <w:t>REFERENCES</w:t>
      </w:r>
      <w:r w:rsidRPr="00306A65">
        <w:t xml:space="preserve"> </w:t>
      </w:r>
    </w:p>
    <w:p w14:paraId="5C475D90" w14:textId="77777777" w:rsidR="005C375B" w:rsidRDefault="005C375B" w:rsidP="005C375B">
      <w:pPr>
        <w:spacing w:line="276" w:lineRule="auto"/>
        <w:jc w:val="both"/>
      </w:pPr>
    </w:p>
    <w:p w14:paraId="1C3514F8" w14:textId="67B9C1A9" w:rsidR="005C375B" w:rsidRPr="00603CE9" w:rsidRDefault="005C375B" w:rsidP="00603CE9">
      <w:pPr>
        <w:pStyle w:val="ListParagraph"/>
        <w:numPr>
          <w:ilvl w:val="0"/>
          <w:numId w:val="18"/>
        </w:numPr>
        <w:spacing w:line="276" w:lineRule="auto"/>
        <w:jc w:val="both"/>
        <w:rPr>
          <w:lang w:val="fr-FR"/>
        </w:rPr>
      </w:pPr>
      <w:r w:rsidRPr="00603CE9">
        <w:rPr>
          <w:lang w:val="it-IT"/>
        </w:rPr>
        <w:t xml:space="preserve">Ahmad RA, Nelli L, Surendra H, et al. </w:t>
      </w:r>
      <w:r w:rsidRPr="00603CE9">
        <w:rPr>
          <w:lang w:val="en-GB"/>
        </w:rPr>
        <w:t xml:space="preserve">A framework for evaluating health system surveillance sensitivity to support public health decision-making for malaria elimination: a case study from Indonesia. </w:t>
      </w:r>
      <w:r w:rsidRPr="00603CE9">
        <w:rPr>
          <w:lang w:val="fr-FR"/>
        </w:rPr>
        <w:t xml:space="preserve">BMC Infect Dis. </w:t>
      </w:r>
      <w:proofErr w:type="gramStart"/>
      <w:r w:rsidRPr="00603CE9">
        <w:rPr>
          <w:lang w:val="fr-FR"/>
        </w:rPr>
        <w:t>2022;22:</w:t>
      </w:r>
      <w:proofErr w:type="gramEnd"/>
      <w:r w:rsidRPr="00603CE9">
        <w:rPr>
          <w:lang w:val="fr-FR"/>
        </w:rPr>
        <w:t>619.</w:t>
      </w:r>
    </w:p>
    <w:p w14:paraId="3B723739" w14:textId="77777777" w:rsidR="005C375B" w:rsidRPr="005C375B" w:rsidRDefault="005C375B" w:rsidP="005C375B">
      <w:pPr>
        <w:pStyle w:val="ListParagraph"/>
        <w:numPr>
          <w:ilvl w:val="0"/>
          <w:numId w:val="18"/>
        </w:numPr>
        <w:rPr>
          <w:lang w:val="en-GB"/>
        </w:rPr>
      </w:pPr>
      <w:r w:rsidRPr="005C375B">
        <w:rPr>
          <w:lang w:val="fr-FR"/>
        </w:rPr>
        <w:t xml:space="preserve">Nelli L, Surendra H, Byrne I, et al. </w:t>
      </w:r>
      <w:r w:rsidRPr="005C375B">
        <w:rPr>
          <w:lang w:val="en-GB"/>
        </w:rPr>
        <w:t>Freedom from infection: enhancing decision-making for malaria elimination. BMJ Glob Health. 2024;</w:t>
      </w:r>
      <w:proofErr w:type="gramStart"/>
      <w:r w:rsidRPr="005C375B">
        <w:rPr>
          <w:lang w:val="en-GB"/>
        </w:rPr>
        <w:t>9:e</w:t>
      </w:r>
      <w:proofErr w:type="gramEnd"/>
      <w:r w:rsidRPr="005C375B">
        <w:rPr>
          <w:lang w:val="en-GB"/>
        </w:rPr>
        <w:t>014412.</w:t>
      </w:r>
    </w:p>
    <w:p w14:paraId="27BD6A56" w14:textId="77777777" w:rsidR="005C375B" w:rsidRPr="005C375B" w:rsidRDefault="005C375B" w:rsidP="005C375B">
      <w:pPr>
        <w:pStyle w:val="ListParagraph"/>
        <w:numPr>
          <w:ilvl w:val="0"/>
          <w:numId w:val="18"/>
        </w:numPr>
        <w:rPr>
          <w:lang w:val="en-GB"/>
        </w:rPr>
      </w:pPr>
      <w:r w:rsidRPr="00603CE9">
        <w:rPr>
          <w:lang w:val="it-IT"/>
        </w:rPr>
        <w:t xml:space="preserve">DePina AJ, Andrade AJB, Dia AK, et al. </w:t>
      </w:r>
      <w:r w:rsidRPr="005C375B">
        <w:rPr>
          <w:lang w:val="en-GB"/>
        </w:rPr>
        <w:t xml:space="preserve">Spatiotemporal characterisation and risk factor analysis of malaria outbreak in Cabo Verde in 2017. Trop Med Health. </w:t>
      </w:r>
      <w:proofErr w:type="gramStart"/>
      <w:r w:rsidRPr="005C375B">
        <w:rPr>
          <w:lang w:val="en-GB"/>
        </w:rPr>
        <w:t>2019;47:3</w:t>
      </w:r>
      <w:proofErr w:type="gramEnd"/>
      <w:r w:rsidRPr="005C375B">
        <w:rPr>
          <w:lang w:val="en-GB"/>
        </w:rPr>
        <w:t>.</w:t>
      </w:r>
    </w:p>
    <w:p w14:paraId="28A53CE9" w14:textId="77777777" w:rsidR="005C375B" w:rsidRPr="005C375B" w:rsidRDefault="005C375B" w:rsidP="005C375B">
      <w:pPr>
        <w:pStyle w:val="ListParagraph"/>
        <w:numPr>
          <w:ilvl w:val="0"/>
          <w:numId w:val="18"/>
        </w:numPr>
        <w:rPr>
          <w:lang w:val="pt-BR"/>
        </w:rPr>
      </w:pPr>
      <w:r w:rsidRPr="005C375B">
        <w:rPr>
          <w:lang w:val="en-GB"/>
        </w:rPr>
        <w:t xml:space="preserve">DePina AJ, Stresman G, Barros BB, et al. Updates on malaria epidemiology and profile in Cabo Verde from 2010 to 2019: the goal of elimination. </w:t>
      </w:r>
      <w:r w:rsidRPr="005C375B">
        <w:rPr>
          <w:lang w:val="pt-BR"/>
        </w:rPr>
        <w:t>Malar J. 2020;19:380.</w:t>
      </w:r>
    </w:p>
    <w:p w14:paraId="661E7E0D" w14:textId="77777777" w:rsidR="005C375B" w:rsidRPr="005C375B" w:rsidRDefault="005C375B" w:rsidP="005C375B">
      <w:pPr>
        <w:pStyle w:val="ListParagraph"/>
        <w:numPr>
          <w:ilvl w:val="0"/>
          <w:numId w:val="18"/>
        </w:numPr>
        <w:rPr>
          <w:lang w:val="pt-BR"/>
        </w:rPr>
      </w:pPr>
      <w:r w:rsidRPr="005C375B">
        <w:rPr>
          <w:lang w:val="pt-BR"/>
        </w:rPr>
        <w:t xml:space="preserve">DePina AJ, Lopes Gomes JA, Moreira AL, et al. </w:t>
      </w:r>
      <w:r w:rsidRPr="005C375B">
        <w:rPr>
          <w:lang w:val="en-GB"/>
        </w:rPr>
        <w:t xml:space="preserve">Situational analysis of malaria in Cabo Verde: from endemic control to elimination, history, case data and challenges ahead. </w:t>
      </w:r>
      <w:r w:rsidRPr="005C375B">
        <w:rPr>
          <w:lang w:val="pt-BR"/>
        </w:rPr>
        <w:t>PLOS Glob Public Health. 2025;5:e0004153.</w:t>
      </w:r>
    </w:p>
    <w:p w14:paraId="3AD69689" w14:textId="77777777" w:rsidR="005C375B" w:rsidRPr="005C375B" w:rsidRDefault="005C375B" w:rsidP="005C375B">
      <w:pPr>
        <w:pStyle w:val="ListParagraph"/>
        <w:numPr>
          <w:ilvl w:val="0"/>
          <w:numId w:val="18"/>
        </w:numPr>
        <w:rPr>
          <w:lang w:val="en-GB"/>
        </w:rPr>
      </w:pPr>
      <w:r w:rsidRPr="005C375B">
        <w:rPr>
          <w:lang w:val="pt-BR"/>
        </w:rPr>
        <w:t xml:space="preserve">Da Veiga Leal S, de Sousa C, Monteiro DDSR, et al. </w:t>
      </w:r>
      <w:r w:rsidRPr="005C375B">
        <w:rPr>
          <w:lang w:val="en-GB"/>
        </w:rPr>
        <w:t xml:space="preserve">The geographical distribution of the malaria vector Anopheles </w:t>
      </w:r>
      <w:proofErr w:type="spellStart"/>
      <w:r w:rsidRPr="005C375B">
        <w:rPr>
          <w:lang w:val="en-GB"/>
        </w:rPr>
        <w:t>arabiensis</w:t>
      </w:r>
      <w:proofErr w:type="spellEnd"/>
      <w:r w:rsidRPr="005C375B">
        <w:rPr>
          <w:lang w:val="en-GB"/>
        </w:rPr>
        <w:t xml:space="preserve"> in Cabo Verde, 2016–2023. Front Trop Dis. </w:t>
      </w:r>
      <w:proofErr w:type="gramStart"/>
      <w:r w:rsidRPr="005C375B">
        <w:rPr>
          <w:lang w:val="en-GB"/>
        </w:rPr>
        <w:t>2024;5:1353839</w:t>
      </w:r>
      <w:proofErr w:type="gramEnd"/>
      <w:r w:rsidRPr="005C375B">
        <w:rPr>
          <w:lang w:val="en-GB"/>
        </w:rPr>
        <w:t>.</w:t>
      </w:r>
    </w:p>
    <w:p w14:paraId="5559C921" w14:textId="77777777" w:rsidR="005C375B" w:rsidRPr="005C375B" w:rsidRDefault="005C375B" w:rsidP="005C375B">
      <w:pPr>
        <w:pStyle w:val="ListParagraph"/>
        <w:numPr>
          <w:ilvl w:val="0"/>
          <w:numId w:val="18"/>
        </w:numPr>
        <w:rPr>
          <w:lang w:val="en-GB"/>
        </w:rPr>
      </w:pPr>
      <w:r w:rsidRPr="00603CE9">
        <w:rPr>
          <w:lang w:val="it-IT"/>
        </w:rPr>
        <w:t xml:space="preserve">Koepfli C, Nguitragool W, de Almeida ACG, et al. </w:t>
      </w:r>
      <w:r w:rsidRPr="005C375B">
        <w:rPr>
          <w:lang w:val="en-GB"/>
        </w:rPr>
        <w:t xml:space="preserve">Identification of the asymptomatic Plasmodium falciparum and Plasmodium vivax gametocyte reservoir under different transmission intensities. </w:t>
      </w:r>
      <w:proofErr w:type="spellStart"/>
      <w:r w:rsidRPr="005C375B">
        <w:rPr>
          <w:lang w:val="en-GB"/>
        </w:rPr>
        <w:t>PLoS</w:t>
      </w:r>
      <w:proofErr w:type="spellEnd"/>
      <w:r w:rsidRPr="005C375B">
        <w:rPr>
          <w:lang w:val="en-GB"/>
        </w:rPr>
        <w:t xml:space="preserve"> </w:t>
      </w:r>
      <w:proofErr w:type="spellStart"/>
      <w:r w:rsidRPr="005C375B">
        <w:rPr>
          <w:lang w:val="en-GB"/>
        </w:rPr>
        <w:t>Negl</w:t>
      </w:r>
      <w:proofErr w:type="spellEnd"/>
      <w:r w:rsidRPr="005C375B">
        <w:rPr>
          <w:lang w:val="en-GB"/>
        </w:rPr>
        <w:t xml:space="preserve"> Trop Dis. 2021;</w:t>
      </w:r>
      <w:proofErr w:type="gramStart"/>
      <w:r w:rsidRPr="005C375B">
        <w:rPr>
          <w:lang w:val="en-GB"/>
        </w:rPr>
        <w:t>15:e</w:t>
      </w:r>
      <w:proofErr w:type="gramEnd"/>
      <w:r w:rsidRPr="005C375B">
        <w:rPr>
          <w:lang w:val="en-GB"/>
        </w:rPr>
        <w:t>0009672</w:t>
      </w:r>
    </w:p>
    <w:p w14:paraId="5ACB3E8A" w14:textId="77777777" w:rsidR="006C59DF" w:rsidRDefault="006C59DF" w:rsidP="006C59DF"/>
    <w:sectPr w:rsidR="006C59DF" w:rsidSect="00F45F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17F27" w14:textId="77777777" w:rsidR="00F12052" w:rsidRDefault="00F12052" w:rsidP="00440B33">
      <w:r>
        <w:separator/>
      </w:r>
    </w:p>
  </w:endnote>
  <w:endnote w:type="continuationSeparator" w:id="0">
    <w:p w14:paraId="74464890" w14:textId="77777777" w:rsidR="00F12052" w:rsidRDefault="00F12052" w:rsidP="00440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738879"/>
      <w:docPartObj>
        <w:docPartGallery w:val="Page Numbers (Bottom of Page)"/>
        <w:docPartUnique/>
      </w:docPartObj>
    </w:sdtPr>
    <w:sdtEndPr>
      <w:rPr>
        <w:noProof/>
      </w:rPr>
    </w:sdtEndPr>
    <w:sdtContent>
      <w:p w14:paraId="7DF17623" w14:textId="3046C38B" w:rsidR="00440B33" w:rsidRDefault="00440B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413087" w14:textId="77777777" w:rsidR="00440B33" w:rsidRDefault="00440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AEA9E" w14:textId="77777777" w:rsidR="00F12052" w:rsidRDefault="00F12052" w:rsidP="00440B33">
      <w:r>
        <w:separator/>
      </w:r>
    </w:p>
  </w:footnote>
  <w:footnote w:type="continuationSeparator" w:id="0">
    <w:p w14:paraId="05E35C84" w14:textId="77777777" w:rsidR="00F12052" w:rsidRDefault="00F12052" w:rsidP="00440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ACD"/>
    <w:multiLevelType w:val="multilevel"/>
    <w:tmpl w:val="C53C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F0CA9"/>
    <w:multiLevelType w:val="multilevel"/>
    <w:tmpl w:val="A66C2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0A13B9"/>
    <w:multiLevelType w:val="multilevel"/>
    <w:tmpl w:val="949A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B0757"/>
    <w:multiLevelType w:val="hybridMultilevel"/>
    <w:tmpl w:val="0E065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E6DA2"/>
    <w:multiLevelType w:val="hybridMultilevel"/>
    <w:tmpl w:val="1D1AC9F4"/>
    <w:lvl w:ilvl="0" w:tplc="91EEEABE">
      <w:start w:val="5"/>
      <w:numFmt w:val="bullet"/>
      <w:lvlText w:val="-"/>
      <w:lvlJc w:val="left"/>
      <w:pPr>
        <w:ind w:left="720" w:hanging="360"/>
      </w:pPr>
      <w:rPr>
        <w:rFonts w:ascii="Calibri" w:eastAsiaTheme="minorHAnsi"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33213"/>
    <w:multiLevelType w:val="multilevel"/>
    <w:tmpl w:val="A6767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83DB3"/>
    <w:multiLevelType w:val="multilevel"/>
    <w:tmpl w:val="7C960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A51092"/>
    <w:multiLevelType w:val="multilevel"/>
    <w:tmpl w:val="BC00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44345"/>
    <w:multiLevelType w:val="multilevel"/>
    <w:tmpl w:val="EC10D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75180C"/>
    <w:multiLevelType w:val="multilevel"/>
    <w:tmpl w:val="57D6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E680F"/>
    <w:multiLevelType w:val="multilevel"/>
    <w:tmpl w:val="C89A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D544D8"/>
    <w:multiLevelType w:val="multilevel"/>
    <w:tmpl w:val="8814E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142DF7"/>
    <w:multiLevelType w:val="multilevel"/>
    <w:tmpl w:val="1CC4F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19448B"/>
    <w:multiLevelType w:val="hybridMultilevel"/>
    <w:tmpl w:val="B7EC6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A81CC4"/>
    <w:multiLevelType w:val="multilevel"/>
    <w:tmpl w:val="930CC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9B0F1C"/>
    <w:multiLevelType w:val="multilevel"/>
    <w:tmpl w:val="C98A4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720E85"/>
    <w:multiLevelType w:val="hybridMultilevel"/>
    <w:tmpl w:val="5560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C44969"/>
    <w:multiLevelType w:val="multilevel"/>
    <w:tmpl w:val="2A125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562100">
    <w:abstractNumId w:val="4"/>
  </w:num>
  <w:num w:numId="2" w16cid:durableId="787891717">
    <w:abstractNumId w:val="13"/>
  </w:num>
  <w:num w:numId="3" w16cid:durableId="244464325">
    <w:abstractNumId w:val="5"/>
  </w:num>
  <w:num w:numId="4" w16cid:durableId="462433262">
    <w:abstractNumId w:val="11"/>
  </w:num>
  <w:num w:numId="5" w16cid:durableId="608775554">
    <w:abstractNumId w:val="17"/>
  </w:num>
  <w:num w:numId="6" w16cid:durableId="194855125">
    <w:abstractNumId w:val="8"/>
  </w:num>
  <w:num w:numId="7" w16cid:durableId="150030473">
    <w:abstractNumId w:val="15"/>
  </w:num>
  <w:num w:numId="8" w16cid:durableId="314847065">
    <w:abstractNumId w:val="14"/>
  </w:num>
  <w:num w:numId="9" w16cid:durableId="606084198">
    <w:abstractNumId w:val="9"/>
  </w:num>
  <w:num w:numId="10" w16cid:durableId="771246627">
    <w:abstractNumId w:val="7"/>
  </w:num>
  <w:num w:numId="11" w16cid:durableId="1640451468">
    <w:abstractNumId w:val="1"/>
  </w:num>
  <w:num w:numId="12" w16cid:durableId="1987081638">
    <w:abstractNumId w:val="2"/>
  </w:num>
  <w:num w:numId="13" w16cid:durableId="724794856">
    <w:abstractNumId w:val="16"/>
  </w:num>
  <w:num w:numId="14" w16cid:durableId="1259026130">
    <w:abstractNumId w:val="0"/>
  </w:num>
  <w:num w:numId="15" w16cid:durableId="692851850">
    <w:abstractNumId w:val="12"/>
  </w:num>
  <w:num w:numId="16" w16cid:durableId="1698460946">
    <w:abstractNumId w:val="10"/>
  </w:num>
  <w:num w:numId="17" w16cid:durableId="1974166016">
    <w:abstractNumId w:val="6"/>
  </w:num>
  <w:num w:numId="18" w16cid:durableId="59136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awpfp9f0pr5geerfnvzftdest2wtpdvxft&quot;&gt;library_luca_shared-Converted - Copy&lt;record-ids&gt;&lt;item&gt;801&lt;/item&gt;&lt;item&gt;802&lt;/item&gt;&lt;item&gt;803&lt;/item&gt;&lt;item&gt;804&lt;/item&gt;&lt;/record-ids&gt;&lt;/item&gt;&lt;/Libraries&gt;"/>
  </w:docVars>
  <w:rsids>
    <w:rsidRoot w:val="00F55045"/>
    <w:rsid w:val="00002D73"/>
    <w:rsid w:val="00010D70"/>
    <w:rsid w:val="0002163D"/>
    <w:rsid w:val="0003407B"/>
    <w:rsid w:val="00034BCA"/>
    <w:rsid w:val="000353CC"/>
    <w:rsid w:val="00046916"/>
    <w:rsid w:val="00054874"/>
    <w:rsid w:val="000775FD"/>
    <w:rsid w:val="00080B3A"/>
    <w:rsid w:val="00080EB7"/>
    <w:rsid w:val="0009179B"/>
    <w:rsid w:val="000A4324"/>
    <w:rsid w:val="000A4CF9"/>
    <w:rsid w:val="000B1105"/>
    <w:rsid w:val="000B1387"/>
    <w:rsid w:val="000B5F11"/>
    <w:rsid w:val="000C4F31"/>
    <w:rsid w:val="000D0230"/>
    <w:rsid w:val="000D27EA"/>
    <w:rsid w:val="000D3821"/>
    <w:rsid w:val="000E1548"/>
    <w:rsid w:val="000E35FF"/>
    <w:rsid w:val="000E38CB"/>
    <w:rsid w:val="000E45E5"/>
    <w:rsid w:val="000F3872"/>
    <w:rsid w:val="000F3FB1"/>
    <w:rsid w:val="000F688C"/>
    <w:rsid w:val="00104849"/>
    <w:rsid w:val="001078A6"/>
    <w:rsid w:val="0011182D"/>
    <w:rsid w:val="00121CB9"/>
    <w:rsid w:val="00123D0D"/>
    <w:rsid w:val="00125DAA"/>
    <w:rsid w:val="00137117"/>
    <w:rsid w:val="0013761E"/>
    <w:rsid w:val="00156490"/>
    <w:rsid w:val="00156782"/>
    <w:rsid w:val="001615AE"/>
    <w:rsid w:val="00162C06"/>
    <w:rsid w:val="001667D6"/>
    <w:rsid w:val="0016783F"/>
    <w:rsid w:val="00167867"/>
    <w:rsid w:val="0017341A"/>
    <w:rsid w:val="00177DE2"/>
    <w:rsid w:val="00183ADE"/>
    <w:rsid w:val="00191FCE"/>
    <w:rsid w:val="001925A2"/>
    <w:rsid w:val="001936AF"/>
    <w:rsid w:val="001A386E"/>
    <w:rsid w:val="001C2368"/>
    <w:rsid w:val="001C65BE"/>
    <w:rsid w:val="001D170C"/>
    <w:rsid w:val="001D173F"/>
    <w:rsid w:val="001D1F05"/>
    <w:rsid w:val="001D7916"/>
    <w:rsid w:val="001E40E9"/>
    <w:rsid w:val="001E622E"/>
    <w:rsid w:val="00214961"/>
    <w:rsid w:val="002243E7"/>
    <w:rsid w:val="0022683B"/>
    <w:rsid w:val="0022709F"/>
    <w:rsid w:val="002317B4"/>
    <w:rsid w:val="00234C7F"/>
    <w:rsid w:val="00240C6E"/>
    <w:rsid w:val="00241EE5"/>
    <w:rsid w:val="00244F4C"/>
    <w:rsid w:val="00256555"/>
    <w:rsid w:val="00260A6A"/>
    <w:rsid w:val="00270FF1"/>
    <w:rsid w:val="00283C1E"/>
    <w:rsid w:val="002841B5"/>
    <w:rsid w:val="00293DBE"/>
    <w:rsid w:val="002A300E"/>
    <w:rsid w:val="002B068B"/>
    <w:rsid w:val="002B740A"/>
    <w:rsid w:val="002C0625"/>
    <w:rsid w:val="002C393E"/>
    <w:rsid w:val="002C4CAB"/>
    <w:rsid w:val="002C58DC"/>
    <w:rsid w:val="002D027D"/>
    <w:rsid w:val="002D1AC3"/>
    <w:rsid w:val="002D2C45"/>
    <w:rsid w:val="002E02FC"/>
    <w:rsid w:val="002E1319"/>
    <w:rsid w:val="002E77CF"/>
    <w:rsid w:val="002F2044"/>
    <w:rsid w:val="002F359F"/>
    <w:rsid w:val="003126CE"/>
    <w:rsid w:val="00312AB2"/>
    <w:rsid w:val="00326C0D"/>
    <w:rsid w:val="003343B4"/>
    <w:rsid w:val="0033551F"/>
    <w:rsid w:val="00335747"/>
    <w:rsid w:val="003448D7"/>
    <w:rsid w:val="00355E8D"/>
    <w:rsid w:val="00356D22"/>
    <w:rsid w:val="00370B25"/>
    <w:rsid w:val="003A029E"/>
    <w:rsid w:val="003B022E"/>
    <w:rsid w:val="003B0DDA"/>
    <w:rsid w:val="003C4302"/>
    <w:rsid w:val="003C5C87"/>
    <w:rsid w:val="003C7AB9"/>
    <w:rsid w:val="003E502F"/>
    <w:rsid w:val="003F00FA"/>
    <w:rsid w:val="003F479F"/>
    <w:rsid w:val="003F4DE1"/>
    <w:rsid w:val="00414FC4"/>
    <w:rsid w:val="004250F8"/>
    <w:rsid w:val="00425F8B"/>
    <w:rsid w:val="00440B33"/>
    <w:rsid w:val="004536CD"/>
    <w:rsid w:val="004632A2"/>
    <w:rsid w:val="00465D01"/>
    <w:rsid w:val="00470746"/>
    <w:rsid w:val="00471288"/>
    <w:rsid w:val="00472709"/>
    <w:rsid w:val="00473D12"/>
    <w:rsid w:val="004756D0"/>
    <w:rsid w:val="0047645C"/>
    <w:rsid w:val="00481A74"/>
    <w:rsid w:val="00486E44"/>
    <w:rsid w:val="00487994"/>
    <w:rsid w:val="00492C98"/>
    <w:rsid w:val="004A21B6"/>
    <w:rsid w:val="004B7A3A"/>
    <w:rsid w:val="004C0A8C"/>
    <w:rsid w:val="004C3E01"/>
    <w:rsid w:val="004D1573"/>
    <w:rsid w:val="004E0410"/>
    <w:rsid w:val="004E41C2"/>
    <w:rsid w:val="004E6CA7"/>
    <w:rsid w:val="00505E91"/>
    <w:rsid w:val="00520F53"/>
    <w:rsid w:val="00521A38"/>
    <w:rsid w:val="00524023"/>
    <w:rsid w:val="00534126"/>
    <w:rsid w:val="00535369"/>
    <w:rsid w:val="005522BD"/>
    <w:rsid w:val="00556C4D"/>
    <w:rsid w:val="00563EB5"/>
    <w:rsid w:val="0056686D"/>
    <w:rsid w:val="00571054"/>
    <w:rsid w:val="0058022D"/>
    <w:rsid w:val="00585A4C"/>
    <w:rsid w:val="00586220"/>
    <w:rsid w:val="005956BA"/>
    <w:rsid w:val="005C375B"/>
    <w:rsid w:val="005D4192"/>
    <w:rsid w:val="005E061F"/>
    <w:rsid w:val="005E43DE"/>
    <w:rsid w:val="005E4C9C"/>
    <w:rsid w:val="005F20BC"/>
    <w:rsid w:val="00600D23"/>
    <w:rsid w:val="00603CE9"/>
    <w:rsid w:val="006048A0"/>
    <w:rsid w:val="00611474"/>
    <w:rsid w:val="00611929"/>
    <w:rsid w:val="006139F1"/>
    <w:rsid w:val="00642C92"/>
    <w:rsid w:val="00645BCA"/>
    <w:rsid w:val="00645E1C"/>
    <w:rsid w:val="00663C36"/>
    <w:rsid w:val="0066484E"/>
    <w:rsid w:val="00665F4C"/>
    <w:rsid w:val="00671842"/>
    <w:rsid w:val="0067474A"/>
    <w:rsid w:val="0067495E"/>
    <w:rsid w:val="00675FB0"/>
    <w:rsid w:val="006822FE"/>
    <w:rsid w:val="006823EA"/>
    <w:rsid w:val="00687C47"/>
    <w:rsid w:val="006902BE"/>
    <w:rsid w:val="00694939"/>
    <w:rsid w:val="00694DD3"/>
    <w:rsid w:val="0069576A"/>
    <w:rsid w:val="006A746E"/>
    <w:rsid w:val="006B36F5"/>
    <w:rsid w:val="006B413C"/>
    <w:rsid w:val="006B45ED"/>
    <w:rsid w:val="006C2929"/>
    <w:rsid w:val="006C59DF"/>
    <w:rsid w:val="006F05C3"/>
    <w:rsid w:val="006F138C"/>
    <w:rsid w:val="006F5964"/>
    <w:rsid w:val="00701435"/>
    <w:rsid w:val="00704954"/>
    <w:rsid w:val="00711523"/>
    <w:rsid w:val="00714EDD"/>
    <w:rsid w:val="00715C42"/>
    <w:rsid w:val="00720CFD"/>
    <w:rsid w:val="00727941"/>
    <w:rsid w:val="00731FBA"/>
    <w:rsid w:val="00737F97"/>
    <w:rsid w:val="007402CF"/>
    <w:rsid w:val="00741C84"/>
    <w:rsid w:val="007511ED"/>
    <w:rsid w:val="00760393"/>
    <w:rsid w:val="00761F11"/>
    <w:rsid w:val="0076656A"/>
    <w:rsid w:val="00775ECF"/>
    <w:rsid w:val="007928AE"/>
    <w:rsid w:val="007A0A5E"/>
    <w:rsid w:val="007A0D8D"/>
    <w:rsid w:val="007A1012"/>
    <w:rsid w:val="007A4AFA"/>
    <w:rsid w:val="007A7661"/>
    <w:rsid w:val="007B27FB"/>
    <w:rsid w:val="007C2CD9"/>
    <w:rsid w:val="007C7870"/>
    <w:rsid w:val="007E045B"/>
    <w:rsid w:val="007E1AFF"/>
    <w:rsid w:val="0080289F"/>
    <w:rsid w:val="00803FBD"/>
    <w:rsid w:val="00827A82"/>
    <w:rsid w:val="00830E6C"/>
    <w:rsid w:val="00831A0A"/>
    <w:rsid w:val="008542A0"/>
    <w:rsid w:val="00857B62"/>
    <w:rsid w:val="00873030"/>
    <w:rsid w:val="00882094"/>
    <w:rsid w:val="00883795"/>
    <w:rsid w:val="00890C1B"/>
    <w:rsid w:val="008940CB"/>
    <w:rsid w:val="008A0693"/>
    <w:rsid w:val="008A33EC"/>
    <w:rsid w:val="008C1763"/>
    <w:rsid w:val="008C4C57"/>
    <w:rsid w:val="008D1F4F"/>
    <w:rsid w:val="008E0AC4"/>
    <w:rsid w:val="008E3F76"/>
    <w:rsid w:val="008F0D5A"/>
    <w:rsid w:val="0090231B"/>
    <w:rsid w:val="0090323C"/>
    <w:rsid w:val="0092013F"/>
    <w:rsid w:val="00920173"/>
    <w:rsid w:val="009237BF"/>
    <w:rsid w:val="00925742"/>
    <w:rsid w:val="00925B5C"/>
    <w:rsid w:val="00926A5C"/>
    <w:rsid w:val="00931077"/>
    <w:rsid w:val="0093236E"/>
    <w:rsid w:val="00946661"/>
    <w:rsid w:val="009612AC"/>
    <w:rsid w:val="0096537C"/>
    <w:rsid w:val="00970B30"/>
    <w:rsid w:val="00971845"/>
    <w:rsid w:val="00973874"/>
    <w:rsid w:val="00982947"/>
    <w:rsid w:val="009847F8"/>
    <w:rsid w:val="00992316"/>
    <w:rsid w:val="009A43E0"/>
    <w:rsid w:val="009A705B"/>
    <w:rsid w:val="009B4694"/>
    <w:rsid w:val="009B6E4A"/>
    <w:rsid w:val="009C3487"/>
    <w:rsid w:val="009C67F2"/>
    <w:rsid w:val="009C7500"/>
    <w:rsid w:val="009D2F49"/>
    <w:rsid w:val="009D489C"/>
    <w:rsid w:val="009D4B11"/>
    <w:rsid w:val="009E0CEA"/>
    <w:rsid w:val="009E355D"/>
    <w:rsid w:val="009F2C86"/>
    <w:rsid w:val="009F5E21"/>
    <w:rsid w:val="00A02302"/>
    <w:rsid w:val="00A02795"/>
    <w:rsid w:val="00A04691"/>
    <w:rsid w:val="00A04D66"/>
    <w:rsid w:val="00A05CF8"/>
    <w:rsid w:val="00A2403B"/>
    <w:rsid w:val="00A24DDA"/>
    <w:rsid w:val="00A25974"/>
    <w:rsid w:val="00A457B3"/>
    <w:rsid w:val="00A55BEE"/>
    <w:rsid w:val="00A66B67"/>
    <w:rsid w:val="00A6751A"/>
    <w:rsid w:val="00A823A9"/>
    <w:rsid w:val="00A87EA1"/>
    <w:rsid w:val="00A92A66"/>
    <w:rsid w:val="00A94684"/>
    <w:rsid w:val="00A96312"/>
    <w:rsid w:val="00AA5F64"/>
    <w:rsid w:val="00AA78AF"/>
    <w:rsid w:val="00AB4762"/>
    <w:rsid w:val="00AC0592"/>
    <w:rsid w:val="00AD314C"/>
    <w:rsid w:val="00AD4A54"/>
    <w:rsid w:val="00AD57BA"/>
    <w:rsid w:val="00AE46BC"/>
    <w:rsid w:val="00AE5287"/>
    <w:rsid w:val="00AE6A83"/>
    <w:rsid w:val="00AF0258"/>
    <w:rsid w:val="00AF78AC"/>
    <w:rsid w:val="00B04876"/>
    <w:rsid w:val="00B11EDD"/>
    <w:rsid w:val="00B17D35"/>
    <w:rsid w:val="00B31FD9"/>
    <w:rsid w:val="00B4116E"/>
    <w:rsid w:val="00B47637"/>
    <w:rsid w:val="00B55A3E"/>
    <w:rsid w:val="00B75EA4"/>
    <w:rsid w:val="00B83975"/>
    <w:rsid w:val="00B91336"/>
    <w:rsid w:val="00B9184F"/>
    <w:rsid w:val="00B93C31"/>
    <w:rsid w:val="00B94275"/>
    <w:rsid w:val="00BA32A7"/>
    <w:rsid w:val="00BA4193"/>
    <w:rsid w:val="00BA75F5"/>
    <w:rsid w:val="00BB1431"/>
    <w:rsid w:val="00BE2DED"/>
    <w:rsid w:val="00BE366C"/>
    <w:rsid w:val="00BE42A7"/>
    <w:rsid w:val="00BE64E0"/>
    <w:rsid w:val="00BE7F9B"/>
    <w:rsid w:val="00BF2F76"/>
    <w:rsid w:val="00C0142B"/>
    <w:rsid w:val="00C13AFC"/>
    <w:rsid w:val="00C146FD"/>
    <w:rsid w:val="00C249E1"/>
    <w:rsid w:val="00C3092B"/>
    <w:rsid w:val="00C33126"/>
    <w:rsid w:val="00C55228"/>
    <w:rsid w:val="00C61A95"/>
    <w:rsid w:val="00C66982"/>
    <w:rsid w:val="00C67EA5"/>
    <w:rsid w:val="00C73FFE"/>
    <w:rsid w:val="00C7599A"/>
    <w:rsid w:val="00C9207E"/>
    <w:rsid w:val="00C936F7"/>
    <w:rsid w:val="00CA1402"/>
    <w:rsid w:val="00CA35FF"/>
    <w:rsid w:val="00CA4588"/>
    <w:rsid w:val="00CB1622"/>
    <w:rsid w:val="00CC280E"/>
    <w:rsid w:val="00CC6C5C"/>
    <w:rsid w:val="00CE09A5"/>
    <w:rsid w:val="00CF4EFD"/>
    <w:rsid w:val="00CF68B0"/>
    <w:rsid w:val="00D00495"/>
    <w:rsid w:val="00D10EA2"/>
    <w:rsid w:val="00D13D97"/>
    <w:rsid w:val="00D17C70"/>
    <w:rsid w:val="00D210B1"/>
    <w:rsid w:val="00D247FC"/>
    <w:rsid w:val="00D279FD"/>
    <w:rsid w:val="00D30A7D"/>
    <w:rsid w:val="00D41FD4"/>
    <w:rsid w:val="00D6097B"/>
    <w:rsid w:val="00D7288E"/>
    <w:rsid w:val="00D73042"/>
    <w:rsid w:val="00D741D1"/>
    <w:rsid w:val="00D750DF"/>
    <w:rsid w:val="00D86C42"/>
    <w:rsid w:val="00D92A04"/>
    <w:rsid w:val="00DA0139"/>
    <w:rsid w:val="00DA20CC"/>
    <w:rsid w:val="00DA3104"/>
    <w:rsid w:val="00DB4B7E"/>
    <w:rsid w:val="00DB6077"/>
    <w:rsid w:val="00DB726A"/>
    <w:rsid w:val="00DC5307"/>
    <w:rsid w:val="00DC7B45"/>
    <w:rsid w:val="00DD1F7F"/>
    <w:rsid w:val="00DD49E8"/>
    <w:rsid w:val="00DD51E1"/>
    <w:rsid w:val="00DE0722"/>
    <w:rsid w:val="00DF63F0"/>
    <w:rsid w:val="00E00602"/>
    <w:rsid w:val="00E136ED"/>
    <w:rsid w:val="00E175D5"/>
    <w:rsid w:val="00E1776A"/>
    <w:rsid w:val="00E20787"/>
    <w:rsid w:val="00E2319B"/>
    <w:rsid w:val="00E23FC4"/>
    <w:rsid w:val="00E5354A"/>
    <w:rsid w:val="00E571D1"/>
    <w:rsid w:val="00E625AF"/>
    <w:rsid w:val="00E75E55"/>
    <w:rsid w:val="00E83A42"/>
    <w:rsid w:val="00E84193"/>
    <w:rsid w:val="00E843A8"/>
    <w:rsid w:val="00E85565"/>
    <w:rsid w:val="00E87278"/>
    <w:rsid w:val="00E9792E"/>
    <w:rsid w:val="00EA3744"/>
    <w:rsid w:val="00EB122B"/>
    <w:rsid w:val="00EB3852"/>
    <w:rsid w:val="00EC323E"/>
    <w:rsid w:val="00EC3FFB"/>
    <w:rsid w:val="00EE3783"/>
    <w:rsid w:val="00EE3DE1"/>
    <w:rsid w:val="00EF276E"/>
    <w:rsid w:val="00EF506B"/>
    <w:rsid w:val="00EF6B5E"/>
    <w:rsid w:val="00F01EF8"/>
    <w:rsid w:val="00F04A82"/>
    <w:rsid w:val="00F06F34"/>
    <w:rsid w:val="00F12052"/>
    <w:rsid w:val="00F161B6"/>
    <w:rsid w:val="00F20526"/>
    <w:rsid w:val="00F20899"/>
    <w:rsid w:val="00F27442"/>
    <w:rsid w:val="00F30D47"/>
    <w:rsid w:val="00F32F1F"/>
    <w:rsid w:val="00F34DFC"/>
    <w:rsid w:val="00F437D6"/>
    <w:rsid w:val="00F44D27"/>
    <w:rsid w:val="00F45FCE"/>
    <w:rsid w:val="00F54EB6"/>
    <w:rsid w:val="00F55045"/>
    <w:rsid w:val="00F555F7"/>
    <w:rsid w:val="00F65992"/>
    <w:rsid w:val="00F7679D"/>
    <w:rsid w:val="00F92107"/>
    <w:rsid w:val="00FA69DE"/>
    <w:rsid w:val="00FA7DDF"/>
    <w:rsid w:val="00FB000F"/>
    <w:rsid w:val="00FB1025"/>
    <w:rsid w:val="00FB2EB7"/>
    <w:rsid w:val="00FB5AB7"/>
    <w:rsid w:val="00FC6891"/>
    <w:rsid w:val="00FD06EB"/>
    <w:rsid w:val="00FD63C1"/>
    <w:rsid w:val="00FE2A0B"/>
    <w:rsid w:val="00FE506B"/>
    <w:rsid w:val="00FE703A"/>
    <w:rsid w:val="00FE747A"/>
    <w:rsid w:val="00FE7D85"/>
    <w:rsid w:val="00FF059A"/>
    <w:rsid w:val="00FF57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CDAC"/>
  <w15:chartTrackingRefBased/>
  <w15:docId w15:val="{F1F387E7-0DF5-D142-859C-82AB8687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04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5045"/>
    <w:rPr>
      <w:color w:val="0563C1" w:themeColor="hyperlink"/>
      <w:u w:val="single"/>
    </w:rPr>
  </w:style>
  <w:style w:type="paragraph" w:styleId="ListParagraph">
    <w:name w:val="List Paragraph"/>
    <w:aliases w:val="tieu de"/>
    <w:basedOn w:val="Normal"/>
    <w:link w:val="ListParagraphChar"/>
    <w:uiPriority w:val="34"/>
    <w:qFormat/>
    <w:rsid w:val="00A96312"/>
    <w:pPr>
      <w:ind w:left="720"/>
      <w:contextualSpacing/>
    </w:pPr>
  </w:style>
  <w:style w:type="paragraph" w:customStyle="1" w:styleId="EndNoteBibliographyTitle">
    <w:name w:val="EndNote Bibliography Title"/>
    <w:basedOn w:val="Normal"/>
    <w:link w:val="EndNoteBibliographyTitleChar"/>
    <w:rsid w:val="00CA1402"/>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CA1402"/>
    <w:rPr>
      <w:rFonts w:ascii="Calibri" w:hAnsi="Calibri" w:cs="Calibri"/>
      <w:kern w:val="0"/>
      <w14:ligatures w14:val="none"/>
    </w:rPr>
  </w:style>
  <w:style w:type="paragraph" w:customStyle="1" w:styleId="EndNoteBibliography">
    <w:name w:val="EndNote Bibliography"/>
    <w:basedOn w:val="Normal"/>
    <w:link w:val="EndNoteBibliographyChar"/>
    <w:rsid w:val="00CA1402"/>
    <w:rPr>
      <w:rFonts w:ascii="Calibri" w:hAnsi="Calibri" w:cs="Calibri"/>
    </w:rPr>
  </w:style>
  <w:style w:type="character" w:customStyle="1" w:styleId="EndNoteBibliographyChar">
    <w:name w:val="EndNote Bibliography Char"/>
    <w:basedOn w:val="DefaultParagraphFont"/>
    <w:link w:val="EndNoteBibliography"/>
    <w:rsid w:val="00CA1402"/>
    <w:rPr>
      <w:rFonts w:ascii="Calibri" w:hAnsi="Calibri" w:cs="Calibri"/>
      <w:kern w:val="0"/>
      <w14:ligatures w14:val="none"/>
    </w:rPr>
  </w:style>
  <w:style w:type="paragraph" w:styleId="Revision">
    <w:name w:val="Revision"/>
    <w:hidden/>
    <w:uiPriority w:val="99"/>
    <w:semiHidden/>
    <w:rsid w:val="0016783F"/>
    <w:rPr>
      <w:kern w:val="0"/>
      <w14:ligatures w14:val="none"/>
    </w:rPr>
  </w:style>
  <w:style w:type="character" w:styleId="UnresolvedMention">
    <w:name w:val="Unresolved Mention"/>
    <w:basedOn w:val="DefaultParagraphFont"/>
    <w:uiPriority w:val="99"/>
    <w:semiHidden/>
    <w:unhideWhenUsed/>
    <w:rsid w:val="00034BCA"/>
    <w:rPr>
      <w:color w:val="605E5C"/>
      <w:shd w:val="clear" w:color="auto" w:fill="E1DFDD"/>
    </w:rPr>
  </w:style>
  <w:style w:type="character" w:styleId="PlaceholderText">
    <w:name w:val="Placeholder Text"/>
    <w:basedOn w:val="DefaultParagraphFont"/>
    <w:uiPriority w:val="99"/>
    <w:semiHidden/>
    <w:rsid w:val="00D741D1"/>
    <w:rPr>
      <w:color w:val="666666"/>
    </w:rPr>
  </w:style>
  <w:style w:type="character" w:styleId="LineNumber">
    <w:name w:val="line number"/>
    <w:basedOn w:val="DefaultParagraphFont"/>
    <w:uiPriority w:val="99"/>
    <w:semiHidden/>
    <w:unhideWhenUsed/>
    <w:rsid w:val="00687C47"/>
  </w:style>
  <w:style w:type="paragraph" w:styleId="Subtitle">
    <w:name w:val="Subtitle"/>
    <w:basedOn w:val="Normal"/>
    <w:next w:val="Normal"/>
    <w:link w:val="SubtitleChar"/>
    <w:uiPriority w:val="11"/>
    <w:qFormat/>
    <w:rsid w:val="006C59DF"/>
    <w:pPr>
      <w:numPr>
        <w:ilvl w:val="1"/>
      </w:numPr>
      <w:spacing w:after="160" w:line="259" w:lineRule="auto"/>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6C59DF"/>
    <w:rPr>
      <w:rFonts w:eastAsiaTheme="majorEastAsia" w:cstheme="majorBidi"/>
      <w:color w:val="595959" w:themeColor="text1" w:themeTint="A6"/>
      <w:spacing w:val="15"/>
      <w:kern w:val="0"/>
      <w:sz w:val="28"/>
      <w:szCs w:val="28"/>
      <w:lang w:val="en-GB"/>
      <w14:ligatures w14:val="none"/>
    </w:rPr>
  </w:style>
  <w:style w:type="character" w:customStyle="1" w:styleId="ListParagraphChar">
    <w:name w:val="List Paragraph Char"/>
    <w:aliases w:val="tieu de Char"/>
    <w:link w:val="ListParagraph"/>
    <w:uiPriority w:val="34"/>
    <w:locked/>
    <w:rsid w:val="006C59DF"/>
    <w:rPr>
      <w:kern w:val="0"/>
      <w14:ligatures w14:val="none"/>
    </w:rPr>
  </w:style>
  <w:style w:type="paragraph" w:styleId="NormalWeb">
    <w:name w:val="Normal (Web)"/>
    <w:basedOn w:val="Normal"/>
    <w:uiPriority w:val="99"/>
    <w:unhideWhenUsed/>
    <w:rsid w:val="006C59DF"/>
    <w:pPr>
      <w:spacing w:before="100" w:beforeAutospacing="1" w:after="100" w:afterAutospacing="1"/>
    </w:pPr>
    <w:rPr>
      <w:rFonts w:ascii="Times New Roman" w:eastAsia="Times New Roman" w:hAnsi="Times New Roman" w:cs="Times New Roman"/>
      <w:lang w:val="en-GB" w:eastAsia="en-GB"/>
    </w:rPr>
  </w:style>
  <w:style w:type="character" w:styleId="Emphasis">
    <w:name w:val="Emphasis"/>
    <w:basedOn w:val="DefaultParagraphFont"/>
    <w:uiPriority w:val="20"/>
    <w:qFormat/>
    <w:rsid w:val="006C59DF"/>
    <w:rPr>
      <w:i/>
      <w:iCs/>
    </w:rPr>
  </w:style>
  <w:style w:type="character" w:styleId="Strong">
    <w:name w:val="Strong"/>
    <w:basedOn w:val="DefaultParagraphFont"/>
    <w:uiPriority w:val="22"/>
    <w:qFormat/>
    <w:rsid w:val="006C59DF"/>
    <w:rPr>
      <w:b/>
      <w:bCs/>
    </w:rPr>
  </w:style>
  <w:style w:type="table" w:styleId="TableGrid">
    <w:name w:val="Table Grid"/>
    <w:basedOn w:val="TableNormal"/>
    <w:uiPriority w:val="39"/>
    <w:rsid w:val="00440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B33"/>
    <w:pPr>
      <w:tabs>
        <w:tab w:val="center" w:pos="4513"/>
        <w:tab w:val="right" w:pos="9026"/>
      </w:tabs>
    </w:pPr>
  </w:style>
  <w:style w:type="character" w:customStyle="1" w:styleId="HeaderChar">
    <w:name w:val="Header Char"/>
    <w:basedOn w:val="DefaultParagraphFont"/>
    <w:link w:val="Header"/>
    <w:uiPriority w:val="99"/>
    <w:rsid w:val="00440B33"/>
    <w:rPr>
      <w:kern w:val="0"/>
      <w14:ligatures w14:val="none"/>
    </w:rPr>
  </w:style>
  <w:style w:type="paragraph" w:styleId="Footer">
    <w:name w:val="footer"/>
    <w:basedOn w:val="Normal"/>
    <w:link w:val="FooterChar"/>
    <w:uiPriority w:val="99"/>
    <w:unhideWhenUsed/>
    <w:rsid w:val="00440B33"/>
    <w:pPr>
      <w:tabs>
        <w:tab w:val="center" w:pos="4513"/>
        <w:tab w:val="right" w:pos="9026"/>
      </w:tabs>
    </w:pPr>
  </w:style>
  <w:style w:type="character" w:customStyle="1" w:styleId="FooterChar">
    <w:name w:val="Footer Char"/>
    <w:basedOn w:val="DefaultParagraphFont"/>
    <w:link w:val="Footer"/>
    <w:uiPriority w:val="99"/>
    <w:rsid w:val="00440B33"/>
    <w:rPr>
      <w:kern w:val="0"/>
      <w14:ligatures w14:val="none"/>
    </w:rPr>
  </w:style>
  <w:style w:type="character" w:customStyle="1" w:styleId="cf01">
    <w:name w:val="cf01"/>
    <w:basedOn w:val="DefaultParagraphFont"/>
    <w:rsid w:val="009847F8"/>
    <w:rPr>
      <w:rFonts w:ascii="Segoe UI" w:hAnsi="Segoe UI" w:cs="Segoe UI" w:hint="default"/>
      <w:sz w:val="18"/>
      <w:szCs w:val="18"/>
    </w:rPr>
  </w:style>
  <w:style w:type="character" w:styleId="CommentReference">
    <w:name w:val="annotation reference"/>
    <w:basedOn w:val="DefaultParagraphFont"/>
    <w:uiPriority w:val="99"/>
    <w:semiHidden/>
    <w:unhideWhenUsed/>
    <w:rsid w:val="00425F8B"/>
    <w:rPr>
      <w:sz w:val="16"/>
      <w:szCs w:val="16"/>
    </w:rPr>
  </w:style>
  <w:style w:type="paragraph" w:styleId="CommentText">
    <w:name w:val="annotation text"/>
    <w:basedOn w:val="Normal"/>
    <w:link w:val="CommentTextChar"/>
    <w:uiPriority w:val="99"/>
    <w:unhideWhenUsed/>
    <w:rsid w:val="00425F8B"/>
    <w:rPr>
      <w:sz w:val="20"/>
      <w:szCs w:val="20"/>
    </w:rPr>
  </w:style>
  <w:style w:type="character" w:customStyle="1" w:styleId="CommentTextChar">
    <w:name w:val="Comment Text Char"/>
    <w:basedOn w:val="DefaultParagraphFont"/>
    <w:link w:val="CommentText"/>
    <w:uiPriority w:val="99"/>
    <w:rsid w:val="00425F8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25F8B"/>
    <w:rPr>
      <w:b/>
      <w:bCs/>
    </w:rPr>
  </w:style>
  <w:style w:type="character" w:customStyle="1" w:styleId="CommentSubjectChar">
    <w:name w:val="Comment Subject Char"/>
    <w:basedOn w:val="CommentTextChar"/>
    <w:link w:val="CommentSubject"/>
    <w:uiPriority w:val="99"/>
    <w:semiHidden/>
    <w:rsid w:val="00425F8B"/>
    <w:rPr>
      <w:b/>
      <w:bCs/>
      <w:kern w:val="0"/>
      <w:sz w:val="20"/>
      <w:szCs w:val="20"/>
      <w14:ligatures w14:val="none"/>
    </w:rPr>
  </w:style>
  <w:style w:type="paragraph" w:customStyle="1" w:styleId="Default">
    <w:name w:val="Default"/>
    <w:rsid w:val="006B36F5"/>
    <w:pPr>
      <w:autoSpaceDE w:val="0"/>
      <w:autoSpaceDN w:val="0"/>
      <w:adjustRightInd w:val="0"/>
    </w:pPr>
    <w:rPr>
      <w:rFonts w:ascii="Calibri" w:hAnsi="Calibri" w:cs="Calibri"/>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481">
      <w:bodyDiv w:val="1"/>
      <w:marLeft w:val="0"/>
      <w:marRight w:val="0"/>
      <w:marTop w:val="0"/>
      <w:marBottom w:val="0"/>
      <w:divBdr>
        <w:top w:val="none" w:sz="0" w:space="0" w:color="auto"/>
        <w:left w:val="none" w:sz="0" w:space="0" w:color="auto"/>
        <w:bottom w:val="none" w:sz="0" w:space="0" w:color="auto"/>
        <w:right w:val="none" w:sz="0" w:space="0" w:color="auto"/>
      </w:divBdr>
    </w:div>
    <w:div w:id="93131685">
      <w:bodyDiv w:val="1"/>
      <w:marLeft w:val="0"/>
      <w:marRight w:val="0"/>
      <w:marTop w:val="0"/>
      <w:marBottom w:val="0"/>
      <w:divBdr>
        <w:top w:val="none" w:sz="0" w:space="0" w:color="auto"/>
        <w:left w:val="none" w:sz="0" w:space="0" w:color="auto"/>
        <w:bottom w:val="none" w:sz="0" w:space="0" w:color="auto"/>
        <w:right w:val="none" w:sz="0" w:space="0" w:color="auto"/>
      </w:divBdr>
    </w:div>
    <w:div w:id="139272940">
      <w:bodyDiv w:val="1"/>
      <w:marLeft w:val="0"/>
      <w:marRight w:val="0"/>
      <w:marTop w:val="0"/>
      <w:marBottom w:val="0"/>
      <w:divBdr>
        <w:top w:val="none" w:sz="0" w:space="0" w:color="auto"/>
        <w:left w:val="none" w:sz="0" w:space="0" w:color="auto"/>
        <w:bottom w:val="none" w:sz="0" w:space="0" w:color="auto"/>
        <w:right w:val="none" w:sz="0" w:space="0" w:color="auto"/>
      </w:divBdr>
    </w:div>
    <w:div w:id="211427329">
      <w:marLeft w:val="480"/>
      <w:marRight w:val="0"/>
      <w:marTop w:val="0"/>
      <w:marBottom w:val="0"/>
      <w:divBdr>
        <w:top w:val="none" w:sz="0" w:space="0" w:color="auto"/>
        <w:left w:val="none" w:sz="0" w:space="0" w:color="auto"/>
        <w:bottom w:val="none" w:sz="0" w:space="0" w:color="auto"/>
        <w:right w:val="none" w:sz="0" w:space="0" w:color="auto"/>
      </w:divBdr>
    </w:div>
    <w:div w:id="438109563">
      <w:marLeft w:val="480"/>
      <w:marRight w:val="0"/>
      <w:marTop w:val="0"/>
      <w:marBottom w:val="0"/>
      <w:divBdr>
        <w:top w:val="none" w:sz="0" w:space="0" w:color="auto"/>
        <w:left w:val="none" w:sz="0" w:space="0" w:color="auto"/>
        <w:bottom w:val="none" w:sz="0" w:space="0" w:color="auto"/>
        <w:right w:val="none" w:sz="0" w:space="0" w:color="auto"/>
      </w:divBdr>
    </w:div>
    <w:div w:id="685323686">
      <w:marLeft w:val="480"/>
      <w:marRight w:val="0"/>
      <w:marTop w:val="0"/>
      <w:marBottom w:val="0"/>
      <w:divBdr>
        <w:top w:val="none" w:sz="0" w:space="0" w:color="auto"/>
        <w:left w:val="none" w:sz="0" w:space="0" w:color="auto"/>
        <w:bottom w:val="none" w:sz="0" w:space="0" w:color="auto"/>
        <w:right w:val="none" w:sz="0" w:space="0" w:color="auto"/>
      </w:divBdr>
    </w:div>
    <w:div w:id="698091732">
      <w:marLeft w:val="480"/>
      <w:marRight w:val="0"/>
      <w:marTop w:val="0"/>
      <w:marBottom w:val="0"/>
      <w:divBdr>
        <w:top w:val="none" w:sz="0" w:space="0" w:color="auto"/>
        <w:left w:val="none" w:sz="0" w:space="0" w:color="auto"/>
        <w:bottom w:val="none" w:sz="0" w:space="0" w:color="auto"/>
        <w:right w:val="none" w:sz="0" w:space="0" w:color="auto"/>
      </w:divBdr>
    </w:div>
    <w:div w:id="710885094">
      <w:marLeft w:val="480"/>
      <w:marRight w:val="0"/>
      <w:marTop w:val="0"/>
      <w:marBottom w:val="0"/>
      <w:divBdr>
        <w:top w:val="none" w:sz="0" w:space="0" w:color="auto"/>
        <w:left w:val="none" w:sz="0" w:space="0" w:color="auto"/>
        <w:bottom w:val="none" w:sz="0" w:space="0" w:color="auto"/>
        <w:right w:val="none" w:sz="0" w:space="0" w:color="auto"/>
      </w:divBdr>
    </w:div>
    <w:div w:id="714045732">
      <w:marLeft w:val="480"/>
      <w:marRight w:val="0"/>
      <w:marTop w:val="0"/>
      <w:marBottom w:val="0"/>
      <w:divBdr>
        <w:top w:val="none" w:sz="0" w:space="0" w:color="auto"/>
        <w:left w:val="none" w:sz="0" w:space="0" w:color="auto"/>
        <w:bottom w:val="none" w:sz="0" w:space="0" w:color="auto"/>
        <w:right w:val="none" w:sz="0" w:space="0" w:color="auto"/>
      </w:divBdr>
    </w:div>
    <w:div w:id="755590860">
      <w:marLeft w:val="480"/>
      <w:marRight w:val="0"/>
      <w:marTop w:val="0"/>
      <w:marBottom w:val="0"/>
      <w:divBdr>
        <w:top w:val="none" w:sz="0" w:space="0" w:color="auto"/>
        <w:left w:val="none" w:sz="0" w:space="0" w:color="auto"/>
        <w:bottom w:val="none" w:sz="0" w:space="0" w:color="auto"/>
        <w:right w:val="none" w:sz="0" w:space="0" w:color="auto"/>
      </w:divBdr>
    </w:div>
    <w:div w:id="954991046">
      <w:marLeft w:val="480"/>
      <w:marRight w:val="0"/>
      <w:marTop w:val="0"/>
      <w:marBottom w:val="0"/>
      <w:divBdr>
        <w:top w:val="none" w:sz="0" w:space="0" w:color="auto"/>
        <w:left w:val="none" w:sz="0" w:space="0" w:color="auto"/>
        <w:bottom w:val="none" w:sz="0" w:space="0" w:color="auto"/>
        <w:right w:val="none" w:sz="0" w:space="0" w:color="auto"/>
      </w:divBdr>
    </w:div>
    <w:div w:id="1259563566">
      <w:marLeft w:val="480"/>
      <w:marRight w:val="0"/>
      <w:marTop w:val="0"/>
      <w:marBottom w:val="0"/>
      <w:divBdr>
        <w:top w:val="none" w:sz="0" w:space="0" w:color="auto"/>
        <w:left w:val="none" w:sz="0" w:space="0" w:color="auto"/>
        <w:bottom w:val="none" w:sz="0" w:space="0" w:color="auto"/>
        <w:right w:val="none" w:sz="0" w:space="0" w:color="auto"/>
      </w:divBdr>
    </w:div>
    <w:div w:id="1274556966">
      <w:bodyDiv w:val="1"/>
      <w:marLeft w:val="0"/>
      <w:marRight w:val="0"/>
      <w:marTop w:val="0"/>
      <w:marBottom w:val="0"/>
      <w:divBdr>
        <w:top w:val="none" w:sz="0" w:space="0" w:color="auto"/>
        <w:left w:val="none" w:sz="0" w:space="0" w:color="auto"/>
        <w:bottom w:val="none" w:sz="0" w:space="0" w:color="auto"/>
        <w:right w:val="none" w:sz="0" w:space="0" w:color="auto"/>
      </w:divBdr>
    </w:div>
    <w:div w:id="1395274117">
      <w:marLeft w:val="480"/>
      <w:marRight w:val="0"/>
      <w:marTop w:val="0"/>
      <w:marBottom w:val="0"/>
      <w:divBdr>
        <w:top w:val="none" w:sz="0" w:space="0" w:color="auto"/>
        <w:left w:val="none" w:sz="0" w:space="0" w:color="auto"/>
        <w:bottom w:val="none" w:sz="0" w:space="0" w:color="auto"/>
        <w:right w:val="none" w:sz="0" w:space="0" w:color="auto"/>
      </w:divBdr>
    </w:div>
    <w:div w:id="1506284294">
      <w:bodyDiv w:val="1"/>
      <w:marLeft w:val="0"/>
      <w:marRight w:val="0"/>
      <w:marTop w:val="0"/>
      <w:marBottom w:val="0"/>
      <w:divBdr>
        <w:top w:val="none" w:sz="0" w:space="0" w:color="auto"/>
        <w:left w:val="none" w:sz="0" w:space="0" w:color="auto"/>
        <w:bottom w:val="none" w:sz="0" w:space="0" w:color="auto"/>
        <w:right w:val="none" w:sz="0" w:space="0" w:color="auto"/>
      </w:divBdr>
    </w:div>
    <w:div w:id="1784686074">
      <w:bodyDiv w:val="1"/>
      <w:marLeft w:val="0"/>
      <w:marRight w:val="0"/>
      <w:marTop w:val="0"/>
      <w:marBottom w:val="0"/>
      <w:divBdr>
        <w:top w:val="none" w:sz="0" w:space="0" w:color="auto"/>
        <w:left w:val="none" w:sz="0" w:space="0" w:color="auto"/>
        <w:bottom w:val="none" w:sz="0" w:space="0" w:color="auto"/>
        <w:right w:val="none" w:sz="0" w:space="0" w:color="auto"/>
      </w:divBdr>
    </w:div>
    <w:div w:id="1810367622">
      <w:bodyDiv w:val="1"/>
      <w:marLeft w:val="0"/>
      <w:marRight w:val="0"/>
      <w:marTop w:val="0"/>
      <w:marBottom w:val="0"/>
      <w:divBdr>
        <w:top w:val="none" w:sz="0" w:space="0" w:color="auto"/>
        <w:left w:val="none" w:sz="0" w:space="0" w:color="auto"/>
        <w:bottom w:val="none" w:sz="0" w:space="0" w:color="auto"/>
        <w:right w:val="none" w:sz="0" w:space="0" w:color="auto"/>
      </w:divBdr>
    </w:div>
    <w:div w:id="1990398286">
      <w:marLeft w:val="480"/>
      <w:marRight w:val="0"/>
      <w:marTop w:val="0"/>
      <w:marBottom w:val="0"/>
      <w:divBdr>
        <w:top w:val="none" w:sz="0" w:space="0" w:color="auto"/>
        <w:left w:val="none" w:sz="0" w:space="0" w:color="auto"/>
        <w:bottom w:val="none" w:sz="0" w:space="0" w:color="auto"/>
        <w:right w:val="none" w:sz="0" w:space="0" w:color="auto"/>
      </w:divBdr>
    </w:div>
    <w:div w:id="2115519882">
      <w:bodyDiv w:val="1"/>
      <w:marLeft w:val="0"/>
      <w:marRight w:val="0"/>
      <w:marTop w:val="0"/>
      <w:marBottom w:val="0"/>
      <w:divBdr>
        <w:top w:val="none" w:sz="0" w:space="0" w:color="auto"/>
        <w:left w:val="none" w:sz="0" w:space="0" w:color="auto"/>
        <w:bottom w:val="none" w:sz="0" w:space="0" w:color="auto"/>
        <w:right w:val="none" w:sz="0" w:space="0" w:color="auto"/>
      </w:divBdr>
    </w:div>
    <w:div w:id="213151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F456BB-C780-452E-853B-8DA72DB19FFD}">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67869535640"/>
    <we:property name="MENDELEY_CITATIONS" value="[{&quot;citationID&quot;:&quot;MENDELEY_CITATION_560ffe63-2640-40e8-b026-8176f927dec1&quot;,&quot;properties&quot;:{&quot;noteIndex&quot;:0},&quot;isEdited&quot;:false,&quot;manualOverride&quot;:{&quot;isManuallyOverridden&quot;:false,&quot;citeprocText&quot;:&quot;(Reithinger, 2025; Stresman et al., 2025)&quot;,&quot;manualOverrideText&quot;:&quot;&quot;},&quot;citationItems&quot;:[{&quot;id&quot;:&quot;53f66ac4-eb0a-3b07-809a-a7ec9140eed5&quot;,&quot;itemData&quot;:{&quot;type&quot;:&quot;article-journal&quot;,&quot;id&quot;:&quot;53f66ac4-eb0a-3b07-809a-a7ec9140eed5&quot;,&quot;title&quot;:&quot;Evidence-based decision making for malaria elimination applying the Freedom From Infection statistical framework in five malaria eliminating countries: an observational study&quot;,&quot;author&quot;:[{&quot;family&quot;:&quot;Stresman&quot;,&quot;given&quot;:&quot;Gillian&quot;,&quot;parse-names&quot;:false,&quot;dropping-particle&quot;:&quot;&quot;,&quot;non-dropping-particle&quot;:&quot;&quot;},{&quot;family&quot;:&quot;Nelli&quot;,&quot;given&quot;:&quot;Luca&quot;,&quot;parse-names&quot;:false,&quot;dropping-particle&quot;:&quot;&quot;,&quot;non-dropping-particle&quot;:&quot;&quot;},{&quot;family&quot;:&quot;Wu&quot;,&quot;given&quot;:&quot;Lindsey&quot;,&quot;parse-names&quot;:false,&quot;dropping-particle&quot;:&quot;&quot;,&quot;non-dropping-particle&quot;:&quot;&quot;},{&quot;family&quot;:&quot;Byrne&quot;,&quot;given&quot;:&quot;Isabel&quot;,&quot;parse-names&quot;:false,&quot;dropping-particle&quot;:&quot;&quot;,&quot;non-dropping-particle&quot;:&quot;&quot;},{&quot;family&quot;:&quot;Surendra&quot;,&quot;given&quot;:&quot;Henry&quot;,&quot;parse-names&quot;:false,&quot;dropping-particle&quot;:&quot;&quot;,&quot;non-dropping-particle&quot;:&quot;&quot;},{&quot;family&quot;:&quot;Fernandez-Camacho&quot;,&quot;given&quot;:&quot;Bryan&quot;,&quot;parse-names&quot;:false,&quot;dropping-particle&quot;:&quot;&quot;,&quot;non-dropping-particle&quot;:&quot;&quot;},{&quot;family&quot;:&quot;Ruiz-Cabrejos&quot;,&quot;given&quot;:&quot;Jorge&quot;,&quot;parse-names&quot;:false,&quot;dropping-particle&quot;:&quot;&quot;,&quot;non-dropping-particle&quot;:&quot;&quot;},{&quot;family&quot;:&quot;Arana&quot;,&quot;given&quot;:&quot;Lucia Bartolini&quot;,&quot;parse-names&quot;:false,&quot;dropping-particle&quot;:&quot;&quot;,&quot;non-dropping-particle&quot;:&quot;&quot;},{&quot;family&quot;:&quot;Gonçalves&quot;,&quot;given&quot;:&quot;Adéritow Augusto Lopes Macedo&quot;,&quot;parse-names&quot;:false,&quot;dropping-particle&quot;:&quot;&quot;,&quot;non-dropping-particle&quot;:&quot;&quot;},{&quot;family&quot;:&quot;Monteiro&quot;,&quot;given&quot;:&quot;Davidson Daniel Sousa Rocha&quot;,&quot;parse-names&quot;:false,&quot;dropping-particle&quot;:&quot;&quot;,&quot;non-dropping-particle&quot;:&quot;&quot;},{&quot;family&quot;:&quot;Desir&quot;,&quot;given&quot;:&quot;Luccene&quot;,&quot;parse-names&quot;:false,&quot;dropping-particle&quot;:&quot;&quot;,&quot;non-dropping-particle&quot;:&quot;&quot;},{&quot;family&quot;:&quot;Ureña&quot;,&quot;given&quot;:&quot;Keyla&quot;,&quot;parse-names&quot;:false,&quot;dropping-particle&quot;:&quot;&quot;,&quot;non-dropping-particle&quot;:&quot;&quot;},{&quot;family&quot;:&quot;Tejada Beato&quot;,&quot;given&quot;:&quot;Manuel de Jesus&quot;,&quot;parse-names&quot;:false,&quot;dropping-particle&quot;:&quot;&quot;,&quot;non-dropping-particle&quot;:&quot;&quot;},{&quot;family&quot;:&quot;Dumont&quot;,&quot;given&quot;:&quot;Elin&quot;,&quot;parse-names&quot;:false,&quot;dropping-particle&quot;:&quot;&quot;,&quot;non-dropping-particle&quot;:&quot;&quot;},{&quot;family&quot;:&quot;Hill&quot;,&quot;given&quot;:&quot;Monica&quot;,&quot;parse-names&quot;:false,&quot;dropping-particle&quot;:&quot;&quot;,&quot;non-dropping-particle&quot;:&quot;&quot;},{&quot;family&quot;:&quot;Grignard&quot;,&quot;given&quot;:&quot;Lynn&quot;,&quot;parse-names&quot;:false,&quot;dropping-particle&quot;:&quot;&quot;,&quot;non-dropping-particle&quot;:&quot;&quot;},{&quot;family&quot;:&quot;Elechosa&quot;,&quot;given&quot;:&quot;Sabrina&quot;,&quot;parse-names&quot;:false,&quot;dropping-particle&quot;:&quot;&quot;,&quot;non-dropping-particle&quot;:&quot;&quot;},{&quot;family&quot;:&quot;Bunagan&quot;,&quot;given&quot;:&quot;Raymart&quot;,&quot;parse-names&quot;:false,&quot;dropping-particle&quot;:&quot;&quot;,&quot;non-dropping-particle&quot;:&quot;&quot;},{&quot;family&quot;:&quot;Xuan Thang&quot;,&quot;given&quot;:&quot;Nguyen&quot;,&quot;parse-names&quot;:false,&quot;dropping-particle&quot;:&quot;&quot;,&quot;non-dropping-particle&quot;:&quot;&quot;},{&quot;family&quot;:&quot;Huong Binh&quot;,&quot;given&quot;:&quot;Nguyen Thi&quot;,&quot;parse-names&quot;:false,&quot;dropping-particle&quot;:&quot;&quot;,&quot;non-dropping-particle&quot;:&quot;&quot;},{&quot;family&quot;:&quot;Hong Ngoc&quot;,&quot;given&quot;:&quot;Nguyen Thi&quot;,&quot;parse-names&quot;:false,&quot;dropping-particle&quot;:&quot;&quot;,&quot;non-dropping-particle&quot;:&quot;&quot;},{&quot;family&quot;:&quot;Tetteh&quot;,&quot;given&quot;:&quot;Kevin K A&quot;,&quot;parse-names&quot;:false,&quot;dropping-particle&quot;:&quot;&quot;,&quot;non-dropping-particle&quot;:&quot;&quot;},{&quot;family&quot;:&quot;Noland&quot;,&quot;given&quot;:&quot;Gregory S&quot;,&quot;parse-names&quot;:false,&quot;dropping-particle&quot;:&quot;&quot;,&quot;non-dropping-particle&quot;:&quot;&quot;},{&quot;family&quot;:&quot;Hamre&quot;,&quot;given&quot;:&quot;Karen E S&quot;,&quot;parse-names&quot;:false,&quot;dropping-particle&quot;:&quot;&quot;,&quot;non-dropping-particle&quot;:&quot;&quot;},{&quot;family&quot;:&quot;Veiga Leal&quot;,&quot;given&quot;:&quot;Silvânia&quot;,&quot;parse-names&quot;:false,&quot;dropping-particle&quot;:&quot;&quot;,&quot;non-dropping-particle&quot;:&quot;da&quot;},{&quot;family&quot;:&quot;DePina&quot;,&quot;given&quot;:&quot;Adilson&quot;,&quot;parse-names&quot;:false,&quot;dropping-particle&quot;:&quot;&quot;,&quot;non-dropping-particle&quot;:&quot;&quot;},{&quot;family&quot;:&quot;Thang&quot;,&quot;given&quot;:&quot;Ngo&quot;,&quot;parse-names&quot;:false,&quot;dropping-particle&quot;:&quot;&quot;,&quot;non-dropping-particle&quot;:&quot;&quot;},{&quot;family&quot;:&quot;Espino&quot;,&quot;given&quot;:&quot;Fe Esperanza&quot;,&quot;parse-names&quot;:false,&quot;dropping-particle&quot;:&quot;&quot;,&quot;non-dropping-particle&quot;:&quot;&quot;},{&quot;family&quot;:&quot;Carrasco-Escobar&quot;,&quot;given&quot;:&quot;Gabriel&quot;,&quot;parse-names&quot;:false,&quot;dropping-particle&quot;:&quot;&quot;,&quot;non-dropping-particle&quot;:&quot;&quot;},{&quot;family&quot;:&quot;Matthiopoulos&quot;,&quot;given&quot;:&quot;Jason&quot;,&quot;parse-names&quot;:false,&quot;dropping-particle&quot;:&quot;&quot;,&quot;non-dropping-particle&quot;:&quot;&quot;},{&quot;family&quot;:&quot;Drakeley&quot;,&quot;given&quot;:&quot;Chris&quot;,&quot;parse-names&quot;:false,&quot;dropping-particle&quot;:&quot;&quot;,&quot;non-dropping-particle&quot;:&quot;&quot;}],&quot;container-title&quot;:&quot;The Lancet Global Health&quot;,&quot;container-title-short&quot;:&quot;Lancet Glob Health&quot;,&quot;DOI&quot;:&quot;10.1016/S2214-109X(25)00236-0&quot;,&quot;ISSN&quot;:&quot;2214-109X&quot;,&quot;URL&quot;:&quot;https://doi.org/10.1016/S2214-109X(25)00236-0&quot;,&quot;issued&quot;:{&quot;date-parts&quot;:[[2025,9,1]]},&quot;page&quot;:&quot;e1591-e1604&quot;,&quot;publisher&quot;:&quot;Elsevier&quot;,&quot;issue&quot;:&quot;9&quot;,&quot;volume&quot;:&quot;13&quot;},&quot;isTemporary&quot;:false},{&quot;id&quot;:&quot;4224313d-0b93-3f6d-85c3-92f58486fbb0&quot;,&quot;itemData&quot;:{&quot;type&quot;:&quot;article-journal&quot;,&quot;id&quot;:&quot;4224313d-0b93-3f6d-85c3-92f58486fbb0&quot;,&quot;title&quot;:&quot;The road to malaria elimination: why a robust surveillance system is imperative&quot;,&quot;author&quot;:[{&quot;family&quot;:&quot;Reithinger&quot;,&quot;given&quot;:&quot;Richard&quot;,&quot;parse-names&quot;:false,&quot;dropping-particle&quot;:&quot;&quot;,&quot;non-dropping-particle&quot;:&quot;&quot;}],&quot;container-title&quot;:&quot;The Lancet Global Health&quot;,&quot;container-title-short&quot;:&quot;Lancet Glob Health&quot;,&quot;DOI&quot;:&quot;10.1016/S2214-109X(25)00282-7&quot;,&quot;ISSN&quot;:&quot;2214-109X&quot;,&quot;URL&quot;:&quot;https://doi.org/10.1016/S2214-109X(25)00282-7&quot;,&quot;issued&quot;:{&quot;date-parts&quot;:[[2025,9,1]]},&quot;page&quot;:&quot;e1498-e1499&quot;,&quot;publisher&quot;:&quot;Elsevier&quot;,&quot;issue&quot;:&quot;9&quot;,&quot;volume&quot;:&quot;13&quot;},&quot;isTemporary&quot;:false}],&quot;citationTag&quot;:&quot;MENDELEY_CITATION_v3_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&quot;},{&quot;citationID&quot;:&quot;MENDELEY_CITATION_d03edd48-e837-43e6-8e9d-6f05b3cc8a0a&quot;,&quot;properties&quot;:{&quot;noteIndex&quot;:0},&quot;isEdited&quot;:false,&quot;manualOverride&quot;:{&quot;isManuallyOverridden&quot;:false,&quot;citeprocText&quot;:&quot;(WHO, 2025)&quot;,&quot;manualOverrideText&quot;:&quot;&quot;},&quot;citationItems&quot;:[{&quot;id&quot;:&quot;4755cccd-dc6d-32af-9a34-0f91a57aceb2&quot;,&quot;itemData&quot;:{&quot;type&quot;:&quot;article-journal&quot;,&quot;id&quot;:&quot;4755cccd-dc6d-32af-9a34-0f91a57aceb2&quot;,&quot;title&quot;:&quot;Prevention of Re-Establishment of Malaria Transmission&quot;,&quot;author&quot;:[{&quot;family&quot;:&quot;WHO&quot;,&quot;given&quot;:&quot;&quot;,&quot;parse-names&quot;:false,&quot;dropping-particle&quot;:&quot;&quot;,&quot;non-dropping-particle&quot;:&quot;&quot;}],&quot;issued&quot;:{&quot;date-parts&quot;:[[2025]]},&quot;publisher&quot;:&quot;&lt; bound method Organization. get_name_with_acronym of&lt; Organization: World …&quot;,&quot;container-title-short&quot;:&quot;&quot;},&quot;isTemporary&quot;:false}],&quot;citationTag&quot;:&quot;MENDELEY_CITATION_v3_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&quot;},{&quot;citationID&quot;:&quot;MENDELEY_CITATION_057f6f2b-319d-4d1a-99e6-20d0321ce2c5&quot;,&quot;properties&quot;:{&quot;noteIndex&quot;:0},&quot;isEdited&quot;:false,&quot;manualOverride&quot;:{&quot;isManuallyOverridden&quot;:false,&quot;citeprocText&quot;:&quot;(WHO, 2021)&quot;,&quot;manualOverrideText&quot;:&quot;&quot;},&quot;citationItems&quot;:[{&quot;id&quot;:&quot;60bb34b2-2482-37a2-ad31-45c72bf38723&quot;,&quot;itemData&quot;:{&quot;type&quot;:&quot;article&quot;,&quot;id&quot;:&quot;60bb34b2-2482-37a2-ad31-45c72bf38723&quot;,&quot;title&quot;:&quot;Global technical strategy for malaria 2016–2030, 2021 update&quot;,&quot;author&quot;:[{&quot;family&quot;:&quot;WHO&quot;,&quot;given&quot;:&quot;&quot;,&quot;parse-names&quot;:false,&quot;dropping-particle&quot;:&quot;&quot;,&quot;non-dropping-particle&quot;:&quot;&quot;}],&quot;issued&quot;:{&quot;date-parts&quot;:[[2021]]},&quot;publisher&quot;:&quot;World Health Organization Geneva&quot;,&quot;container-title-short&quot;:&quot;&quot;},&quot;isTemporary&quot;:false}],&quot;citationTag&quot;:&quot;MENDELEY_CITATION_v3_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&quot;},{&quot;citationID&quot;:&quot;MENDELEY_CITATION_f27f190e-bb4b-47a1-bf00-c1141703bad7&quot;,&quot;properties&quot;:{&quot;noteIndex&quot;:0},&quot;isEdited&quot;:false,&quot;manualOverride&quot;:{&quot;isManuallyOverridden&quot;:false,&quot;citeprocText&quot;:&quot;(Nakweya, 2024)&quot;,&quot;manualOverrideText&quot;:&quot;&quot;},&quot;citationItems&quot;:[{&quot;id&quot;:&quot;7eac2857-d43e-367f-bfc1-a84e18379d92&quot;,&quot;itemData&quot;:{&quot;type&quot;:&quot;article-journal&quot;,&quot;id&quot;:&quot;7eac2857-d43e-367f-bfc1-a84e18379d92&quot;,&quot;title&quot;:&quot;Cabo Verde eliminates malaria&quot;,&quot;author&quot;:[{&quot;family&quot;:&quot;Nakweya&quot;,&quot;given&quot;:&quot;Gilbert&quot;,&quot;parse-names&quot;:false,&quot;dropping-particle&quot;:&quot;&quot;,&quot;non-dropping-particle&quot;:&quot;&quot;}],&quot;container-title&quot;:&quot;The Lancet&quot;,&quot;DOI&quot;:&quot;10.1016/S0140-6736(24)00134-X&quot;,&quot;ISSN&quot;:&quot;0140-6736&quot;,&quot;URL&quot;:&quot;https://doi.org/10.1016/S0140-6736(24)00134-X&quot;,&quot;issued&quot;:{&quot;date-parts&quot;:[[2024,1,27]]},&quot;page&quot;:&quot;341&quot;,&quot;publisher&quot;:&quot;Elsevier&quot;,&quot;issue&quot;:&quot;10424&quot;,&quot;volume&quot;:&quot;403&quot;,&quot;container-title-short&quot;:&quot;&quot;},&quot;isTemporary&quot;:false}],&quot;citationTag&quot;:&quot;MENDELEY_CITATION_v3_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&quot;},{&quot;citationID&quot;:&quot;MENDELEY_CITATION_7d7446be-6a22-4588-a0d8-c48aac660f1c&quot;,&quot;properties&quot;:{&quot;noteIndex&quot;:0},&quot;isEdited&quot;:false,&quot;manualOverride&quot;:{&quot;isManuallyOverridden&quot;:false,&quot;citeprocText&quot;:&quot;(Nelli et al., 2024)&quot;,&quot;manualOverrideText&quot;:&quot;&quot;},&quot;citationItems&quot;:[{&quot;id&quot;:&quot;0d8b6317-e7c2-3835-a147-06a7beb1dfef&quot;,&quot;itemData&quot;:{&quot;type&quot;:&quot;article-journal&quot;,&quot;id&quot;:&quot;0d8b6317-e7c2-3835-a147-06a7beb1dfef&quot;,&quot;title&quot;:&quot;Freedom from infection: enhancing decision-making for malaria elimination&quot;,&quot;author&quot;:[{&quot;family&quot;:&quot;Nelli&quot;,&quot;given&quot;:&quot;Luca&quot;,&quot;parse-names&quot;:false,&quot;dropping-particle&quot;:&quot;&quot;,&quot;non-dropping-particle&quot;:&quot;&quot;},{&quot;family&quot;:&quot;Surendra&quot;,&quot;given&quot;:&quot;Henry&quot;,&quot;parse-names&quot;:false,&quot;dropping-particle&quot;:&quot;&quot;,&quot;non-dropping-particle&quot;:&quot;&quot;},{&quot;family&quot;:&quot;Byrne&quot;,&quot;given&quot;:&quot;Isabel&quot;,&quot;parse-names&quot;:false,&quot;dropping-particle&quot;:&quot;&quot;,&quot;non-dropping-particle&quot;:&quot;&quot;},{&quot;family&quot;:&quot;Ahmad&quot;,&quot;given&quot;:&quot;Riris Andono&quot;,&quot;parse-names&quot;:false,&quot;dropping-particle&quot;:&quot;&quot;,&quot;non-dropping-particle&quot;:&quot;&quot;},{&quot;family&quot;:&quot;Arisanti&quot;,&quot;given&quot;:&quot;Risalia Reni&quot;,&quot;parse-names&quot;:false,&quot;dropping-particle&quot;:&quot;&quot;,&quot;non-dropping-particle&quot;:&quot;&quot;},{&quot;family&quot;:&quot;Lesmanawati&quot;,&quot;given&quot;:&quot;Dyah A S&quot;,&quot;parse-names&quot;:false,&quot;dropping-particle&quot;:&quot;&quot;,&quot;non-dropping-particle&quot;:&quot;&quot;},{&quot;family&quot;:&quot;Elyazar&quot;,&quot;given&quot;:&quot;Iqbal R F&quot;,&quot;parse-names&quot;:false,&quot;dropping-particle&quot;:&quot;&quot;,&quot;non-dropping-particle&quot;:&quot;&quot;},{&quot;family&quot;:&quot;Dumont&quot;,&quot;given&quot;:&quot;Elin&quot;,&quot;parse-names&quot;:false,&quot;dropping-particle&quot;:&quot;&quot;,&quot;non-dropping-particle&quot;:&quot;&quot;},{&quot;family&quot;:&quot;Wu&quot;,&quot;given&quot;:&quot;Lindsey&quot;,&quot;parse-names&quot;:false,&quot;dropping-particle&quot;:&quot;&quot;,&quot;non-dropping-particle&quot;:&quot;&quot;},{&quot;family&quot;:&quot;Drakeley&quot;,&quot;given&quot;:&quot;Chris&quot;,&quot;parse-names&quot;:false,&quot;dropping-particle&quot;:&quot;&quot;,&quot;non-dropping-particle&quot;:&quot;&quot;},{&quot;family&quot;:&quot;Matthiopoulos&quot;,&quot;given&quot;:&quot;Jason&quot;,&quot;parse-names&quot;:false,&quot;dropping-particle&quot;:&quot;&quot;,&quot;non-dropping-particle&quot;:&quot;&quot;},{&quot;family&quot;:&quot;Stresman&quot;,&quot;given&quot;:&quot;Gillian&quot;,&quot;parse-names&quot;:false,&quot;dropping-particle&quot;:&quot;&quot;,&quot;non-dropping-particle&quot;:&quot;&quot;}],&quot;container-title&quot;:&quot;BMJ Global Health&quot;,&quot;container-title-short&quot;:&quot;BMJ Glob Health&quot;,&quot;DOI&quot;:&quot;10.1136/bmjgh-2023-014412&quot;,&quot;URL&quot;:&quot;https://ghsite-bmj.vercel.app/content/9/12/e014412&quot;,&quot;issued&quot;:{&quot;date-parts&quot;:[[2024,12,7]]},&quot;page&quot;:&quot;e014412&quot;,&quot;abstract&quot;:&quot;Assessing elimination of malaria locally requires a surveillance system with high sensitivity and specificity to detect its presence without ambiguity. Currently, the WHO standard criteria of observing the absence of locally acquired cases for 3 consecutive years, combined with a health systems assessment, are used to justify claims of malaria elimination. However, relying on a qualitative framework to support the application of this guideline can lead to early, over-optimistic relaxation of control measures with the potential for resurgence. Overcoming this challenge requires innovative approaches to model the coupled processes of malaria transmission and its clinical observation.We propose a novel statistical framework based on a state-space model to probabilistically demonstrate the absence of malaria, using routinely collected health system data (which is extensive but inherently imperfect). By simultaneously modelling the expected malaria burden within the population and the probability of detection, we provide a robust estimate of the surveillance system’s sensitivity and the corresponding probability of local elimination (probability of freedom from infection).Our study reveals a critical limitation of the traditional criterion for declaring malaria elimination, highlighting its inherent bias and potential for misinterpreting ongoing transmission. Such oversight not only misrepresents ongoing transmission but also places communities at risk for larger outbreaks. However, we demonstrate that our integrated approach to data comprehensively addresses this issue, effectively detecting ongoing transmission patterns, even when local reports might suggest otherwise.Our integrated framework has far-reaching implications for malaria control but also for infectious disease control in general. Our approach addresses the limitations of traditional criteria for declaring freedom from disease and opens the path to true optimisation of the allocation of limited resources. Our findings emphasise the urgent need to reassess existing methods to accurately confirm malaria elimination, and the importance of using comprehensive modelling techniques to continually monitor and maintain the effectiveness of current surveillance systems, enabling decisions grounded in quantitative evidence.&quot;,&quot;issue&quot;:&quot;12&quot;,&quot;volume&quot;:&quot;9&quot;},&quot;isTemporary&quot;:false}],&quot;citationTag&quot;:&quot;MENDELEY_CITATION_v3_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&quot;},{&quot;citationID&quot;:&quot;MENDELEY_CITATION_a2a76c8f-0da4-41e6-a70d-96d6737a99e8&quot;,&quot;properties&quot;:{&quot;noteIndex&quot;:0},&quot;isEdited&quot;:false,&quot;manualOverride&quot;:{&quot;isManuallyOverridden&quot;:false,&quot;citeprocText&quot;:&quot;(Nelli et al., 2024; Reithinger, 2025; Stresman et al., 2025)&quot;,&quot;manualOverrideText&quot;:&quot;&quot;},&quot;citationItems&quot;:[{&quot;id&quot;:&quot;4224313d-0b93-3f6d-85c3-92f58486fbb0&quot;,&quot;itemData&quot;:{&quot;type&quot;:&quot;article-journal&quot;,&quot;id&quot;:&quot;4224313d-0b93-3f6d-85c3-92f58486fbb0&quot;,&quot;title&quot;:&quot;The road to malaria elimination: why a robust surveillance system is imperative&quot;,&quot;author&quot;:[{&quot;family&quot;:&quot;Reithinger&quot;,&quot;given&quot;:&quot;Richard&quot;,&quot;parse-names&quot;:false,&quot;dropping-particle&quot;:&quot;&quot;,&quot;non-dropping-particle&quot;:&quot;&quot;}],&quot;container-title&quot;:&quot;The Lancet Global Health&quot;,&quot;container-title-short&quot;:&quot;Lancet Glob Health&quot;,&quot;DOI&quot;:&quot;10.1016/S2214-109X(25)00282-7&quot;,&quot;ISSN&quot;:&quot;2214-109X&quot;,&quot;URL&quot;:&quot;https://doi.org/10.1016/S2214-109X(25)00282-7&quot;,&quot;issued&quot;:{&quot;date-parts&quot;:[[2025,9,1]]},&quot;page&quot;:&quot;e1498-e1499&quot;,&quot;publisher&quot;:&quot;Elsevier&quot;,&quot;issue&quot;:&quot;9&quot;,&quot;volume&quot;:&quot;13&quot;},&quot;isTemporary&quot;:false},{&quot;id&quot;:&quot;0d8b6317-e7c2-3835-a147-06a7beb1dfef&quot;,&quot;itemData&quot;:{&quot;type&quot;:&quot;article-journal&quot;,&quot;id&quot;:&quot;0d8b6317-e7c2-3835-a147-06a7beb1dfef&quot;,&quot;title&quot;:&quot;Freedom from infection: enhancing decision-making for malaria elimination&quot;,&quot;author&quot;:[{&quot;family&quot;:&quot;Nelli&quot;,&quot;given&quot;:&quot;Luca&quot;,&quot;parse-names&quot;:false,&quot;dropping-particle&quot;:&quot;&quot;,&quot;non-dropping-particle&quot;:&quot;&quot;},{&quot;family&quot;:&quot;Surendra&quot;,&quot;given&quot;:&quot;Henry&quot;,&quot;parse-names&quot;:false,&quot;dropping-particle&quot;:&quot;&quot;,&quot;non-dropping-particle&quot;:&quot;&quot;},{&quot;family&quot;:&quot;Byrne&quot;,&quot;given&quot;:&quot;Isabel&quot;,&quot;parse-names&quot;:false,&quot;dropping-particle&quot;:&quot;&quot;,&quot;non-dropping-particle&quot;:&quot;&quot;},{&quot;family&quot;:&quot;Ahmad&quot;,&quot;given&quot;:&quot;Riris Andono&quot;,&quot;parse-names&quot;:false,&quot;dropping-particle&quot;:&quot;&quot;,&quot;non-dropping-particle&quot;:&quot;&quot;},{&quot;family&quot;:&quot;Arisanti&quot;,&quot;given&quot;:&quot;Risalia Reni&quot;,&quot;parse-names&quot;:false,&quot;dropping-particle&quot;:&quot;&quot;,&quot;non-dropping-particle&quot;:&quot;&quot;},{&quot;family&quot;:&quot;Lesmanawati&quot;,&quot;given&quot;:&quot;Dyah A S&quot;,&quot;parse-names&quot;:false,&quot;dropping-particle&quot;:&quot;&quot;,&quot;non-dropping-particle&quot;:&quot;&quot;},{&quot;family&quot;:&quot;Elyazar&quot;,&quot;given&quot;:&quot;Iqbal R F&quot;,&quot;parse-names&quot;:false,&quot;dropping-particle&quot;:&quot;&quot;,&quot;non-dropping-particle&quot;:&quot;&quot;},{&quot;family&quot;:&quot;Dumont&quot;,&quot;given&quot;:&quot;Elin&quot;,&quot;parse-names&quot;:false,&quot;dropping-particle&quot;:&quot;&quot;,&quot;non-dropping-particle&quot;:&quot;&quot;},{&quot;family&quot;:&quot;Wu&quot;,&quot;given&quot;:&quot;Lindsey&quot;,&quot;parse-names&quot;:false,&quot;dropping-particle&quot;:&quot;&quot;,&quot;non-dropping-particle&quot;:&quot;&quot;},{&quot;family&quot;:&quot;Drakeley&quot;,&quot;given&quot;:&quot;Chris&quot;,&quot;parse-names&quot;:false,&quot;dropping-particle&quot;:&quot;&quot;,&quot;non-dropping-particle&quot;:&quot;&quot;},{&quot;family&quot;:&quot;Matthiopoulos&quot;,&quot;given&quot;:&quot;Jason&quot;,&quot;parse-names&quot;:false,&quot;dropping-particle&quot;:&quot;&quot;,&quot;non-dropping-particle&quot;:&quot;&quot;},{&quot;family&quot;:&quot;Stresman&quot;,&quot;given&quot;:&quot;Gillian&quot;,&quot;parse-names&quot;:false,&quot;dropping-particle&quot;:&quot;&quot;,&quot;non-dropping-particle&quot;:&quot;&quot;}],&quot;container-title&quot;:&quot;BMJ Global Health&quot;,&quot;container-title-short&quot;:&quot;BMJ Glob Health&quot;,&quot;DOI&quot;:&quot;10.1136/bmjgh-2023-014412&quot;,&quot;URL&quot;:&quot;https://ghsite-bmj.vercel.app/content/9/12/e014412&quot;,&quot;issued&quot;:{&quot;date-parts&quot;:[[2024,12,7]]},&quot;page&quot;:&quot;e014412&quot;,&quot;abstract&quot;:&quot;Assessing elimination of malaria locally requires a surveillance system with high sensitivity and specificity to detect its presence without ambiguity. Currently, the WHO standard criteria of observing the absence of locally acquired cases for 3 consecutive years, combined with a health systems assessment, are used to justify claims of malaria elimination. However, relying on a qualitative framework to support the application of this guideline can lead to early, over-optimistic relaxation of control measures with the potential for resurgence. Overcoming this challenge requires innovative approaches to model the coupled processes of malaria transmission and its clinical observation.We propose a novel statistical framework based on a state-space model to probabilistically demonstrate the absence of malaria, using routinely collected health system data (which is extensive but inherently imperfect). By simultaneously modelling the expected malaria burden within the population and the probability of detection, we provide a robust estimate of the surveillance system’s sensitivity and the corresponding probability of local elimination (probability of freedom from infection).Our study reveals a critical limitation of the traditional criterion for declaring malaria elimination, highlighting its inherent bias and potential for misinterpreting ongoing transmission. Such oversight not only misrepresents ongoing transmission but also places communities at risk for larger outbreaks. However, we demonstrate that our integrated approach to data comprehensively addresses this issue, effectively detecting ongoing transmission patterns, even when local reports might suggest otherwise.Our integrated framework has far-reaching implications for malaria control but also for infectious disease control in general. Our approach addresses the limitations of traditional criteria for declaring freedom from disease and opens the path to true optimisation of the allocation of limited resources. Our findings emphasise the urgent need to reassess existing methods to accurately confirm malaria elimination, and the importance of using comprehensive modelling techniques to continually monitor and maintain the effectiveness of current surveillance systems, enabling decisions grounded in quantitative evidence.&quot;,&quot;issue&quot;:&quot;12&quot;,&quot;volume&quot;:&quot;9&quot;},&quot;isTemporary&quot;:false},{&quot;id&quot;:&quot;53f66ac4-eb0a-3b07-809a-a7ec9140eed5&quot;,&quot;itemData&quot;:{&quot;type&quot;:&quot;article-journal&quot;,&quot;id&quot;:&quot;53f66ac4-eb0a-3b07-809a-a7ec9140eed5&quot;,&quot;title&quot;:&quot;Evidence-based decision making for malaria elimination applying the Freedom From Infection statistical framework in five malaria eliminating countries: an observational study&quot;,&quot;author&quot;:[{&quot;family&quot;:&quot;Stresman&quot;,&quot;given&quot;:&quot;Gillian&quot;,&quot;parse-names&quot;:false,&quot;dropping-particle&quot;:&quot;&quot;,&quot;non-dropping-particle&quot;:&quot;&quot;},{&quot;family&quot;:&quot;Nelli&quot;,&quot;given&quot;:&quot;Luca&quot;,&quot;parse-names&quot;:false,&quot;dropping-particle&quot;:&quot;&quot;,&quot;non-dropping-particle&quot;:&quot;&quot;},{&quot;family&quot;:&quot;Wu&quot;,&quot;given&quot;:&quot;Lindsey&quot;,&quot;parse-names&quot;:false,&quot;dropping-particle&quot;:&quot;&quot;,&quot;non-dropping-particle&quot;:&quot;&quot;},{&quot;family&quot;:&quot;Byrne&quot;,&quot;given&quot;:&quot;Isabel&quot;,&quot;parse-names&quot;:false,&quot;dropping-particle&quot;:&quot;&quot;,&quot;non-dropping-particle&quot;:&quot;&quot;},{&quot;family&quot;:&quot;Surendra&quot;,&quot;given&quot;:&quot;Henry&quot;,&quot;parse-names&quot;:false,&quot;dropping-particle&quot;:&quot;&quot;,&quot;non-dropping-particle&quot;:&quot;&quot;},{&quot;family&quot;:&quot;Fernandez-Camacho&quot;,&quot;given&quot;:&quot;Bryan&quot;,&quot;parse-names&quot;:false,&quot;dropping-particle&quot;:&quot;&quot;,&quot;non-dropping-particle&quot;:&quot;&quot;},{&quot;family&quot;:&quot;Ruiz-Cabrejos&quot;,&quot;given&quot;:&quot;Jorge&quot;,&quot;parse-names&quot;:false,&quot;dropping-particle&quot;:&quot;&quot;,&quot;non-dropping-particle&quot;:&quot;&quot;},{&quot;family&quot;:&quot;Arana&quot;,&quot;given&quot;:&quot;Lucia Bartolini&quot;,&quot;parse-names&quot;:false,&quot;dropping-particle&quot;:&quot;&quot;,&quot;non-dropping-particle&quot;:&quot;&quot;},{&quot;family&quot;:&quot;Gonçalves&quot;,&quot;given&quot;:&quot;Adéritow Augusto Lopes Macedo&quot;,&quot;parse-names&quot;:false,&quot;dropping-particle&quot;:&quot;&quot;,&quot;non-dropping-particle&quot;:&quot;&quot;},{&quot;family&quot;:&quot;Monteiro&quot;,&quot;given&quot;:&quot;Davidson Daniel Sousa Rocha&quot;,&quot;parse-names&quot;:false,&quot;dropping-particle&quot;:&quot;&quot;,&quot;non-dropping-particle&quot;:&quot;&quot;},{&quot;family&quot;:&quot;Desir&quot;,&quot;given&quot;:&quot;Luccene&quot;,&quot;parse-names&quot;:false,&quot;dropping-particle&quot;:&quot;&quot;,&quot;non-dropping-particle&quot;:&quot;&quot;},{&quot;family&quot;:&quot;Ureña&quot;,&quot;given&quot;:&quot;Keyla&quot;,&quot;parse-names&quot;:false,&quot;dropping-particle&quot;:&quot;&quot;,&quot;non-dropping-particle&quot;:&quot;&quot;},{&quot;family&quot;:&quot;Tejada Beato&quot;,&quot;given&quot;:&quot;Manuel de Jesus&quot;,&quot;parse-names&quot;:false,&quot;dropping-particle&quot;:&quot;&quot;,&quot;non-dropping-particle&quot;:&quot;&quot;},{&quot;family&quot;:&quot;Dumont&quot;,&quot;given&quot;:&quot;Elin&quot;,&quot;parse-names&quot;:false,&quot;dropping-particle&quot;:&quot;&quot;,&quot;non-dropping-particle&quot;:&quot;&quot;},{&quot;family&quot;:&quot;Hill&quot;,&quot;given&quot;:&quot;Monica&quot;,&quot;parse-names&quot;:false,&quot;dropping-particle&quot;:&quot;&quot;,&quot;non-dropping-particle&quot;:&quot;&quot;},{&quot;family&quot;:&quot;Grignard&quot;,&quot;given&quot;:&quot;Lynn&quot;,&quot;parse-names&quot;:false,&quot;dropping-particle&quot;:&quot;&quot;,&quot;non-dropping-particle&quot;:&quot;&quot;},{&quot;family&quot;:&quot;Elechosa&quot;,&quot;given&quot;:&quot;Sabrina&quot;,&quot;parse-names&quot;:false,&quot;dropping-particle&quot;:&quot;&quot;,&quot;non-dropping-particle&quot;:&quot;&quot;},{&quot;family&quot;:&quot;Bunagan&quot;,&quot;given&quot;:&quot;Raymart&quot;,&quot;parse-names&quot;:false,&quot;dropping-particle&quot;:&quot;&quot;,&quot;non-dropping-particle&quot;:&quot;&quot;},{&quot;family&quot;:&quot;Xuan Thang&quot;,&quot;given&quot;:&quot;Nguyen&quot;,&quot;parse-names&quot;:false,&quot;dropping-particle&quot;:&quot;&quot;,&quot;non-dropping-particle&quot;:&quot;&quot;},{&quot;family&quot;:&quot;Huong Binh&quot;,&quot;given&quot;:&quot;Nguyen Thi&quot;,&quot;parse-names&quot;:false,&quot;dropping-particle&quot;:&quot;&quot;,&quot;non-dropping-particle&quot;:&quot;&quot;},{&quot;family&quot;:&quot;Hong Ngoc&quot;,&quot;given&quot;:&quot;Nguyen Thi&quot;,&quot;parse-names&quot;:false,&quot;dropping-particle&quot;:&quot;&quot;,&quot;non-dropping-particle&quot;:&quot;&quot;},{&quot;family&quot;:&quot;Tetteh&quot;,&quot;given&quot;:&quot;Kevin K A&quot;,&quot;parse-names&quot;:false,&quot;dropping-particle&quot;:&quot;&quot;,&quot;non-dropping-particle&quot;:&quot;&quot;},{&quot;family&quot;:&quot;Noland&quot;,&quot;given&quot;:&quot;Gregory S&quot;,&quot;parse-names&quot;:false,&quot;dropping-particle&quot;:&quot;&quot;,&quot;non-dropping-particle&quot;:&quot;&quot;},{&quot;family&quot;:&quot;Hamre&quot;,&quot;given&quot;:&quot;Karen E S&quot;,&quot;parse-names&quot;:false,&quot;dropping-particle&quot;:&quot;&quot;,&quot;non-dropping-particle&quot;:&quot;&quot;},{&quot;family&quot;:&quot;Veiga Leal&quot;,&quot;given&quot;:&quot;Silvânia&quot;,&quot;parse-names&quot;:false,&quot;dropping-particle&quot;:&quot;&quot;,&quot;non-dropping-particle&quot;:&quot;da&quot;},{&quot;family&quot;:&quot;DePina&quot;,&quot;given&quot;:&quot;Adilson&quot;,&quot;parse-names&quot;:false,&quot;dropping-particle&quot;:&quot;&quot;,&quot;non-dropping-particle&quot;:&quot;&quot;},{&quot;family&quot;:&quot;Thang&quot;,&quot;given&quot;:&quot;Ngo&quot;,&quot;parse-names&quot;:false,&quot;dropping-particle&quot;:&quot;&quot;,&quot;non-dropping-particle&quot;:&quot;&quot;},{&quot;family&quot;:&quot;Espino&quot;,&quot;given&quot;:&quot;Fe Esperanza&quot;,&quot;parse-names&quot;:false,&quot;dropping-particle&quot;:&quot;&quot;,&quot;non-dropping-particle&quot;:&quot;&quot;},{&quot;family&quot;:&quot;Carrasco-Escobar&quot;,&quot;given&quot;:&quot;Gabriel&quot;,&quot;parse-names&quot;:false,&quot;dropping-particle&quot;:&quot;&quot;,&quot;non-dropping-particle&quot;:&quot;&quot;},{&quot;family&quot;:&quot;Matthiopoulos&quot;,&quot;given&quot;:&quot;Jason&quot;,&quot;parse-names&quot;:false,&quot;dropping-particle&quot;:&quot;&quot;,&quot;non-dropping-particle&quot;:&quot;&quot;},{&quot;family&quot;:&quot;Drakeley&quot;,&quot;given&quot;:&quot;Chris&quot;,&quot;parse-names&quot;:false,&quot;dropping-particle&quot;:&quot;&quot;,&quot;non-dropping-particle&quot;:&quot;&quot;}],&quot;container-title&quot;:&quot;The Lancet Global Health&quot;,&quot;container-title-short&quot;:&quot;Lancet Glob Health&quot;,&quot;DOI&quot;:&quot;10.1016/S2214-109X(25)00236-0&quot;,&quot;ISSN&quot;:&quot;2214-109X&quot;,&quot;URL&quot;:&quot;https://doi.org/10.1016/S2214-109X(25)00236-0&quot;,&quot;issued&quot;:{&quot;date-parts&quot;:[[2025,9,1]]},&quot;page&quot;:&quot;e1591-e1604&quot;,&quot;publisher&quot;:&quot;Elsevier&quot;,&quot;issue&quot;:&quot;9&quot;,&quot;volume&quot;:&quot;13&quot;},&quot;isTemporary&quot;:false}],&quot;citationTag&quot;:&quot;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&quot;},{&quot;citationID&quot;:&quot;MENDELEY_CITATION_958a8e09-3376-4459-b531-a9001c53bb95&quot;,&quot;properties&quot;:{&quot;noteIndex&quot;:0},&quot;isEdited&quot;:false,&quot;manualOverride&quot;:{&quot;isManuallyOverridden&quot;:true,&quot;citeprocText&quot;:&quot;(DePina Adilson José AND Lima, 2025)&quot;,&quot;manualOverrideText&quot;:&quot;(DePina &amp; Lima, 2025)&quot;},&quot;citationItems&quot;:[{&quot;id&quot;:&quot;c0a76643-7825-31a8-97b1-d72154e4e129&quot;,&quot;itemData&quot;:{&quot;type&quot;:&quot;article-journal&quot;,&quot;id&quot;:&quot;c0a76643-7825-31a8-97b1-d72154e4e129&quot;,&quot;title&quot;:&quot;Imported malaria in Cabo Verde (2010–2024): Risks to post-elimination stability&quot;,&quot;author&quot;:[{&quot;family&quot;:&quot;DePina Adilson José AND Lima&quot;,&quot;given&quot;:&quot;Giovanni Leite A N D Moreira António Lima A N D Niang El Hadji Amadou A N D Garcia Klauss Kleydmann S&quot;,&quot;parse-names&quot;:false,&quot;dropping-particle&quot;:&quot;&quot;,&quot;non-dropping-particle&quot;:&quot;&quot;}],&quot;container-title&quot;:&quot;PLOS Global Public Health&quot;,&quot;DOI&quot;:&quot;10.1371/journal.pgph.0004592&quot;,&quot;URL&quot;:&quot;https://doi.org/10.1371/journal.pgph.0004592&quot;,&quot;issued&quot;:{&quot;date-parts&quot;:[[2025,1]]},&quot;page&quot;:&quot;1-17&quot;,&quot;abstract&quot;:&quot;Cabo Verde was officially certified malaria-free by the World Health Organization (WHO), following sustained public health interventions and strategic malaria elimination efforts. The country’s National Strategic Plan (2020–2024) emphasized strengthening epidemiological and entomological surveillance at the archipelago’s entry points (e.g., ports and airports), alongside early diagnosis and case investigation to prevent local transmission. However, imported malaria cases remain a persistent threat and challenge to prevent malaria reintroduction to maintain the elimination status. Therefore, this study aims to analyze imported malaria cases in Cabo Verde from 2010 to 2024, characterizing their locations, origins, epidemiological trends and spatial distribution. The findings aim to support evidence-based decision-making to prevent post-certification disease reintroduction. This study used an ecological time-series approach analyzing all confirmed imported malaria cases reported between 2010 and 2024 in Cabo Verde. Data was collected in collaboration with the National Malaria Control Program and the Integrated Surveillance and Response Service. Incidence, mortality, and case fatality rates were calculated. Joinpoint Regression Analysis was performed to assess time trends, and Holt-Winters additive models were applied for time-series forecasting. Spatial data visualization was also conducted. A total of 383 imported malaria cases were reported. A significant increase trend was observed from 2020 to 2024 (annual percentage change - APC): + 25.75%). Forecast models estimate approximately 80 imported cases annually in 2025 and 2026 (-23.1 to 80). Most cases were reported in Santiago Island (68.9%), particularly in Praia (80.5%). The most common sources of imported infection were Guinea-Bissau (N = 90; 23,5%), Angola (N = 73; 19.1%), Senegal (49; 15.4%, and Nigeria (29; 7.6%). Malaria reintroduction risks persist in Cabo Verde, necessitating continuous surveillance and prevention efforts. Understanding the epidemiological trends and future projections is essential for maintaining Cabo Verde’s malaria-free status. Vigilance and strategic interventions, including fast and correct case identification, treatment, and follow-up of imported cases, are some actions that need to be reinforced. Accurate policies, leadership capacity, and necessary resources are key requirements for maintaining and sustaining the elimination.&quot;,&quot;publisher&quot;:&quot;Public Library of Science&quot;,&quot;issue&quot;:&quot;6&quot;,&quot;volume&quot;:&quot;5&quot;},&quot;isTemporary&quot;:false}],&quot;citationTag&quot;:&quot;MENDELEY_CITATION_v3_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&quot;},{&quot;citationID&quot;:&quot;MENDELEY_CITATION_44e4e9a4-d3e7-480b-814d-fa869c1ad294&quot;,&quot;properties&quot;:{&quot;noteIndex&quot;:0},&quot;isEdited&quot;:false,&quot;manualOverride&quot;:{&quot;isManuallyOverridden&quot;:false,&quot;citeprocText&quot;:&quot;(DePina et al., 2025)&quot;,&quot;manualOverrideText&quot;:&quot;&quot;},&quot;citationItems&quot;:[{&quot;id&quot;:&quot;5a1f0893-d47b-3891-83bb-6dfb769cd5f6&quot;,&quot;itemData&quot;:{&quot;type&quot;:&quot;article-journal&quot;,&quot;id&quot;:&quot;5a1f0893-d47b-3891-83bb-6dfb769cd5f6&quot;,&quot;title&quot;:&quot;Situational analysis of malaria in Cabo Verde: From endemic control to elimination, history, cases data and challenges ahead&quot;,&quot;author&quot;:[{&quot;family&quot;:&quot;DePina&quot;,&quot;given&quot;:&quot;Adilson José&quot;,&quot;parse-names&quot;:false,&quot;dropping-particle&quot;:&quot;&quot;,&quot;non-dropping-particle&quot;:&quot;&quot;},{&quot;family&quot;:&quot;Lopes Gomes&quot;,&quot;given&quot;:&quot;Jonas António&quot;,&quot;parse-names&quot;:false,&quot;dropping-particle&quot;:&quot;&quot;,&quot;non-dropping-particle&quot;:&quot;&quot;},{&quot;family&quot;:&quot;Moreira&quot;,&quot;given&quot;:&quot;António Lima&quot;,&quot;parse-names&quot;:false,&quot;dropping-particle&quot;:&quot;&quot;,&quot;non-dropping-particle&quot;:&quot;&quot;},{&quot;family&quot;:&quot;Niang&quot;,&quot;given&quot;:&quot;El Hadji Amadou&quot;,&quot;parse-names&quot;:false,&quot;dropping-particle&quot;:&quot;&quot;,&quot;non-dropping-particle&quot;:&quot;&quot;}],&quot;container-title&quot;:&quot;PLOS Global Public Health&quot;,&quot;URL&quot;:&quot;https://doi.org/10.1371/journal.pgph.0004153&quot;,&quot;issued&quot;:{&quot;date-parts&quot;:[[2025,1,10]]},&quot;page&quot;:&quot;e0004153-&quot;,&quot;abstract&quot;:&quot;On 12 January 2024, Cabo Verde was officially certified by the WHO as a malaria-free country after six consecutive years without local transmission. This study analysed the malaria history of Cabo Verde from 1953 to certification in 2024, highlighted the valuable lessons learned, and discussed challenges for prevention reintroduction. Malaria data from the last 35 years (1988–2022) were analysed using descriptive analyses, and cases were mapped using the USGS National Map Viewer. From 1988 to 2022, 3,089 malaria cases were reported, 2.381 (77.1%) locally and 708 (22.9%) imported. Imported cases were reported nationwide except on Brava Island. Six municipalities did not report any cases, while local cases were restricted to Santiago and Boavista, with 2.360 and 21 cases, respectively. Malaria history in the country revealed six remarkable steps and three periods of interruption in the transmission of local malaria cases. The last local cases were reported in Boavista in 2015 and Santiago in 2017. Since 2018, introduced cases have been recorded from time to time. Disease lethality was low, with ten malaria deaths from 2010 to 2023, and the highest value of 8.3% (3/36) recorded in 2011. With this certification, Cabo Verde became a reference in Africa for its health sector organisation, multisectoral, and partnership in malaria control. However, maintaining the certification presents several sustainability challenges for the country. Additionally, robust epidemiological and entomological surveillance, continued investigations, and ongoing research are crucial.&quot;,&quot;publisher&quot;:&quot;Public Library of Science&quot;,&quot;issue&quot;:&quot;1&quot;,&quot;volume&quot;:&quot;5&quot;,&quot;container-title-short&quot;:&quot;&quot;},&quot;isTemporary&quot;:false}],&quot;citationTag&quot;:&quot;MENDELEY_CITATION_v3_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&quot;},{&quot;citationID&quot;:&quot;MENDELEY_CITATION_d4d74b77-7e49-4ad6-a5ec-017d052c613a&quot;,&quot;properties&quot;:{&quot;noteIndex&quot;:0},&quot;isEdited&quot;:false,&quot;manualOverride&quot;:{&quot;isManuallyOverridden&quot;:false,&quot;citeprocText&quot;:&quot;(Leal et al., 2024)&quot;,&quot;manualOverrideText&quot;:&quot;&quot;},&quot;citationItems&quot;:[{&quot;id&quot;:&quot;f24195da-c141-3470-bb5f-b763fac4cdb6&quot;,&quot;itemData&quot;:{&quot;type&quot;:&quot;article-journal&quot;,&quot;id&quot;:&quot;f24195da-c141-3470-bb5f-b763fac4cdb6&quot;,&quot;title&quot;:&quot;The geographical distribution of the malaria vector Anopheles arabiensis in Cabo Verde, 2016–2023&quot;,&quot;author&quot;:[{&quot;family&quot;:&quot;Leal&quot;,&quot;given&quot;:&quot;Silvânia Da Veiga&quot;,&quot;parse-names&quot;:false,&quot;dropping-particle&quot;:&quot;&quot;,&quot;non-dropping-particle&quot;:&quot;&quot;},{&quot;family&quot;:&quot;Sousa&quot;,&quot;given&quot;:&quot;Celivianne&quot;,&quot;parse-names&quot;:false,&quot;dropping-particle&quot;:&quot;de&quot;,&quot;non-dropping-particle&quot;:&quot;&quot;},{&quot;family&quot;:&quot;Monteiro&quot;,&quot;given&quot;:&quot;Davidson Daniel Sousa Rocha&quot;,&quot;parse-names&quot;:false,&quot;dropping-particle&quot;:&quot;&quot;,&quot;non-dropping-particle&quot;:&quot;&quot;},{&quot;family&quot;:&quot;Mendonça&quot;,&quot;given&quot;:&quot;Maria da Luz Lima&quot;,&quot;parse-names&quot;:false,&quot;dropping-particle&quot;:&quot;&quot;,&quot;non-dropping-particle&quot;:&quot;&quot;},{&quot;family&quot;:&quot;Gonçalves&quot;,&quot;given&quot;:&quot;Adéritow Augusto Lopes Macedo&quot;,&quot;parse-names&quot;:false,&quot;dropping-particle&quot;:&quot;&quot;,&quot;non-dropping-particle&quot;:&quot;&quot;},{&quot;family&quot;:&quot;DePina&quot;,&quot;given&quot;:&quot;Adilson José&quot;,&quot;parse-names&quot;:false,&quot;dropping-particle&quot;:&quot;&quot;,&quot;non-dropping-particle&quot;:&quot;&quot;}],&quot;container-title&quot;:&quot;Frontiers in Tropical Diseases&quot;,&quot;DOI&quot;:&quot;10.3389/fitd.2024.1353839&quot;,&quot;ISSN&quot;:&quot;2673-7515&quot;,&quot;URL&quot;:&quot;https://www.frontiersin.org/journals/tropical-diseases/articles/10.3389/fitd.2024.1353839&quot;,&quot;issued&quot;:{&quot;date-parts&quot;:[[2024]]},&quot;volume&quot;:&quot;Volume 5 - 2024&quot;,&quot;container-title-short&quot;:&quot;&quot;},&quot;isTemporary&quot;:false}],&quot;citationTag&quot;:&quot;MENDELEY_CITATION_v3_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&quot;},{&quot;citationID&quot;:&quot;MENDELEY_CITATION_497c31b5-cd41-4e75-9626-a234fef6b709&quot;,&quot;properties&quot;:{&quot;noteIndex&quot;:0},&quot;isEdited&quot;:false,&quot;manualOverride&quot;:{&quot;isManuallyOverridden&quot;:false,&quot;citeprocText&quot;:&quot;(Organization, 2012)&quot;,&quot;manualOverrideText&quot;:&quot;&quot;},&quot;citationItems&quot;:[{&quot;id&quot;:&quot;facea537-8ac4-3ea8-b885-2b3517c75a2b&quot;,&quot;itemData&quot;:{&quot;type&quot;:&quot;article-journal&quot;,&quot;id&quot;:&quot;facea537-8ac4-3ea8-b885-2b3517c75a2b&quot;,&quot;title&quot;:&quot;Moving towards sustainable elimination in Cape Verde&quot;,&quot;author&quot;:[{&quot;family&quot;:&quot;Organization&quot;,&quot;given&quot;:&quot;World Health&quot;,&quot;parse-names&quot;:false,&quot;dropping-particle&quot;:&quot;&quot;,&quot;non-dropping-particle&quot;:&quot;&quot;}],&quot;ISSN&quot;:&quot;9241504382&quot;,&quot;issued&quot;:{&quot;date-parts&quot;:[[2012]]},&quot;publisher&quot;:&quot;World Health Organization&quot;,&quot;container-title-short&quot;:&quot;&quot;},&quot;isTemporary&quot;:false}],&quot;citationTag&quot;:&quot;MENDELEY_CITATION_v3_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&quot;},{&quot;citationID&quot;:&quot;MENDELEY_CITATION_797c0839-b460-4e29-bd28-ca53f2a743b0&quot;,&quot;properties&quot;:{&quot;noteIndex&quot;:0},&quot;isEdited&quot;:false,&quot;manualOverride&quot;:{&quot;isManuallyOverridden&quot;:false,&quot;citeprocText&quot;:&quot;(Hartung et al., 2010)&quot;,&quot;manualOverrideText&quot;:&quot;&quot;},&quot;citationItems&quot;:[{&quot;id&quot;:&quot;1b29873d-19d5-3b57-81fb-b5da3ca46971&quot;,&quot;itemData&quot;:{&quot;type&quot;:&quot;article-journal&quot;,&quot;id&quot;:&quot;1b29873d-19d5-3b57-81fb-b5da3ca46971&quot;,&quot;title&quot;:&quot;Open Data Kit: Tools to Build Information Services for Developing Regions&quot;,&quot;author&quot;:[{&quot;family&quot;:&quot;Hartung&quot;,&quot;given&quot;:&quot;Carl&quot;,&quot;parse-names&quot;:false,&quot;dropping-particle&quot;:&quot;&quot;,&quot;non-dropping-particle&quot;:&quot;&quot;},{&quot;family&quot;:&quot;Anokwa&quot;,&quot;given&quot;:&quot;Yaw&quot;,&quot;parse-names&quot;:false,&quot;dropping-particle&quot;:&quot;&quot;,&quot;non-dropping-particle&quot;:&quot;&quot;},{&quot;family&quot;:&quot;Brunette&quot;,&quot;given&quot;:&quot;Waylon&quot;,&quot;parse-names&quot;:false,&quot;dropping-particle&quot;:&quot;&quot;,&quot;non-dropping-particle&quot;:&quot;&quot;},{&quot;family&quot;:&quot;Lerer&quot;,&quot;given&quot;:&quot;Adam&quot;,&quot;parse-names&quot;:false,&quot;dropping-particle&quot;:&quot;&quot;,&quot;non-dropping-particle&quot;:&quot;&quot;},{&quot;family&quot;:&quot;Tseng&quot;,&quot;given&quot;:&quot;Clint&quot;,&quot;parse-names&quot;:false,&quot;dropping-particle&quot;:&quot;&quot;,&quot;non-dropping-particle&quot;:&quot;&quot;},{&quot;family&quot;:&quot;Borriello&quot;,&quot;given&quot;:&quot;Gaetano&quot;,&quot;parse-names&quot;:false,&quot;dropping-particle&quot;:&quot;&quot;,&quot;non-dropping-particle&quot;:&quot;&quot;}],&quot;DOI&quot;:&quot;10.1145/2369220.2369236&quot;,&quot;issued&quot;:{&quot;date-parts&quot;:[[2010,8]]},&quot;container-title-short&quot;:&quot;&quot;},&quot;isTemporary&quot;:false}],&quot;citationTag&quot;:&quot;MENDELEY_CITATION_v3_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&quot;},{&quot;citationID&quot;:&quot;MENDELEY_CITATION_e2d0d133-b900-4472-84d0-537c8442e121&quot;,&quot;properties&quot;:{&quot;noteIndex&quot;:0},&quot;isEdited&quot;:false,&quot;manualOverride&quot;:{&quot;isManuallyOverridden&quot;:false,&quot;citeprocText&quot;:&quot;(Byrne et al., 2022; Wu et al., 2020)&quot;,&quot;manualOverrideText&quot;:&quot;&quot;},&quot;citationItems&quot;:[{&quot;id&quot;:&quot;8b15b3d3-f057-340d-8c15-1c93d5a6f5a3&quot;,&quot;itemData&quot;:{&quot;type&quot;:&quot;article&quot;,&quot;id&quot;:&quot;8b15b3d3-f057-340d-8c15-1c93d5a6f5a3&quot;,&quot;title&quot;:&quot;Characterizing the spatial distribution of multiple malaria diagnostic endpoints in a low-transmission setting in Lao PDR. Frontiers in Medicine. 2022; 9&quot;,&quot;author&quot;:[{&quot;family&quot;:&quot;Byrne&quot;,&quot;given&quot;:&quot;I&quot;,&quot;parse-names&quot;:false,&quot;dropping-particle&quot;:&quot;&quot;,&quot;non-dropping-particle&quot;:&quot;&quot;},{&quot;family&quot;:&quot;Cramer&quot;,&quot;given&quot;:&quot;E&quot;,&quot;parse-names&quot;:false,&quot;dropping-particle&quot;:&quot;&quot;,&quot;non-dropping-particle&quot;:&quot;&quot;},{&quot;family&quot;:&quot;Nelli&quot;,&quot;given&quot;:&quot;L&quot;,&quot;parse-names&quot;:false,&quot;dropping-particle&quot;:&quot;&quot;,&quot;non-dropping-particle&quot;:&quot;&quot;},{&quot;family&quot;:&quot;Rerolle&quot;,&quot;given&quot;:&quot;F&quot;,&quot;parse-names&quot;:false,&quot;dropping-particle&quot;:&quot;&quot;,&quot;non-dropping-particle&quot;:&quot;&quot;},{&quot;family&quot;:&quot;Wu&quot;,&quot;given&quot;:&quot;L&quot;,&quot;parse-names&quot;:false,&quot;dropping-particle&quot;:&quot;&quot;,&quot;non-dropping-particle&quot;:&quot;&quot;},{&quot;family&quot;:&quot;Patterson&quot;,&quot;given&quot;:&quot;C&quot;,&quot;parse-names&quot;:false,&quot;dropping-particle&quot;:&quot;&quot;,&quot;non-dropping-particle&quot;:&quot;&quot;}],&quot;issued&quot;:{&quot;date-parts&quot;:[[2022]]},&quot;container-title-short&quot;:&quot;&quot;},&quot;isTemporary&quot;:false},{&quot;id&quot;:&quot;7d0839cd-25b8-3274-9ac2-c47cd30a5e80&quot;,&quot;itemData&quot;:{&quot;type&quot;:&quot;article-journal&quot;,&quot;id&quot;:&quot;7d0839cd-25b8-3274-9ac2-c47cd30a5e80&quot;,&quot;title&quot;:&quot;Optimisation and standardisation of a multiplex immunoassay of diverse Plasmodium falciparum antigens to assess changes in malaria transmission using sero-epidemiology&quot;,&quot;author&quot;:[{&quot;family&quot;:&quot;Wu&quot;,&quot;given&quot;:&quot;Lindsey&quot;,&quot;parse-names&quot;:false,&quot;dropping-particle&quot;:&quot;&quot;,&quot;non-dropping-particle&quot;:&quot;&quot;},{&quot;family&quot;:&quot;Hall&quot;,&quot;given&quot;:&quot;Tom&quot;,&quot;parse-names&quot;:false,&quot;dropping-particle&quot;:&quot;&quot;,&quot;non-dropping-particle&quot;:&quot;&quot;},{&quot;family&quot;:&quot;Ssewanyana&quot;,&quot;given&quot;:&quot;Isaac&quot;,&quot;parse-names&quot;:false,&quot;dropping-particle&quot;:&quot;&quot;,&quot;non-dropping-particle&quot;:&quot;&quot;},{&quot;family&quot;:&quot;Oulton&quot;,&quot;given&quot;:&quot;Tate&quot;,&quot;parse-names&quot;:false,&quot;dropping-particle&quot;:&quot;&quot;,&quot;non-dropping-particle&quot;:&quot;&quot;},{&quot;family&quot;:&quot;Patterson&quot;,&quot;given&quot;:&quot;Catriona&quot;,&quot;parse-names&quot;:false,&quot;dropping-particle&quot;:&quot;&quot;,&quot;non-dropping-particle&quot;:&quot;&quot;},{&quot;family&quot;:&quot;Vasileva&quot;,&quot;given&quot;:&quot;Hristina&quot;,&quot;parse-names&quot;:false,&quot;dropping-particle&quot;:&quot;&quot;,&quot;non-dropping-particle&quot;:&quot;&quot;},{&quot;family&quot;:&quot;Singh&quot;,&quot;given&quot;:&quot;Susheel&quot;,&quot;parse-names&quot;:false,&quot;dropping-particle&quot;:&quot;&quot;,&quot;non-dropping-particle&quot;:&quot;&quot;},{&quot;family&quot;:&quot;Affara&quot;,&quot;given&quot;:&quot;Muna&quot;,&quot;parse-names&quot;:false,&quot;dropping-particle&quot;:&quot;&quot;,&quot;non-dropping-particle&quot;:&quot;&quot;},{&quot;family&quot;:&quot;Mwesigwa&quot;,&quot;given&quot;:&quot;Julia&quot;,&quot;parse-names&quot;:false,&quot;dropping-particle&quot;:&quot;&quot;,&quot;non-dropping-particle&quot;:&quot;&quot;},{&quot;family&quot;:&quot;Correa&quot;,&quot;given&quot;:&quot;Simon&quot;,&quot;parse-names&quot;:false,&quot;dropping-particle&quot;:&quot;&quot;,&quot;non-dropping-particle&quot;:&quot;&quot;}],&quot;container-title&quot;:&quot;Wellcome open research&quot;,&quot;container-title-short&quot;:&quot;Wellcome Open Res&quot;,&quot;issued&quot;:{&quot;date-parts&quot;:[[2020]]},&quot;page&quot;:&quot;26&quot;,&quot;volume&quot;:&quot;4&quot;},&quot;isTemporary&quot;:false}],&quot;citationTag&quot;:&quot;MENDELEY_CITATION_v3_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&quot;},{&quot;citationID&quot;:&quot;MENDELEY_CITATION_66cd7fd0-850b-4612-a2c3-1e2446802b9d&quot;,&quot;properties&quot;:{&quot;noteIndex&quot;:0},&quot;isEdited&quot;:false,&quot;manualOverride&quot;:{&quot;isManuallyOverridden&quot;:false,&quot;citeprocText&quot;:&quot;(Byrne et al., 2022)&quot;,&quot;manualOverrideText&quot;:&quot;&quot;},&quot;citationItems&quot;:[{&quot;id&quot;:&quot;8b15b3d3-f057-340d-8c15-1c93d5a6f5a3&quot;,&quot;itemData&quot;:{&quot;type&quot;:&quot;article&quot;,&quot;id&quot;:&quot;8b15b3d3-f057-340d-8c15-1c93d5a6f5a3&quot;,&quot;title&quot;:&quot;Characterizing the spatial distribution of multiple malaria diagnostic endpoints in a low-transmission setting in Lao PDR. Frontiers in Medicine. 2022; 9&quot;,&quot;author&quot;:[{&quot;family&quot;:&quot;Byrne&quot;,&quot;given&quot;:&quot;I&quot;,&quot;parse-names&quot;:false,&quot;dropping-particle&quot;:&quot;&quot;,&quot;non-dropping-particle&quot;:&quot;&quot;},{&quot;family&quot;:&quot;Cramer&quot;,&quot;given&quot;:&quot;E&quot;,&quot;parse-names&quot;:false,&quot;dropping-particle&quot;:&quot;&quot;,&quot;non-dropping-particle&quot;:&quot;&quot;},{&quot;family&quot;:&quot;Nelli&quot;,&quot;given&quot;:&quot;L&quot;,&quot;parse-names&quot;:false,&quot;dropping-particle&quot;:&quot;&quot;,&quot;non-dropping-particle&quot;:&quot;&quot;},{&quot;family&quot;:&quot;Rerolle&quot;,&quot;given&quot;:&quot;F&quot;,&quot;parse-names&quot;:false,&quot;dropping-particle&quot;:&quot;&quot;,&quot;non-dropping-particle&quot;:&quot;&quot;},{&quot;family&quot;:&quot;Wu&quot;,&quot;given&quot;:&quot;L&quot;,&quot;parse-names&quot;:false,&quot;dropping-particle&quot;:&quot;&quot;,&quot;non-dropping-particle&quot;:&quot;&quot;},{&quot;family&quot;:&quot;Patterson&quot;,&quot;given&quot;:&quot;C&quot;,&quot;parse-names&quot;:false,&quot;dropping-particle&quot;:&quot;&quot;,&quot;non-dropping-particle&quot;:&quot;&quot;}],&quot;issued&quot;:{&quot;date-parts&quot;:[[2022]]},&quot;container-title-short&quot;:&quot;&quot;},&quot;isTemporary&quot;:false,&quot;suppress-author&quot;:false,&quot;composite&quot;:false,&quot;author-only&quot;:false}],&quot;citationTag&quot;:&quot;MENDELEY_CITATION_v3_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D&quot;:&quot;MENDELEY_CITATION_bd5dc5c7-ed62-4510-b148-58ea12dff82c&quot;,&quot;properties&quot;:{&quot;noteIndex&quot;:0},&quot;isEdited&quot;:false,&quot;manualOverride&quot;:{&quot;isManuallyOverridden&quot;:false,&quot;citeprocText&quot;:&quot;(Nelli et al., 2024)&quot;,&quot;manualOverrideText&quot;:&quot;&quot;},&quot;citationItems&quot;:[{&quot;id&quot;:&quot;0d8b6317-e7c2-3835-a147-06a7beb1dfef&quot;,&quot;itemData&quot;:{&quot;type&quot;:&quot;article-journal&quot;,&quot;id&quot;:&quot;0d8b6317-e7c2-3835-a147-06a7beb1dfef&quot;,&quot;title&quot;:&quot;Freedom from infection: enhancing decision-making for malaria elimination&quot;,&quot;author&quot;:[{&quot;family&quot;:&quot;Nelli&quot;,&quot;given&quot;:&quot;Luca&quot;,&quot;parse-names&quot;:false,&quot;dropping-particle&quot;:&quot;&quot;,&quot;non-dropping-particle&quot;:&quot;&quot;},{&quot;family&quot;:&quot;Surendra&quot;,&quot;given&quot;:&quot;Henry&quot;,&quot;parse-names&quot;:false,&quot;dropping-particle&quot;:&quot;&quot;,&quot;non-dropping-particle&quot;:&quot;&quot;},{&quot;family&quot;:&quot;Byrne&quot;,&quot;given&quot;:&quot;Isabel&quot;,&quot;parse-names&quot;:false,&quot;dropping-particle&quot;:&quot;&quot;,&quot;non-dropping-particle&quot;:&quot;&quot;},{&quot;family&quot;:&quot;Ahmad&quot;,&quot;given&quot;:&quot;Riris Andono&quot;,&quot;parse-names&quot;:false,&quot;dropping-particle&quot;:&quot;&quot;,&quot;non-dropping-particle&quot;:&quot;&quot;},{&quot;family&quot;:&quot;Arisanti&quot;,&quot;given&quot;:&quot;Risalia Reni&quot;,&quot;parse-names&quot;:false,&quot;dropping-particle&quot;:&quot;&quot;,&quot;non-dropping-particle&quot;:&quot;&quot;},{&quot;family&quot;:&quot;Lesmanawati&quot;,&quot;given&quot;:&quot;Dyah A S&quot;,&quot;parse-names&quot;:false,&quot;dropping-particle&quot;:&quot;&quot;,&quot;non-dropping-particle&quot;:&quot;&quot;},{&quot;family&quot;:&quot;Elyazar&quot;,&quot;given&quot;:&quot;Iqbal R F&quot;,&quot;parse-names&quot;:false,&quot;dropping-particle&quot;:&quot;&quot;,&quot;non-dropping-particle&quot;:&quot;&quot;},{&quot;family&quot;:&quot;Dumont&quot;,&quot;given&quot;:&quot;Elin&quot;,&quot;parse-names&quot;:false,&quot;dropping-particle&quot;:&quot;&quot;,&quot;non-dropping-particle&quot;:&quot;&quot;},{&quot;family&quot;:&quot;Wu&quot;,&quot;given&quot;:&quot;Lindsey&quot;,&quot;parse-names&quot;:false,&quot;dropping-particle&quot;:&quot;&quot;,&quot;non-dropping-particle&quot;:&quot;&quot;},{&quot;family&quot;:&quot;Drakeley&quot;,&quot;given&quot;:&quot;Chris&quot;,&quot;parse-names&quot;:false,&quot;dropping-particle&quot;:&quot;&quot;,&quot;non-dropping-particle&quot;:&quot;&quot;},{&quot;family&quot;:&quot;Matthiopoulos&quot;,&quot;given&quot;:&quot;Jason&quot;,&quot;parse-names&quot;:false,&quot;dropping-particle&quot;:&quot;&quot;,&quot;non-dropping-particle&quot;:&quot;&quot;},{&quot;family&quot;:&quot;Stresman&quot;,&quot;given&quot;:&quot;Gillian&quot;,&quot;parse-names&quot;:false,&quot;dropping-particle&quot;:&quot;&quot;,&quot;non-dropping-particle&quot;:&quot;&quot;}],&quot;container-title&quot;:&quot;BMJ Global Health&quot;,&quot;container-title-short&quot;:&quot;BMJ Glob Health&quot;,&quot;DOI&quot;:&quot;10.1136/bmjgh-2023-014412&quot;,&quot;URL&quot;:&quot;https://ghsite-bmj.vercel.app/content/9/12/e014412&quot;,&quot;issued&quot;:{&quot;date-parts&quot;:[[2024,12,7]]},&quot;page&quot;:&quot;e014412&quot;,&quot;abstract&quot;:&quot;Assessing elimination of malaria locally requires a surveillance system with high sensitivity and specificity to detect its presence without ambiguity. Currently, the WHO standard criteria of observing the absence of locally acquired cases for 3 consecutive years, combined with a health systems assessment, are used to justify claims of malaria elimination. However, relying on a qualitative framework to support the application of this guideline can lead to early, over-optimistic relaxation of control measures with the potential for resurgence. Overcoming this challenge requires innovative approaches to model the coupled processes of malaria transmission and its clinical observation.We propose a novel statistical framework based on a state-space model to probabilistically demonstrate the absence of malaria, using routinely collected health system data (which is extensive but inherently imperfect). By simultaneously modelling the expected malaria burden within the population and the probability of detection, we provide a robust estimate of the surveillance system’s sensitivity and the corresponding probability of local elimination (probability of freedom from infection).Our study reveals a critical limitation of the traditional criterion for declaring malaria elimination, highlighting its inherent bias and potential for misinterpreting ongoing transmission. Such oversight not only misrepresents ongoing transmission but also places communities at risk for larger outbreaks. However, we demonstrate that our integrated approach to data comprehensively addresses this issue, effectively detecting ongoing transmission patterns, even when local reports might suggest otherwise.Our integrated framework has far-reaching implications for malaria control but also for infectious disease control in general. Our approach addresses the limitations of traditional criteria for declaring freedom from disease and opens the path to true optimisation of the allocation of limited resources. Our findings emphasise the urgent need to reassess existing methods to accurately confirm malaria elimination, and the importance of using comprehensive modelling techniques to continually monitor and maintain the effectiveness of current surveillance systems, enabling decisions grounded in quantitative evidence.&quot;,&quot;issue&quot;:&quot;12&quot;,&quot;volume&quot;:&quot;9&quot;},&quot;isTemporary&quot;:false}],&quot;citationTag&quot;:&quot;MENDELEY_CITATION_v3_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&quot;},{&quot;citationID&quot;:&quot;MENDELEY_CITATION_afad3d95-cda1-4bf2-9252-dfc458c19975&quot;,&quot;properties&quot;:{&quot;noteIndex&quot;:0},&quot;isEdited&quot;:false,&quot;manualOverride&quot;:{&quot;isManuallyOverridden&quot;:false,&quot;citeprocText&quot;:&quot;(Stresman et al., 2025)&quot;,&quot;manualOverrideText&quot;:&quot;&quot;},&quot;citationItems&quot;:[{&quot;id&quot;:&quot;53f66ac4-eb0a-3b07-809a-a7ec9140eed5&quot;,&quot;itemData&quot;:{&quot;type&quot;:&quot;article-journal&quot;,&quot;id&quot;:&quot;53f66ac4-eb0a-3b07-809a-a7ec9140eed5&quot;,&quot;title&quot;:&quot;Evidence-based decision making for malaria elimination applying the Freedom From Infection statistical framework in five malaria eliminating countries: an observational study&quot;,&quot;author&quot;:[{&quot;family&quot;:&quot;Stresman&quot;,&quot;given&quot;:&quot;Gillian&quot;,&quot;parse-names&quot;:false,&quot;dropping-particle&quot;:&quot;&quot;,&quot;non-dropping-particle&quot;:&quot;&quot;},{&quot;family&quot;:&quot;Nelli&quot;,&quot;given&quot;:&quot;Luca&quot;,&quot;parse-names&quot;:false,&quot;dropping-particle&quot;:&quot;&quot;,&quot;non-dropping-particle&quot;:&quot;&quot;},{&quot;family&quot;:&quot;Wu&quot;,&quot;given&quot;:&quot;Lindsey&quot;,&quot;parse-names&quot;:false,&quot;dropping-particle&quot;:&quot;&quot;,&quot;non-dropping-particle&quot;:&quot;&quot;},{&quot;family&quot;:&quot;Byrne&quot;,&quot;given&quot;:&quot;Isabel&quot;,&quot;parse-names&quot;:false,&quot;dropping-particle&quot;:&quot;&quot;,&quot;non-dropping-particle&quot;:&quot;&quot;},{&quot;family&quot;:&quot;Surendra&quot;,&quot;given&quot;:&quot;Henry&quot;,&quot;parse-names&quot;:false,&quot;dropping-particle&quot;:&quot;&quot;,&quot;non-dropping-particle&quot;:&quot;&quot;},{&quot;family&quot;:&quot;Fernandez-Camacho&quot;,&quot;given&quot;:&quot;Bryan&quot;,&quot;parse-names&quot;:false,&quot;dropping-particle&quot;:&quot;&quot;,&quot;non-dropping-particle&quot;:&quot;&quot;},{&quot;family&quot;:&quot;Ruiz-Cabrejos&quot;,&quot;given&quot;:&quot;Jorge&quot;,&quot;parse-names&quot;:false,&quot;dropping-particle&quot;:&quot;&quot;,&quot;non-dropping-particle&quot;:&quot;&quot;},{&quot;family&quot;:&quot;Arana&quot;,&quot;given&quot;:&quot;Lucia Bartolini&quot;,&quot;parse-names&quot;:false,&quot;dropping-particle&quot;:&quot;&quot;,&quot;non-dropping-particle&quot;:&quot;&quot;},{&quot;family&quot;:&quot;Gonçalves&quot;,&quot;given&quot;:&quot;Adéritow Augusto Lopes Macedo&quot;,&quot;parse-names&quot;:false,&quot;dropping-particle&quot;:&quot;&quot;,&quot;non-dropping-particle&quot;:&quot;&quot;},{&quot;family&quot;:&quot;Monteiro&quot;,&quot;given&quot;:&quot;Davidson Daniel Sousa Rocha&quot;,&quot;parse-names&quot;:false,&quot;dropping-particle&quot;:&quot;&quot;,&quot;non-dropping-particle&quot;:&quot;&quot;},{&quot;family&quot;:&quot;Desir&quot;,&quot;given&quot;:&quot;Luccene&quot;,&quot;parse-names&quot;:false,&quot;dropping-particle&quot;:&quot;&quot;,&quot;non-dropping-particle&quot;:&quot;&quot;},{&quot;family&quot;:&quot;Ureña&quot;,&quot;given&quot;:&quot;Keyla&quot;,&quot;parse-names&quot;:false,&quot;dropping-particle&quot;:&quot;&quot;,&quot;non-dropping-particle&quot;:&quot;&quot;},{&quot;family&quot;:&quot;Tejada Beato&quot;,&quot;given&quot;:&quot;Manuel de Jesus&quot;,&quot;parse-names&quot;:false,&quot;dropping-particle&quot;:&quot;&quot;,&quot;non-dropping-particle&quot;:&quot;&quot;},{&quot;family&quot;:&quot;Dumont&quot;,&quot;given&quot;:&quot;Elin&quot;,&quot;parse-names&quot;:false,&quot;dropping-particle&quot;:&quot;&quot;,&quot;non-dropping-particle&quot;:&quot;&quot;},{&quot;family&quot;:&quot;Hill&quot;,&quot;given&quot;:&quot;Monica&quot;,&quot;parse-names&quot;:false,&quot;dropping-particle&quot;:&quot;&quot;,&quot;non-dropping-particle&quot;:&quot;&quot;},{&quot;family&quot;:&quot;Grignard&quot;,&quot;given&quot;:&quot;Lynn&quot;,&quot;parse-names&quot;:false,&quot;dropping-particle&quot;:&quot;&quot;,&quot;non-dropping-particle&quot;:&quot;&quot;},{&quot;family&quot;:&quot;Elechosa&quot;,&quot;given&quot;:&quot;Sabrina&quot;,&quot;parse-names&quot;:false,&quot;dropping-particle&quot;:&quot;&quot;,&quot;non-dropping-particle&quot;:&quot;&quot;},{&quot;family&quot;:&quot;Bunagan&quot;,&quot;given&quot;:&quot;Raymart&quot;,&quot;parse-names&quot;:false,&quot;dropping-particle&quot;:&quot;&quot;,&quot;non-dropping-particle&quot;:&quot;&quot;},{&quot;family&quot;:&quot;Xuan Thang&quot;,&quot;given&quot;:&quot;Nguyen&quot;,&quot;parse-names&quot;:false,&quot;dropping-particle&quot;:&quot;&quot;,&quot;non-dropping-particle&quot;:&quot;&quot;},{&quot;family&quot;:&quot;Huong Binh&quot;,&quot;given&quot;:&quot;Nguyen Thi&quot;,&quot;parse-names&quot;:false,&quot;dropping-particle&quot;:&quot;&quot;,&quot;non-dropping-particle&quot;:&quot;&quot;},{&quot;family&quot;:&quot;Hong Ngoc&quot;,&quot;given&quot;:&quot;Nguyen Thi&quot;,&quot;parse-names&quot;:false,&quot;dropping-particle&quot;:&quot;&quot;,&quot;non-dropping-particle&quot;:&quot;&quot;},{&quot;family&quot;:&quot;Tetteh&quot;,&quot;given&quot;:&quot;Kevin K A&quot;,&quot;parse-names&quot;:false,&quot;dropping-particle&quot;:&quot;&quot;,&quot;non-dropping-particle&quot;:&quot;&quot;},{&quot;family&quot;:&quot;Noland&quot;,&quot;given&quot;:&quot;Gregory S&quot;,&quot;parse-names&quot;:false,&quot;dropping-particle&quot;:&quot;&quot;,&quot;non-dropping-particle&quot;:&quot;&quot;},{&quot;family&quot;:&quot;Hamre&quot;,&quot;given&quot;:&quot;Karen E S&quot;,&quot;parse-names&quot;:false,&quot;dropping-particle&quot;:&quot;&quot;,&quot;non-dropping-particle&quot;:&quot;&quot;},{&quot;family&quot;:&quot;Veiga Leal&quot;,&quot;given&quot;:&quot;Silvânia&quot;,&quot;parse-names&quot;:false,&quot;dropping-particle&quot;:&quot;&quot;,&quot;non-dropping-particle&quot;:&quot;da&quot;},{&quot;family&quot;:&quot;DePina&quot;,&quot;given&quot;:&quot;Adilson&quot;,&quot;parse-names&quot;:false,&quot;dropping-particle&quot;:&quot;&quot;,&quot;non-dropping-particle&quot;:&quot;&quot;},{&quot;family&quot;:&quot;Thang&quot;,&quot;given&quot;:&quot;Ngo&quot;,&quot;parse-names&quot;:false,&quot;dropping-particle&quot;:&quot;&quot;,&quot;non-dropping-particle&quot;:&quot;&quot;},{&quot;family&quot;:&quot;Espino&quot;,&quot;given&quot;:&quot;Fe Esperanza&quot;,&quot;parse-names&quot;:false,&quot;dropping-particle&quot;:&quot;&quot;,&quot;non-dropping-particle&quot;:&quot;&quot;},{&quot;family&quot;:&quot;Carrasco-Escobar&quot;,&quot;given&quot;:&quot;Gabriel&quot;,&quot;parse-names&quot;:false,&quot;dropping-particle&quot;:&quot;&quot;,&quot;non-dropping-particle&quot;:&quot;&quot;},{&quot;family&quot;:&quot;Matthiopoulos&quot;,&quot;given&quot;:&quot;Jason&quot;,&quot;parse-names&quot;:false,&quot;dropping-particle&quot;:&quot;&quot;,&quot;non-dropping-particle&quot;:&quot;&quot;},{&quot;family&quot;:&quot;Drakeley&quot;,&quot;given&quot;:&quot;Chris&quot;,&quot;parse-names&quot;:false,&quot;dropping-particle&quot;:&quot;&quot;,&quot;non-dropping-particle&quot;:&quot;&quot;}],&quot;container-title&quot;:&quot;The Lancet Global Health&quot;,&quot;container-title-short&quot;:&quot;Lancet Glob Health&quot;,&quot;DOI&quot;:&quot;10.1016/S2214-109X(25)00236-0&quot;,&quot;ISSN&quot;:&quot;2214-109X&quot;,&quot;URL&quot;:&quot;https://doi.org/10.1016/S2214-109X(25)00236-0&quot;,&quot;issued&quot;:{&quot;date-parts&quot;:[[2025,9,1]]},&quot;page&quot;:&quot;e1591-e1604&quot;,&quot;publisher&quot;:&quot;Elsevier&quot;,&quot;issue&quot;:&quot;9&quot;,&quot;volume&quot;:&quot;13&quot;},&quot;isTemporary&quot;:false}],&quot;citationTag&quot;:&quot;MENDELEY_CITATION_v3_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&quot;},{&quot;citationID&quot;:&quot;MENDELEY_CITATION_7db90ac9-9624-4a64-b4d9-1c599ce9776d&quot;,&quot;properties&quot;:{&quot;noteIndex&quot;:0},&quot;isEdited&quot;:false,&quot;manualOverride&quot;:{&quot;isManuallyOverridden&quot;:false,&quot;citeprocText&quot;:&quot;(Nelli et al., 2024; Viana et al., 2015)&quot;,&quot;manualOverrideText&quot;:&quot;&quot;},&quot;citationItems&quot;:[{&quot;id&quot;:&quot;d3fce49c-2098-3f49-9b72-2e485eb54acd&quot;,&quot;itemData&quot;:{&quot;type&quot;:&quot;article-journal&quot;,&quot;id&quot;:&quot;d3fce49c-2098-3f49-9b72-2e485eb54acd&quot;,&quot;title&quot;:&quot;Dynamics of a morbillivirus at the domestic–wildlife interface: Canine distemper virus in domestic dogs and lions&quot;,&quot;author&quot;:[{&quot;family&quot;:&quot;Viana&quot;,&quot;given&quot;:&quot;Mafalda&quot;,&quot;parse-names&quot;:false,&quot;dropping-particle&quot;:&quot;&quot;,&quot;non-dropping-particle&quot;:&quot;&quot;},{&quot;family&quot;:&quot;Cleaveland&quot;,&quot;given&quot;:&quot;Sarah&quot;,&quot;parse-names&quot;:false,&quot;dropping-particle&quot;:&quot;&quot;,&quot;non-dropping-particle&quot;:&quot;&quot;},{&quot;family&quot;:&quot;Matthiopoulos&quot;,&quot;given&quot;:&quot;Jason&quot;,&quot;parse-names&quot;:false,&quot;dropping-particle&quot;:&quot;&quot;,&quot;non-dropping-particle&quot;:&quot;&quot;},{&quot;family&quot;:&quot;Halliday&quot;,&quot;given&quot;:&quot;J O&quot;,&quot;parse-names&quot;:false,&quot;dropping-particle&quot;:&quot;&quot;,&quot;non-dropping-particle&quot;:&quot;&quot;},{&quot;family&quot;:&quot;Packer&quot;,&quot;given&quot;:&quot;Craig&quot;,&quot;parse-names&quot;:false,&quot;dropping-particle&quot;:&quot;&quot;,&quot;non-dropping-particle&quot;:&quot;&quot;},{&quot;family&quot;:&quot;Craft&quot;,&quot;given&quot;:&quot;Meggan E&quot;,&quot;parse-names&quot;:false,&quot;dropping-particle&quot;:&quot;&quot;,&quot;non-dropping-particle&quot;:&quot;&quot;},{&quot;family&quot;:&quot;Hampson&quot;,&quot;given&quot;:&quot;Katie&quot;,&quot;parse-names&quot;:false,&quot;dropping-particle&quot;:&quot;&quot;,&quot;non-dropping-particle&quot;:&quot;&quot;},{&quot;family&quot;:&quot;Czupryna&quot;,&quot;given&quot;:&quot;Anna&quot;,&quot;parse-names&quot;:false,&quot;dropping-particle&quot;:&quot;&quot;,&quot;non-dropping-particle&quot;:&quot;&quot;},{&quot;family&quot;:&quot;Dobson&quot;,&quot;given&quot;:&quot;Andrew P&quot;,&quot;parse-names&quot;:false,&quot;dropping-particle&quot;:&quot;&quot;,&quot;non-dropping-particle&quot;:&quot;&quot;},{&quot;family&quot;:&quot;Dubovi&quot;,&quot;given&quot;:&quot;Edward J&quot;,&quot;parse-names&quot;:false,&quot;dropping-particle&quot;:&quot;&quot;,&quot;non-dropping-particle&quot;:&quot;&quot;}],&quot;container-title&quot;:&quot;Proceedings of the National Academy of Sciences&quot;,&quot;ISSN&quot;:&quot;0027-8424&quot;,&quot;issued&quot;:{&quot;date-parts&quot;:[[2015]]},&quot;page&quot;:&quot;1464-1469&quot;,&quot;publisher&quot;:&quot;National Academy of Sciences&quot;,&quot;issue&quot;:&quot;5&quot;,&quot;volume&quot;:&quot;112&quot;,&quot;container-title-short&quot;:&quot;&quot;},&quot;isTemporary&quot;:false},{&quot;id&quot;:&quot;0d8b6317-e7c2-3835-a147-06a7beb1dfef&quot;,&quot;itemData&quot;:{&quot;type&quot;:&quot;article-journal&quot;,&quot;id&quot;:&quot;0d8b6317-e7c2-3835-a147-06a7beb1dfef&quot;,&quot;title&quot;:&quot;Freedom from infection: enhancing decision-making for malaria elimination&quot;,&quot;author&quot;:[{&quot;family&quot;:&quot;Nelli&quot;,&quot;given&quot;:&quot;Luca&quot;,&quot;parse-names&quot;:false,&quot;dropping-particle&quot;:&quot;&quot;,&quot;non-dropping-particle&quot;:&quot;&quot;},{&quot;family&quot;:&quot;Surendra&quot;,&quot;given&quot;:&quot;Henry&quot;,&quot;parse-names&quot;:false,&quot;dropping-particle&quot;:&quot;&quot;,&quot;non-dropping-particle&quot;:&quot;&quot;},{&quot;family&quot;:&quot;Byrne&quot;,&quot;given&quot;:&quot;Isabel&quot;,&quot;parse-names&quot;:false,&quot;dropping-particle&quot;:&quot;&quot;,&quot;non-dropping-particle&quot;:&quot;&quot;},{&quot;family&quot;:&quot;Ahmad&quot;,&quot;given&quot;:&quot;Riris Andono&quot;,&quot;parse-names&quot;:false,&quot;dropping-particle&quot;:&quot;&quot;,&quot;non-dropping-particle&quot;:&quot;&quot;},{&quot;family&quot;:&quot;Arisanti&quot;,&quot;given&quot;:&quot;Risalia Reni&quot;,&quot;parse-names&quot;:false,&quot;dropping-particle&quot;:&quot;&quot;,&quot;non-dropping-particle&quot;:&quot;&quot;},{&quot;family&quot;:&quot;Lesmanawati&quot;,&quot;given&quot;:&quot;Dyah A S&quot;,&quot;parse-names&quot;:false,&quot;dropping-particle&quot;:&quot;&quot;,&quot;non-dropping-particle&quot;:&quot;&quot;},{&quot;family&quot;:&quot;Elyazar&quot;,&quot;given&quot;:&quot;Iqbal R F&quot;,&quot;parse-names&quot;:false,&quot;dropping-particle&quot;:&quot;&quot;,&quot;non-dropping-particle&quot;:&quot;&quot;},{&quot;family&quot;:&quot;Dumont&quot;,&quot;given&quot;:&quot;Elin&quot;,&quot;parse-names&quot;:false,&quot;dropping-particle&quot;:&quot;&quot;,&quot;non-dropping-particle&quot;:&quot;&quot;},{&quot;family&quot;:&quot;Wu&quot;,&quot;given&quot;:&quot;Lindsey&quot;,&quot;parse-names&quot;:false,&quot;dropping-particle&quot;:&quot;&quot;,&quot;non-dropping-particle&quot;:&quot;&quot;},{&quot;family&quot;:&quot;Drakeley&quot;,&quot;given&quot;:&quot;Chris&quot;,&quot;parse-names&quot;:false,&quot;dropping-particle&quot;:&quot;&quot;,&quot;non-dropping-particle&quot;:&quot;&quot;},{&quot;family&quot;:&quot;Matthiopoulos&quot;,&quot;given&quot;:&quot;Jason&quot;,&quot;parse-names&quot;:false,&quot;dropping-particle&quot;:&quot;&quot;,&quot;non-dropping-particle&quot;:&quot;&quot;},{&quot;family&quot;:&quot;Stresman&quot;,&quot;given&quot;:&quot;Gillian&quot;,&quot;parse-names&quot;:false,&quot;dropping-particle&quot;:&quot;&quot;,&quot;non-dropping-particle&quot;:&quot;&quot;}],&quot;container-title&quot;:&quot;BMJ Global Health&quot;,&quot;container-title-short&quot;:&quot;BMJ Glob Health&quot;,&quot;DOI&quot;:&quot;10.1136/bmjgh-2023-014412&quot;,&quot;URL&quot;:&quot;https://ghsite-bmj.vercel.app/content/9/12/e014412&quot;,&quot;issued&quot;:{&quot;date-parts&quot;:[[2024,12,7]]},&quot;page&quot;:&quot;e014412&quot;,&quot;abstract&quot;:&quot;Assessing elimination of malaria locally requires a surveillance system with high sensitivity and specificity to detect its presence without ambiguity. Currently, the WHO standard criteria of observing the absence of locally acquired cases for 3 consecutive years, combined with a health systems assessment, are used to justify claims of malaria elimination. However, relying on a qualitative framework to support the application of this guideline can lead to early, over-optimistic relaxation of control measures with the potential for resurgence. Overcoming this challenge requires innovative approaches to model the coupled processes of malaria transmission and its clinical observation.We propose a novel statistical framework based on a state-space model to probabilistically demonstrate the absence of malaria, using routinely collected health system data (which is extensive but inherently imperfect). By simultaneously modelling the expected malaria burden within the population and the probability of detection, we provide a robust estimate of the surveillance system’s sensitivity and the corresponding probability of local elimination (probability of freedom from infection).Our study reveals a critical limitation of the traditional criterion for declaring malaria elimination, highlighting its inherent bias and potential for misinterpreting ongoing transmission. Such oversight not only misrepresents ongoing transmission but also places communities at risk for larger outbreaks. However, we demonstrate that our integrated approach to data comprehensively addresses this issue, effectively detecting ongoing transmission patterns, even when local reports might suggest otherwise.Our integrated framework has far-reaching implications for malaria control but also for infectious disease control in general. Our approach addresses the limitations of traditional criteria for declaring freedom from disease and opens the path to true optimisation of the allocation of limited resources. Our findings emphasise the urgent need to reassess existing methods to accurately confirm malaria elimination, and the importance of using comprehensive modelling techniques to continually monitor and maintain the effectiveness of current surveillance systems, enabling decisions grounded in quantitative evidence.&quot;,&quot;issue&quot;:&quot;12&quot;,&quot;volume&quot;:&quot;9&quot;},&quot;isTemporary&quot;:false}],&quot;citationTag&quot;:&quot;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&quot;},{&quot;citationID&quot;:&quot;MENDELEY_CITATION_e9094077-786f-4e08-adfb-5aa853d2081b&quot;,&quot;properties&quot;:{&quot;noteIndex&quot;:0},&quot;isEdited&quot;:false,&quot;manualOverride&quot;:{&quot;isManuallyOverridden&quot;:true,&quot;citeprocText&quot;:&quot;(Nelli et al., 2024)&quot;,&quot;manualOverrideText&quot;:&quot;(Nelli et al., 2024&quot;},&quot;citationItems&quot;:[{&quot;id&quot;:&quot;0d8b6317-e7c2-3835-a147-06a7beb1dfef&quot;,&quot;itemData&quot;:{&quot;type&quot;:&quot;article-journal&quot;,&quot;id&quot;:&quot;0d8b6317-e7c2-3835-a147-06a7beb1dfef&quot;,&quot;title&quot;:&quot;Freedom from infection: enhancing decision-making for malaria elimination&quot;,&quot;author&quot;:[{&quot;family&quot;:&quot;Nelli&quot;,&quot;given&quot;:&quot;Luca&quot;,&quot;parse-names&quot;:false,&quot;dropping-particle&quot;:&quot;&quot;,&quot;non-dropping-particle&quot;:&quot;&quot;},{&quot;family&quot;:&quot;Surendra&quot;,&quot;given&quot;:&quot;Henry&quot;,&quot;parse-names&quot;:false,&quot;dropping-particle&quot;:&quot;&quot;,&quot;non-dropping-particle&quot;:&quot;&quot;},{&quot;family&quot;:&quot;Byrne&quot;,&quot;given&quot;:&quot;Isabel&quot;,&quot;parse-names&quot;:false,&quot;dropping-particle&quot;:&quot;&quot;,&quot;non-dropping-particle&quot;:&quot;&quot;},{&quot;family&quot;:&quot;Ahmad&quot;,&quot;given&quot;:&quot;Riris Andono&quot;,&quot;parse-names&quot;:false,&quot;dropping-particle&quot;:&quot;&quot;,&quot;non-dropping-particle&quot;:&quot;&quot;},{&quot;family&quot;:&quot;Arisanti&quot;,&quot;given&quot;:&quot;Risalia Reni&quot;,&quot;parse-names&quot;:false,&quot;dropping-particle&quot;:&quot;&quot;,&quot;non-dropping-particle&quot;:&quot;&quot;},{&quot;family&quot;:&quot;Lesmanawati&quot;,&quot;given&quot;:&quot;Dyah A S&quot;,&quot;parse-names&quot;:false,&quot;dropping-particle&quot;:&quot;&quot;,&quot;non-dropping-particle&quot;:&quot;&quot;},{&quot;family&quot;:&quot;Elyazar&quot;,&quot;given&quot;:&quot;Iqbal R F&quot;,&quot;parse-names&quot;:false,&quot;dropping-particle&quot;:&quot;&quot;,&quot;non-dropping-particle&quot;:&quot;&quot;},{&quot;family&quot;:&quot;Dumont&quot;,&quot;given&quot;:&quot;Elin&quot;,&quot;parse-names&quot;:false,&quot;dropping-particle&quot;:&quot;&quot;,&quot;non-dropping-particle&quot;:&quot;&quot;},{&quot;family&quot;:&quot;Wu&quot;,&quot;given&quot;:&quot;Lindsey&quot;,&quot;parse-names&quot;:false,&quot;dropping-particle&quot;:&quot;&quot;,&quot;non-dropping-particle&quot;:&quot;&quot;},{&quot;family&quot;:&quot;Drakeley&quot;,&quot;given&quot;:&quot;Chris&quot;,&quot;parse-names&quot;:false,&quot;dropping-particle&quot;:&quot;&quot;,&quot;non-dropping-particle&quot;:&quot;&quot;},{&quot;family&quot;:&quot;Matthiopoulos&quot;,&quot;given&quot;:&quot;Jason&quot;,&quot;parse-names&quot;:false,&quot;dropping-particle&quot;:&quot;&quot;,&quot;non-dropping-particle&quot;:&quot;&quot;},{&quot;family&quot;:&quot;Stresman&quot;,&quot;given&quot;:&quot;Gillian&quot;,&quot;parse-names&quot;:false,&quot;dropping-particle&quot;:&quot;&quot;,&quot;non-dropping-particle&quot;:&quot;&quot;}],&quot;container-title&quot;:&quot;BMJ Global Health&quot;,&quot;container-title-short&quot;:&quot;BMJ Glob Health&quot;,&quot;DOI&quot;:&quot;10.1136/bmjgh-2023-014412&quot;,&quot;URL&quot;:&quot;https://ghsite-bmj.vercel.app/content/9/12/e014412&quot;,&quot;issued&quot;:{&quot;date-parts&quot;:[[2024,12,7]]},&quot;page&quot;:&quot;e014412&quot;,&quot;abstract&quot;:&quot;Assessing elimination of malaria locally requires a surveillance system with high sensitivity and specificity to detect its presence without ambiguity. Currently, the WHO standard criteria of observing the absence of locally acquired cases for 3 consecutive years, combined with a health systems assessment, are used to justify claims of malaria elimination. However, relying on a qualitative framework to support the application of this guideline can lead to early, over-optimistic relaxation of control measures with the potential for resurgence. Overcoming this challenge requires innovative approaches to model the coupled processes of malaria transmission and its clinical observation.We propose a novel statistical framework based on a state-space model to probabilistically demonstrate the absence of malaria, using routinely collected health system data (which is extensive but inherently imperfect). By simultaneously modelling the expected malaria burden within the population and the probability of detection, we provide a robust estimate of the surveillance system’s sensitivity and the corresponding probability of local elimination (probability of freedom from infection).Our study reveals a critical limitation of the traditional criterion for declaring malaria elimination, highlighting its inherent bias and potential for misinterpreting ongoing transmission. Such oversight not only misrepresents ongoing transmission but also places communities at risk for larger outbreaks. However, we demonstrate that our integrated approach to data comprehensively addresses this issue, effectively detecting ongoing transmission patterns, even when local reports might suggest otherwise.Our integrated framework has far-reaching implications for malaria control but also for infectious disease control in general. Our approach addresses the limitations of traditional criteria for declaring freedom from disease and opens the path to true optimisation of the allocation of limited resources. Our findings emphasise the urgent need to reassess existing methods to accurately confirm malaria elimination, and the importance of using comprehensive modelling techniques to continually monitor and maintain the effectiveness of current surveillance systems, enabling decisions grounded in quantitative evidence.&quot;,&quot;issue&quot;:&quot;12&quot;,&quot;volume&quot;:&quot;9&quot;},&quot;isTemporary&quot;:false}],&quot;citationTag&quot;:&quot;MENDELEY_CITATION_v3_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&quot;},{&quot;citationID&quot;:&quot;MENDELEY_CITATION_0550f607-a11e-4fe6-b4a1-d5ef9813ce4a&quot;,&quot;properties&quot;:{&quot;noteIndex&quot;:0},&quot;isEdited&quot;:false,&quot;manualOverride&quot;:{&quot;isManuallyOverridden&quot;:true,&quot;citeprocText&quot;:&quot;(Stresman et al., 2025)&quot;,&quot;manualOverrideText&quot;:&quot;Stresman et al., 2025)&quot;},&quot;citationItems&quot;:[{&quot;id&quot;:&quot;53f66ac4-eb0a-3b07-809a-a7ec9140eed5&quot;,&quot;itemData&quot;:{&quot;type&quot;:&quot;article-journal&quot;,&quot;id&quot;:&quot;53f66ac4-eb0a-3b07-809a-a7ec9140eed5&quot;,&quot;title&quot;:&quot;Evidence-based decision making for malaria elimination applying the Freedom From Infection statistical framework in five malaria eliminating countries: an observational study&quot;,&quot;author&quot;:[{&quot;family&quot;:&quot;Stresman&quot;,&quot;given&quot;:&quot;Gillian&quot;,&quot;parse-names&quot;:false,&quot;dropping-particle&quot;:&quot;&quot;,&quot;non-dropping-particle&quot;:&quot;&quot;},{&quot;family&quot;:&quot;Nelli&quot;,&quot;given&quot;:&quot;Luca&quot;,&quot;parse-names&quot;:false,&quot;dropping-particle&quot;:&quot;&quot;,&quot;non-dropping-particle&quot;:&quot;&quot;},{&quot;family&quot;:&quot;Wu&quot;,&quot;given&quot;:&quot;Lindsey&quot;,&quot;parse-names&quot;:false,&quot;dropping-particle&quot;:&quot;&quot;,&quot;non-dropping-particle&quot;:&quot;&quot;},{&quot;family&quot;:&quot;Byrne&quot;,&quot;given&quot;:&quot;Isabel&quot;,&quot;parse-names&quot;:false,&quot;dropping-particle&quot;:&quot;&quot;,&quot;non-dropping-particle&quot;:&quot;&quot;},{&quot;family&quot;:&quot;Surendra&quot;,&quot;given&quot;:&quot;Henry&quot;,&quot;parse-names&quot;:false,&quot;dropping-particle&quot;:&quot;&quot;,&quot;non-dropping-particle&quot;:&quot;&quot;},{&quot;family&quot;:&quot;Fernandez-Camacho&quot;,&quot;given&quot;:&quot;Bryan&quot;,&quot;parse-names&quot;:false,&quot;dropping-particle&quot;:&quot;&quot;,&quot;non-dropping-particle&quot;:&quot;&quot;},{&quot;family&quot;:&quot;Ruiz-Cabrejos&quot;,&quot;given&quot;:&quot;Jorge&quot;,&quot;parse-names&quot;:false,&quot;dropping-particle&quot;:&quot;&quot;,&quot;non-dropping-particle&quot;:&quot;&quot;},{&quot;family&quot;:&quot;Arana&quot;,&quot;given&quot;:&quot;Lucia Bartolini&quot;,&quot;parse-names&quot;:false,&quot;dropping-particle&quot;:&quot;&quot;,&quot;non-dropping-particle&quot;:&quot;&quot;},{&quot;family&quot;:&quot;Gonçalves&quot;,&quot;given&quot;:&quot;Adéritow Augusto Lopes Macedo&quot;,&quot;parse-names&quot;:false,&quot;dropping-particle&quot;:&quot;&quot;,&quot;non-dropping-particle&quot;:&quot;&quot;},{&quot;family&quot;:&quot;Monteiro&quot;,&quot;given&quot;:&quot;Davidson Daniel Sousa Rocha&quot;,&quot;parse-names&quot;:false,&quot;dropping-particle&quot;:&quot;&quot;,&quot;non-dropping-particle&quot;:&quot;&quot;},{&quot;family&quot;:&quot;Desir&quot;,&quot;given&quot;:&quot;Luccene&quot;,&quot;parse-names&quot;:false,&quot;dropping-particle&quot;:&quot;&quot;,&quot;non-dropping-particle&quot;:&quot;&quot;},{&quot;family&quot;:&quot;Ureña&quot;,&quot;given&quot;:&quot;Keyla&quot;,&quot;parse-names&quot;:false,&quot;dropping-particle&quot;:&quot;&quot;,&quot;non-dropping-particle&quot;:&quot;&quot;},{&quot;family&quot;:&quot;Tejada Beato&quot;,&quot;given&quot;:&quot;Manuel de Jesus&quot;,&quot;parse-names&quot;:false,&quot;dropping-particle&quot;:&quot;&quot;,&quot;non-dropping-particle&quot;:&quot;&quot;},{&quot;family&quot;:&quot;Dumont&quot;,&quot;given&quot;:&quot;Elin&quot;,&quot;parse-names&quot;:false,&quot;dropping-particle&quot;:&quot;&quot;,&quot;non-dropping-particle&quot;:&quot;&quot;},{&quot;family&quot;:&quot;Hill&quot;,&quot;given&quot;:&quot;Monica&quot;,&quot;parse-names&quot;:false,&quot;dropping-particle&quot;:&quot;&quot;,&quot;non-dropping-particle&quot;:&quot;&quot;},{&quot;family&quot;:&quot;Grignard&quot;,&quot;given&quot;:&quot;Lynn&quot;,&quot;parse-names&quot;:false,&quot;dropping-particle&quot;:&quot;&quot;,&quot;non-dropping-particle&quot;:&quot;&quot;},{&quot;family&quot;:&quot;Elechosa&quot;,&quot;given&quot;:&quot;Sabrina&quot;,&quot;parse-names&quot;:false,&quot;dropping-particle&quot;:&quot;&quot;,&quot;non-dropping-particle&quot;:&quot;&quot;},{&quot;family&quot;:&quot;Bunagan&quot;,&quot;given&quot;:&quot;Raymart&quot;,&quot;parse-names&quot;:false,&quot;dropping-particle&quot;:&quot;&quot;,&quot;non-dropping-particle&quot;:&quot;&quot;},{&quot;family&quot;:&quot;Xuan Thang&quot;,&quot;given&quot;:&quot;Nguyen&quot;,&quot;parse-names&quot;:false,&quot;dropping-particle&quot;:&quot;&quot;,&quot;non-dropping-particle&quot;:&quot;&quot;},{&quot;family&quot;:&quot;Huong Binh&quot;,&quot;given&quot;:&quot;Nguyen Thi&quot;,&quot;parse-names&quot;:false,&quot;dropping-particle&quot;:&quot;&quot;,&quot;non-dropping-particle&quot;:&quot;&quot;},{&quot;family&quot;:&quot;Hong Ngoc&quot;,&quot;given&quot;:&quot;Nguyen Thi&quot;,&quot;parse-names&quot;:false,&quot;dropping-particle&quot;:&quot;&quot;,&quot;non-dropping-particle&quot;:&quot;&quot;},{&quot;family&quot;:&quot;Tetteh&quot;,&quot;given&quot;:&quot;Kevin K A&quot;,&quot;parse-names&quot;:false,&quot;dropping-particle&quot;:&quot;&quot;,&quot;non-dropping-particle&quot;:&quot;&quot;},{&quot;family&quot;:&quot;Noland&quot;,&quot;given&quot;:&quot;Gregory S&quot;,&quot;parse-names&quot;:false,&quot;dropping-particle&quot;:&quot;&quot;,&quot;non-dropping-particle&quot;:&quot;&quot;},{&quot;family&quot;:&quot;Hamre&quot;,&quot;given&quot;:&quot;Karen E S&quot;,&quot;parse-names&quot;:false,&quot;dropping-particle&quot;:&quot;&quot;,&quot;non-dropping-particle&quot;:&quot;&quot;},{&quot;family&quot;:&quot;Veiga Leal&quot;,&quot;given&quot;:&quot;Silvânia&quot;,&quot;parse-names&quot;:false,&quot;dropping-particle&quot;:&quot;&quot;,&quot;non-dropping-particle&quot;:&quot;da&quot;},{&quot;family&quot;:&quot;DePina&quot;,&quot;given&quot;:&quot;Adilson&quot;,&quot;parse-names&quot;:false,&quot;dropping-particle&quot;:&quot;&quot;,&quot;non-dropping-particle&quot;:&quot;&quot;},{&quot;family&quot;:&quot;Thang&quot;,&quot;given&quot;:&quot;Ngo&quot;,&quot;parse-names&quot;:false,&quot;dropping-particle&quot;:&quot;&quot;,&quot;non-dropping-particle&quot;:&quot;&quot;},{&quot;family&quot;:&quot;Espino&quot;,&quot;given&quot;:&quot;Fe Esperanza&quot;,&quot;parse-names&quot;:false,&quot;dropping-particle&quot;:&quot;&quot;,&quot;non-dropping-particle&quot;:&quot;&quot;},{&quot;family&quot;:&quot;Carrasco-Escobar&quot;,&quot;given&quot;:&quot;Gabriel&quot;,&quot;parse-names&quot;:false,&quot;dropping-particle&quot;:&quot;&quot;,&quot;non-dropping-particle&quot;:&quot;&quot;},{&quot;family&quot;:&quot;Matthiopoulos&quot;,&quot;given&quot;:&quot;Jason&quot;,&quot;parse-names&quot;:false,&quot;dropping-particle&quot;:&quot;&quot;,&quot;non-dropping-particle&quot;:&quot;&quot;},{&quot;family&quot;:&quot;Drakeley&quot;,&quot;given&quot;:&quot;Chris&quot;,&quot;parse-names&quot;:false,&quot;dropping-particle&quot;:&quot;&quot;,&quot;non-dropping-particle&quot;:&quot;&quot;}],&quot;container-title&quot;:&quot;The Lancet Global Health&quot;,&quot;container-title-short&quot;:&quot;Lancet Glob Health&quot;,&quot;DOI&quot;:&quot;10.1016/S2214-109X(25)00236-0&quot;,&quot;ISSN&quot;:&quot;2214-109X&quot;,&quot;URL&quot;:&quot;https://doi.org/10.1016/S2214-109X(25)00236-0&quot;,&quot;issued&quot;:{&quot;date-parts&quot;:[[2025,9,1]]},&quot;page&quot;:&quot;e1591-e1604&quot;,&quot;publisher&quot;:&quot;Elsevier&quot;,&quot;issue&quot;:&quot;9&quot;,&quot;volume&quot;:&quot;13&quot;},&quot;isTemporary&quot;:false}],&quot;citationTag&quot;:&quot;MENDELEY_CITATION_v3_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715DF-9233-4A94-8B10-C1C5314B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2660</Words>
  <Characters>15163</Characters>
  <Application>Microsoft Office Word</Application>
  <DocSecurity>0</DocSecurity>
  <Lines>126</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Stresman</dc:creator>
  <cp:keywords/>
  <dc:description/>
  <cp:lastModifiedBy>Luca Nelli</cp:lastModifiedBy>
  <cp:revision>9</cp:revision>
  <dcterms:created xsi:type="dcterms:W3CDTF">2026-05-29T13:09:00Z</dcterms:created>
  <dcterms:modified xsi:type="dcterms:W3CDTF">2026-05-29T23:37:00Z</dcterms:modified>
</cp:coreProperties>
</file>