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5D0CF" w14:textId="77777777" w:rsidR="00630B5C" w:rsidRDefault="00000000">
      <w:pPr>
        <w:spacing w:after="160"/>
        <w:jc w:val="center"/>
      </w:pPr>
      <w:r>
        <w:rPr>
          <w:b/>
          <w:bCs/>
          <w:color w:val="1A252F"/>
          <w:sz w:val="30"/>
          <w:szCs w:val="30"/>
        </w:rPr>
        <w:t>Supplementary Material</w:t>
      </w:r>
    </w:p>
    <w:p w14:paraId="02784755" w14:textId="77777777" w:rsidR="00630B5C" w:rsidRDefault="00000000">
      <w:pPr>
        <w:spacing w:after="80"/>
        <w:jc w:val="center"/>
      </w:pPr>
      <w:r>
        <w:rPr>
          <w:b/>
          <w:bCs/>
          <w:color w:val="2C3E50"/>
          <w:sz w:val="22"/>
          <w:szCs w:val="22"/>
        </w:rPr>
        <w:t>Construct Validation Documentation: Sustainable Teaching Efficacy (STE) Subscale</w:t>
      </w:r>
    </w:p>
    <w:p w14:paraId="5B5528D9" w14:textId="77777777" w:rsidR="00630B5C" w:rsidRDefault="00000000">
      <w:pPr>
        <w:spacing w:after="80"/>
        <w:jc w:val="center"/>
      </w:pPr>
      <w:r>
        <w:rPr>
          <w:i/>
          <w:iCs/>
          <w:color w:val="555555"/>
          <w:sz w:val="19"/>
          <w:szCs w:val="19"/>
        </w:rPr>
        <w:t>Manuscript: Human–AI Interaction and Sustainable Teacher Education</w:t>
      </w:r>
    </w:p>
    <w:p w14:paraId="6D0CE3AD" w14:textId="77777777" w:rsidR="00630B5C" w:rsidRDefault="00000000">
      <w:pPr>
        <w:spacing w:after="80"/>
        <w:jc w:val="center"/>
      </w:pPr>
      <w:r>
        <w:rPr>
          <w:color w:val="555555"/>
          <w:sz w:val="19"/>
          <w:szCs w:val="19"/>
        </w:rPr>
        <w:t>Discover Education — Special Issue Submission</w:t>
      </w:r>
    </w:p>
    <w:p w14:paraId="22874256" w14:textId="77777777" w:rsidR="00630B5C" w:rsidRDefault="00000000">
      <w:pPr>
        <w:spacing w:after="280"/>
        <w:jc w:val="center"/>
      </w:pPr>
      <w:r>
        <w:rPr>
          <w:color w:val="555555"/>
          <w:sz w:val="19"/>
          <w:szCs w:val="19"/>
        </w:rPr>
        <w:t xml:space="preserve">Author: Stephen Kwakye </w:t>
      </w:r>
      <w:proofErr w:type="spellStart"/>
      <w:r>
        <w:rPr>
          <w:color w:val="555555"/>
          <w:sz w:val="19"/>
          <w:szCs w:val="19"/>
        </w:rPr>
        <w:t>Apau</w:t>
      </w:r>
      <w:proofErr w:type="spellEnd"/>
      <w:r>
        <w:rPr>
          <w:color w:val="555555"/>
          <w:sz w:val="19"/>
          <w:szCs w:val="19"/>
        </w:rPr>
        <w:t xml:space="preserve"> | University of Education, Winneba, Ghana</w:t>
      </w:r>
    </w:p>
    <w:p w14:paraId="3A0892AB" w14:textId="77777777" w:rsidR="00630B5C" w:rsidRDefault="00630B5C">
      <w:pPr>
        <w:pBdr>
          <w:bottom w:val="single" w:sz="6" w:space="0" w:color="2C3E50"/>
        </w:pBdr>
        <w:spacing w:before="160" w:after="160"/>
      </w:pPr>
    </w:p>
    <w:p w14:paraId="75EF7126" w14:textId="77777777" w:rsidR="00630B5C" w:rsidRDefault="00000000">
      <w:pPr>
        <w:pStyle w:val="Heading1"/>
      </w:pPr>
      <w:r>
        <w:t>1. Purpose of This Supplementary Document</w:t>
      </w:r>
    </w:p>
    <w:p w14:paraId="7DD4C67F" w14:textId="77777777" w:rsidR="00630B5C" w:rsidRDefault="00000000">
      <w:pPr>
        <w:spacing w:before="80" w:after="80" w:line="276" w:lineRule="auto"/>
        <w:jc w:val="both"/>
      </w:pPr>
      <w:r>
        <w:t xml:space="preserve">This document provides supporting construct validation evidence for the Sustainable Teaching Efficacy (STE) subscale — one of four subscales in the GAISRL-HOTS Scale. Because STE integrates technology-equity dimensions not present in its parent instrument (the Teachers' Sense of Efficacy Scale, TSES; </w:t>
      </w:r>
      <w:proofErr w:type="spellStart"/>
      <w:r>
        <w:t>Tschannen</w:t>
      </w:r>
      <w:proofErr w:type="spellEnd"/>
      <w:r>
        <w:t>-Moran &amp; Hoy, 2001), it represents a theoretically grounded adaptation. This document provides: (1) the theoretical rationale for the adaptation, (2) the content validity process and results, (3) pilot reliability statistics, and (4) main study confirmatory measurement quality.</w:t>
      </w:r>
    </w:p>
    <w:p w14:paraId="66CFF48A" w14:textId="77777777" w:rsidR="00630B5C" w:rsidRDefault="00000000">
      <w:pPr>
        <w:pStyle w:val="Heading1"/>
      </w:pPr>
      <w:r>
        <w:t>2. Theoretical Rationale for the STE Adaptation</w:t>
      </w:r>
    </w:p>
    <w:p w14:paraId="52E53C75" w14:textId="77777777" w:rsidR="00630B5C" w:rsidRDefault="00000000">
      <w:pPr>
        <w:spacing w:before="80" w:after="80" w:line="276" w:lineRule="auto"/>
        <w:jc w:val="both"/>
      </w:pPr>
      <w:r>
        <w:t>The TSES (</w:t>
      </w:r>
      <w:proofErr w:type="spellStart"/>
      <w:r>
        <w:t>Tschannen</w:t>
      </w:r>
      <w:proofErr w:type="spellEnd"/>
      <w:r>
        <w:t>-Moran &amp; Hoy, 2001) is the most widely validated measure of teacher self-efficacy, demonstrating strong psychometric properties across multiple national contexts (Klassen et al., 2011). Its three dimensions — instructional strategies, classroom management, and student engagement — capture the professional confidence that Bandura's (1997) social cognitive theory identifies as central to adaptive teaching behaviour.</w:t>
      </w:r>
    </w:p>
    <w:p w14:paraId="3F4D24AD" w14:textId="77777777" w:rsidR="00630B5C" w:rsidRDefault="00000000">
      <w:pPr>
        <w:spacing w:before="80" w:after="80" w:line="276" w:lineRule="auto"/>
        <w:jc w:val="both"/>
      </w:pPr>
      <w:r>
        <w:t>However, the TSES predates the mainstreaming of AI-integrated pedagogy and does not include items assessing confidence in technology-equity-oriented or SDG-aligned instruction — competencies now central to sustainable teacher education policy (UNESCO, 2021; NTC, 2022). Two adaptations were made:</w:t>
      </w:r>
    </w:p>
    <w:p w14:paraId="0D84E854" w14:textId="77777777" w:rsidR="00630B5C" w:rsidRDefault="00000000">
      <w:pPr>
        <w:spacing w:before="80" w:after="80" w:line="276" w:lineRule="auto"/>
        <w:jc w:val="both"/>
      </w:pPr>
      <w:r>
        <w:t xml:space="preserve">First, </w:t>
      </w:r>
      <w:r>
        <w:rPr>
          <w:i/>
          <w:iCs/>
        </w:rPr>
        <w:t>contextual reframing</w:t>
      </w:r>
      <w:r>
        <w:t xml:space="preserve">: the three TSES dimensions were retained and reworded to situate efficacy beliefs within technology-integrated and </w:t>
      </w:r>
      <w:proofErr w:type="spellStart"/>
      <w:r>
        <w:t>GenAI</w:t>
      </w:r>
      <w:proofErr w:type="spellEnd"/>
      <w:r>
        <w:t>-mediated teaching contexts, preserving the original construct logic while extending it to AI-mediated practice.</w:t>
      </w:r>
    </w:p>
    <w:p w14:paraId="3ED18C13" w14:textId="77777777" w:rsidR="00630B5C" w:rsidRDefault="00000000">
      <w:pPr>
        <w:spacing w:before="80" w:after="80" w:line="276" w:lineRule="auto"/>
        <w:jc w:val="both"/>
      </w:pPr>
      <w:r>
        <w:t xml:space="preserve">Second, </w:t>
      </w:r>
      <w:r>
        <w:rPr>
          <w:i/>
          <w:iCs/>
        </w:rPr>
        <w:t>technology-equity augmentation</w:t>
      </w:r>
      <w:r>
        <w:t>: two items were added to capture confidence in designing inclusive, equity-oriented digital environments aligned with SDG 4.5, drawn from UNESCO (2021) AI in Education competency guidance. These items extend the TSES rather than replacing it — the validated three-factor structure is preserved and the new items constitute a fourth, technology-equity facet.</w:t>
      </w:r>
    </w:p>
    <w:p w14:paraId="07F7792A" w14:textId="77777777" w:rsidR="00630B5C" w:rsidRDefault="00000000">
      <w:pPr>
        <w:pStyle w:val="Heading1"/>
      </w:pPr>
      <w:r>
        <w:t>3. Content Validity Process</w:t>
      </w:r>
    </w:p>
    <w:p w14:paraId="3BF005F1" w14:textId="77777777" w:rsidR="00630B5C" w:rsidRDefault="00000000">
      <w:pPr>
        <w:spacing w:before="80" w:after="80" w:line="276" w:lineRule="auto"/>
        <w:jc w:val="both"/>
      </w:pPr>
      <w:r>
        <w:t>Content validity was established using the Content Validity Index (CVI) procedure recommended by Polit and Beck (2006). An eight-expert panel (four educational technology researchers and four teacher educators) independently rated each STE item on a four-point relevance scale (1 = not relevant; 4 = highly relevant). Items with item-level CVI (I-CVI) below .80 were revised and resubmitted. The scale-level CVI (S-CVI/Ave) was computed as the mean I-CVI across all retained items.</w:t>
      </w:r>
    </w:p>
    <w:p w14:paraId="0220C58C" w14:textId="77777777" w:rsidR="00630B5C" w:rsidRDefault="00000000">
      <w:pPr>
        <w:spacing w:before="200" w:after="40"/>
      </w:pPr>
      <w:r>
        <w:rPr>
          <w:b/>
          <w:bCs/>
        </w:rPr>
        <w:t>Table S1</w:t>
      </w:r>
    </w:p>
    <w:p w14:paraId="3E473AEA" w14:textId="77777777" w:rsidR="00630B5C" w:rsidRDefault="00000000">
      <w:pPr>
        <w:spacing w:after="80"/>
      </w:pPr>
      <w:r>
        <w:rPr>
          <w:i/>
          <w:iCs/>
        </w:rPr>
        <w:t>Content Validity Indices for the STE Subscale (N = 8 Expert Raters)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6"/>
        <w:gridCol w:w="1243"/>
        <w:gridCol w:w="1120"/>
        <w:gridCol w:w="1735"/>
        <w:gridCol w:w="896"/>
      </w:tblGrid>
      <w:tr w:rsidR="00630B5C" w14:paraId="290614D1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ABFF8C" w14:textId="77777777" w:rsidR="00630B5C" w:rsidRDefault="00000000">
            <w:r>
              <w:rPr>
                <w:b/>
                <w:bCs/>
                <w:color w:val="FFFFFF"/>
                <w:sz w:val="18"/>
                <w:szCs w:val="18"/>
              </w:rPr>
              <w:t>STE Dimension / Item</w:t>
            </w:r>
          </w:p>
        </w:tc>
        <w:tc>
          <w:tcPr>
            <w:tcW w:w="111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7774DA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I-CVI R1</w:t>
            </w:r>
          </w:p>
        </w:tc>
        <w:tc>
          <w:tcPr>
            <w:tcW w:w="10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CAA49D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Revised</w:t>
            </w:r>
          </w:p>
        </w:tc>
        <w:tc>
          <w:tcPr>
            <w:tcW w:w="155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19F793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I-CVI Final</w:t>
            </w:r>
          </w:p>
        </w:tc>
        <w:tc>
          <w:tcPr>
            <w:tcW w:w="8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3B8263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Retain</w:t>
            </w:r>
          </w:p>
        </w:tc>
      </w:tr>
      <w:tr w:rsidR="00630B5C" w14:paraId="5504E9E6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5958FC" w14:textId="77777777" w:rsidR="00630B5C" w:rsidRDefault="00000000"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Instructional Strategies — adapted from TSES (3 items)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B7AB31" w14:textId="77777777" w:rsidR="00630B5C" w:rsidRDefault="00630B5C">
            <w:pPr>
              <w:jc w:val="center"/>
            </w:pP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2F4300" w14:textId="77777777" w:rsidR="00630B5C" w:rsidRDefault="00630B5C">
            <w:pPr>
              <w:jc w:val="center"/>
            </w:pP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2A4CCA" w14:textId="77777777" w:rsidR="00630B5C" w:rsidRDefault="00630B5C">
            <w:pPr>
              <w:jc w:val="center"/>
            </w:pP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D0A989" w14:textId="77777777" w:rsidR="00630B5C" w:rsidRDefault="00630B5C">
            <w:pPr>
              <w:jc w:val="center"/>
            </w:pPr>
          </w:p>
        </w:tc>
      </w:tr>
      <w:tr w:rsidR="00630B5C" w14:paraId="5DAF3C1E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8E0395" w14:textId="77777777" w:rsidR="00630B5C" w:rsidRDefault="00000000">
            <w:r>
              <w:rPr>
                <w:color w:val="000000"/>
                <w:sz w:val="18"/>
                <w:szCs w:val="18"/>
              </w:rPr>
              <w:t xml:space="preserve">STE1: Confidence adapting </w:t>
            </w:r>
            <w:proofErr w:type="spellStart"/>
            <w:r>
              <w:rPr>
                <w:color w:val="000000"/>
                <w:sz w:val="18"/>
                <w:szCs w:val="18"/>
              </w:rPr>
              <w:t>GenAI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strategies to diverse learners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2C3B9A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F75FEF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281742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112B18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01EB89DA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A2233E" w14:textId="77777777" w:rsidR="00630B5C" w:rsidRDefault="00000000">
            <w:r>
              <w:rPr>
                <w:color w:val="000000"/>
                <w:sz w:val="18"/>
                <w:szCs w:val="18"/>
              </w:rPr>
              <w:t>STE2: Confidence designing AI-supported differentiated instruction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2EBAEB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.75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C5A874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DC573D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0B849F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07F72D9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142B9D" w14:textId="77777777" w:rsidR="00630B5C" w:rsidRDefault="00000000">
            <w:r>
              <w:rPr>
                <w:color w:val="000000"/>
                <w:sz w:val="18"/>
                <w:szCs w:val="18"/>
              </w:rPr>
              <w:t xml:space="preserve">STE3: Confidence implementing SDG-aligned strategies with </w:t>
            </w:r>
            <w:proofErr w:type="spellStart"/>
            <w:r>
              <w:rPr>
                <w:color w:val="000000"/>
                <w:sz w:val="18"/>
                <w:szCs w:val="18"/>
              </w:rPr>
              <w:t>GenAI</w:t>
            </w:r>
            <w:proofErr w:type="spellEnd"/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DA0173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767A55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3FFBC0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A9CBAB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5CBB60CA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9C1AB3" w14:textId="77777777" w:rsidR="00630B5C" w:rsidRDefault="00000000">
            <w:r>
              <w:rPr>
                <w:b/>
                <w:bCs/>
                <w:color w:val="000000"/>
                <w:sz w:val="18"/>
                <w:szCs w:val="18"/>
              </w:rPr>
              <w:t>Classroom Management — adapted from TSES (3 items)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B904A4" w14:textId="77777777" w:rsidR="00630B5C" w:rsidRDefault="00630B5C">
            <w:pPr>
              <w:jc w:val="center"/>
            </w:pP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F3E996" w14:textId="77777777" w:rsidR="00630B5C" w:rsidRDefault="00630B5C">
            <w:pPr>
              <w:jc w:val="center"/>
            </w:pP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54E972" w14:textId="77777777" w:rsidR="00630B5C" w:rsidRDefault="00630B5C">
            <w:pPr>
              <w:jc w:val="center"/>
            </w:pP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8C9EF7" w14:textId="77777777" w:rsidR="00630B5C" w:rsidRDefault="00630B5C">
            <w:pPr>
              <w:jc w:val="center"/>
            </w:pPr>
          </w:p>
        </w:tc>
      </w:tr>
      <w:tr w:rsidR="00630B5C" w14:paraId="1DE60064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7D175A" w14:textId="77777777" w:rsidR="00630B5C" w:rsidRDefault="00000000">
            <w:r>
              <w:rPr>
                <w:color w:val="000000"/>
                <w:sz w:val="18"/>
                <w:szCs w:val="18"/>
              </w:rPr>
              <w:t>STE4: Confidence managing technology-integrated classroom equitably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F595BD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7E366B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FAA101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FF8034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7FFB9A98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A9CA55" w14:textId="77777777" w:rsidR="00630B5C" w:rsidRDefault="00000000">
            <w:r>
              <w:rPr>
                <w:color w:val="000000"/>
                <w:sz w:val="18"/>
                <w:szCs w:val="18"/>
              </w:rPr>
              <w:t>STE5: Confidence maintaining productive learning during AI tasks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C3D5BA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.75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EB18EA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278268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C28881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506670B0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66C256" w14:textId="77777777" w:rsidR="00630B5C" w:rsidRDefault="00000000">
            <w:r>
              <w:rPr>
                <w:color w:val="000000"/>
                <w:sz w:val="18"/>
                <w:szCs w:val="18"/>
              </w:rPr>
              <w:t>STE6: Confidence addressing off-task AI use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3A46AA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B5D77A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183691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F22AF2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6735D500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FDE390" w14:textId="77777777" w:rsidR="00630B5C" w:rsidRDefault="00000000">
            <w:r>
              <w:rPr>
                <w:b/>
                <w:bCs/>
                <w:color w:val="000000"/>
                <w:sz w:val="18"/>
                <w:szCs w:val="18"/>
              </w:rPr>
              <w:t>Student Engagement — adapted from TSES (3 items)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0FB3B4" w14:textId="77777777" w:rsidR="00630B5C" w:rsidRDefault="00630B5C">
            <w:pPr>
              <w:jc w:val="center"/>
            </w:pP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6DB032" w14:textId="77777777" w:rsidR="00630B5C" w:rsidRDefault="00630B5C">
            <w:pPr>
              <w:jc w:val="center"/>
            </w:pP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0D43A8" w14:textId="77777777" w:rsidR="00630B5C" w:rsidRDefault="00630B5C">
            <w:pPr>
              <w:jc w:val="center"/>
            </w:pP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E96788" w14:textId="77777777" w:rsidR="00630B5C" w:rsidRDefault="00630B5C">
            <w:pPr>
              <w:jc w:val="center"/>
            </w:pPr>
          </w:p>
        </w:tc>
      </w:tr>
      <w:tr w:rsidR="00630B5C" w14:paraId="34D917C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393FF0" w14:textId="77777777" w:rsidR="00630B5C" w:rsidRDefault="00000000">
            <w:r>
              <w:rPr>
                <w:color w:val="000000"/>
                <w:sz w:val="18"/>
                <w:szCs w:val="18"/>
              </w:rPr>
              <w:t>STE7: Confidence motivating students to engage critically with AI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5692FD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519B40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BDA796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D30E51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3FDE3327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71619F" w14:textId="77777777" w:rsidR="00630B5C" w:rsidRDefault="00000000">
            <w:r>
              <w:rPr>
                <w:color w:val="000000"/>
                <w:sz w:val="18"/>
                <w:szCs w:val="18"/>
              </w:rPr>
              <w:t>STE8: Confidence creating AI tasks that develop higher-order thinking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BAB2B5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.75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668818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7FDF5B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A86959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7359273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5D455F" w14:textId="77777777" w:rsidR="00630B5C" w:rsidRDefault="00000000">
            <w:r>
              <w:rPr>
                <w:color w:val="000000"/>
                <w:sz w:val="18"/>
                <w:szCs w:val="18"/>
              </w:rPr>
              <w:t>STE9: Confidence helping all students succeed in tech-rich settings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3B1E0E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FD0968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5E9A3F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5036F4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2092A5DD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41B368" w14:textId="77777777" w:rsidR="00630B5C" w:rsidRDefault="00000000">
            <w:r>
              <w:rPr>
                <w:b/>
                <w:bCs/>
                <w:color w:val="000000"/>
                <w:sz w:val="18"/>
                <w:szCs w:val="18"/>
              </w:rPr>
              <w:t>Technology-Equity — new items per UNESCO (2021) (2 items piloted)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8C7B90" w14:textId="77777777" w:rsidR="00630B5C" w:rsidRDefault="00630B5C">
            <w:pPr>
              <w:jc w:val="center"/>
            </w:pP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6D3AE7" w14:textId="77777777" w:rsidR="00630B5C" w:rsidRDefault="00630B5C">
            <w:pPr>
              <w:jc w:val="center"/>
            </w:pP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795F80" w14:textId="77777777" w:rsidR="00630B5C" w:rsidRDefault="00630B5C">
            <w:pPr>
              <w:jc w:val="center"/>
            </w:pP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3F4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517218" w14:textId="77777777" w:rsidR="00630B5C" w:rsidRDefault="00630B5C">
            <w:pPr>
              <w:jc w:val="center"/>
            </w:pPr>
          </w:p>
        </w:tc>
      </w:tr>
      <w:tr w:rsidR="00630B5C" w14:paraId="11C42B5A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F1E106" w14:textId="77777777" w:rsidR="00630B5C" w:rsidRDefault="00000000">
            <w:r>
              <w:rPr>
                <w:color w:val="000000"/>
                <w:sz w:val="18"/>
                <w:szCs w:val="18"/>
              </w:rPr>
              <w:t xml:space="preserve">STE10: Confidence designing inclusive </w:t>
            </w:r>
            <w:proofErr w:type="spellStart"/>
            <w:r>
              <w:rPr>
                <w:color w:val="000000"/>
                <w:sz w:val="18"/>
                <w:szCs w:val="18"/>
              </w:rPr>
              <w:t>GenAI</w:t>
            </w:r>
            <w:proofErr w:type="spellEnd"/>
            <w:r>
              <w:rPr>
                <w:color w:val="000000"/>
                <w:sz w:val="18"/>
                <w:szCs w:val="18"/>
              </w:rPr>
              <w:t>-integrated lessons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52744A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44198D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953680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.88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58A525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</w:tr>
      <w:tr w:rsidR="00630B5C" w14:paraId="240FDCDA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BFC3EF" w14:textId="77777777" w:rsidR="00630B5C" w:rsidRDefault="00000000">
            <w:r>
              <w:rPr>
                <w:color w:val="000000"/>
                <w:sz w:val="18"/>
                <w:szCs w:val="18"/>
              </w:rPr>
              <w:t>STE-T: Digital equity confidence item (removed after pilot)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CC700E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.63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F3A6D3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53A90B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.75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88F445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630B5C" w14:paraId="017AE347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984C3F" w14:textId="77777777" w:rsidR="00630B5C" w:rsidRDefault="00000000">
            <w:r>
              <w:rPr>
                <w:b/>
                <w:bCs/>
                <w:color w:val="000000"/>
                <w:sz w:val="18"/>
                <w:szCs w:val="18"/>
              </w:rPr>
              <w:t>Scale-Level CVI (S-CVI/Ave — final 10 items)</w:t>
            </w:r>
          </w:p>
        </w:tc>
        <w:tc>
          <w:tcPr>
            <w:tcW w:w="11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B1D770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A2D9A0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5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83A537" w14:textId="77777777" w:rsidR="00630B5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.84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6623DE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</w:tr>
    </w:tbl>
    <w:p w14:paraId="626DD65C" w14:textId="77777777" w:rsidR="00630B5C" w:rsidRDefault="00000000">
      <w:pPr>
        <w:spacing w:before="100" w:after="200" w:line="276" w:lineRule="auto"/>
      </w:pPr>
      <w:r>
        <w:t>Note. I-CVI = item-level Content Validity Index (proportion of experts rating the item 3 or 4 on a 4-point scale; Polit &amp; Beck, 2006). Items below .80 were revised and resubmitted. One item (STE-T) failed to meet threshold after revision and was removed, yielding the final 10-item STE subscale. S-CVI/Ave = .84 exceeds the ≥ .80 recommended threshold (Polit &amp; Beck, 2006).</w:t>
      </w:r>
    </w:p>
    <w:p w14:paraId="2AC570C6" w14:textId="77777777" w:rsidR="00630B5C" w:rsidRDefault="00000000">
      <w:pPr>
        <w:pStyle w:val="Heading1"/>
      </w:pPr>
      <w:r>
        <w:t>4. Pilot Study Reliability Statistics</w:t>
      </w:r>
    </w:p>
    <w:p w14:paraId="738429B4" w14:textId="77777777" w:rsidR="00630B5C" w:rsidRDefault="00000000">
      <w:pPr>
        <w:spacing w:before="80" w:after="80" w:line="276" w:lineRule="auto"/>
        <w:jc w:val="both"/>
      </w:pPr>
      <w:r>
        <w:t>The GAISRL-HOTS Scale was piloted with N = 50 preservice teachers from two non-participating Ghanaian institutions (25 urban, 25 rural). Cronbach's alpha was computed for each subscale in IBM SPSS Statistics 26.0. Items that reduced α upon removal were revised; items whose removal did not improve α were retained.</w:t>
      </w:r>
    </w:p>
    <w:p w14:paraId="3040CD10" w14:textId="77777777" w:rsidR="00630B5C" w:rsidRDefault="00000000">
      <w:pPr>
        <w:spacing w:before="200" w:after="40"/>
      </w:pPr>
      <w:r>
        <w:rPr>
          <w:b/>
          <w:bCs/>
        </w:rPr>
        <w:t>Table S2</w:t>
      </w:r>
    </w:p>
    <w:p w14:paraId="41079D3A" w14:textId="77777777" w:rsidR="00630B5C" w:rsidRDefault="00000000">
      <w:pPr>
        <w:spacing w:after="80"/>
      </w:pPr>
      <w:r>
        <w:rPr>
          <w:i/>
          <w:iCs/>
        </w:rPr>
        <w:t>Pilot Study Internal Consistency Reliability (N = 50)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1090"/>
        <w:gridCol w:w="938"/>
        <w:gridCol w:w="1611"/>
        <w:gridCol w:w="2371"/>
      </w:tblGrid>
      <w:tr w:rsidR="00630B5C" w14:paraId="3343BBA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279FAC" w14:textId="77777777" w:rsidR="00630B5C" w:rsidRDefault="00000000">
            <w:r>
              <w:rPr>
                <w:b/>
                <w:bCs/>
                <w:color w:val="FFFFFF"/>
                <w:sz w:val="18"/>
                <w:szCs w:val="18"/>
              </w:rPr>
              <w:t>Subscale</w:t>
            </w:r>
          </w:p>
        </w:tc>
        <w:tc>
          <w:tcPr>
            <w:tcW w:w="11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256F02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Pilot items</w:t>
            </w:r>
          </w:p>
        </w:tc>
        <w:tc>
          <w:tcPr>
            <w:tcW w:w="95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20A4A6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α</w:t>
            </w:r>
          </w:p>
        </w:tc>
        <w:tc>
          <w:tcPr>
            <w:tcW w:w="151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595722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Items revised/removed</w:t>
            </w:r>
          </w:p>
        </w:tc>
        <w:tc>
          <w:tcPr>
            <w:tcW w:w="24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70A3AC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Items in final instrument</w:t>
            </w:r>
          </w:p>
        </w:tc>
      </w:tr>
      <w:tr w:rsidR="00630B5C" w14:paraId="53E5D01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83AC8C" w14:textId="77777777" w:rsidR="00630B5C" w:rsidRDefault="00000000">
            <w:r>
              <w:rPr>
                <w:color w:val="000000"/>
                <w:sz w:val="18"/>
                <w:szCs w:val="18"/>
              </w:rPr>
              <w:t>Human–AI Interaction Quality (HAIQ)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7F4262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22AD66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.84</w:t>
            </w:r>
          </w:p>
        </w:tc>
        <w:tc>
          <w:tcPr>
            <w:tcW w:w="1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630F61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revised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51B050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  <w:tr w:rsidR="00630B5C" w14:paraId="1BDA77C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6DEDAF" w14:textId="77777777" w:rsidR="00630B5C" w:rsidRDefault="00000000"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GenAI</w:t>
            </w:r>
            <w:proofErr w:type="spellEnd"/>
            <w:r>
              <w:rPr>
                <w:color w:val="000000"/>
                <w:sz w:val="18"/>
                <w:szCs w:val="18"/>
              </w:rPr>
              <w:t>-Supported Reflective Learning (GAISRL)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4423CC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1E1F0D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.82</w:t>
            </w:r>
          </w:p>
        </w:tc>
        <w:tc>
          <w:tcPr>
            <w:tcW w:w="1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9A1CAD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revised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4AE25A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630B5C" w14:paraId="25A124A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32DCE6" w14:textId="77777777" w:rsidR="00630B5C" w:rsidRDefault="00000000">
            <w:r>
              <w:rPr>
                <w:color w:val="000000"/>
                <w:sz w:val="18"/>
                <w:szCs w:val="18"/>
              </w:rPr>
              <w:t>Perceived Higher-Order Thinking Skills (HOTS)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512CD5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31D9F1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.85</w:t>
            </w:r>
          </w:p>
        </w:tc>
        <w:tc>
          <w:tcPr>
            <w:tcW w:w="1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82E856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1819C3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630B5C" w14:paraId="52F5420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09150F" w14:textId="77777777" w:rsidR="00630B5C" w:rsidRDefault="00000000">
            <w:r>
              <w:rPr>
                <w:color w:val="000000"/>
                <w:sz w:val="18"/>
                <w:szCs w:val="18"/>
              </w:rPr>
              <w:t>Sustainable Teaching Efficacy (STE)</w:t>
            </w:r>
          </w:p>
        </w:tc>
        <w:tc>
          <w:tcPr>
            <w:tcW w:w="11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799EDE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D069E3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.81</w:t>
            </w:r>
          </w:p>
        </w:tc>
        <w:tc>
          <w:tcPr>
            <w:tcW w:w="1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7B0EFE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removed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FB04D5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</w:tbl>
    <w:p w14:paraId="25F41BC2" w14:textId="77777777" w:rsidR="00630B5C" w:rsidRDefault="00000000">
      <w:pPr>
        <w:spacing w:before="100" w:after="200" w:line="276" w:lineRule="auto"/>
      </w:pPr>
      <w:r>
        <w:t>Note. Pilot α values exceed the .70 acceptable threshold (Nunnally, 1978) and the .80 threshold for established scale adaptations (</w:t>
      </w:r>
      <w:proofErr w:type="spellStart"/>
      <w:r>
        <w:t>DeVellis</w:t>
      </w:r>
      <w:proofErr w:type="spellEnd"/>
      <w:r>
        <w:t>, 2016). For STE, the 11-item pilot included the technology-equity item later removed following both the CVI review and pilot analysis.</w:t>
      </w:r>
    </w:p>
    <w:p w14:paraId="20D9A0F1" w14:textId="77777777" w:rsidR="00630B5C" w:rsidRDefault="00000000">
      <w:pPr>
        <w:pStyle w:val="Heading1"/>
      </w:pPr>
      <w:r>
        <w:t>5. Main Study Confirmatory Measurement Quality for STE</w:t>
      </w:r>
    </w:p>
    <w:p w14:paraId="5800119F" w14:textId="77777777" w:rsidR="00630B5C" w:rsidRDefault="00000000">
      <w:pPr>
        <w:spacing w:before="80" w:after="80" w:line="276" w:lineRule="auto"/>
        <w:jc w:val="both"/>
      </w:pPr>
      <w:r>
        <w:t xml:space="preserve">Measurement quality for all subscales was assessed in the main study (N = 520) via covariance-based CFA in AMOS 26.0 and PLS-SEM in </w:t>
      </w:r>
      <w:proofErr w:type="spellStart"/>
      <w:r>
        <w:t>SmartPLS</w:t>
      </w:r>
      <w:proofErr w:type="spellEnd"/>
      <w:r>
        <w:t xml:space="preserve"> 4.0. CFA confirmed STE loaded on a single factor, distinct from HAIQ, GAISRL, and HOTS. Key indices are reproduced below.</w:t>
      </w:r>
    </w:p>
    <w:p w14:paraId="15B0D2F6" w14:textId="77777777" w:rsidR="00630B5C" w:rsidRDefault="00000000">
      <w:pPr>
        <w:spacing w:before="200" w:after="40"/>
      </w:pPr>
      <w:r>
        <w:rPr>
          <w:b/>
          <w:bCs/>
        </w:rPr>
        <w:t>Table S3</w:t>
      </w:r>
    </w:p>
    <w:p w14:paraId="3B99E4CF" w14:textId="77777777" w:rsidR="00630B5C" w:rsidRDefault="00000000">
      <w:pPr>
        <w:spacing w:after="80"/>
      </w:pPr>
      <w:r>
        <w:rPr>
          <w:i/>
          <w:iCs/>
        </w:rPr>
        <w:t>Main Study Measurement Quality for the STE Subscale (N = 520)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748"/>
        <w:gridCol w:w="748"/>
        <w:gridCol w:w="748"/>
        <w:gridCol w:w="748"/>
        <w:gridCol w:w="748"/>
        <w:gridCol w:w="962"/>
        <w:gridCol w:w="962"/>
        <w:gridCol w:w="1133"/>
      </w:tblGrid>
      <w:tr w:rsidR="00630B5C" w14:paraId="620B6F6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EBB0F1" w14:textId="77777777" w:rsidR="00630B5C" w:rsidRDefault="00000000">
            <w:r>
              <w:rPr>
                <w:b/>
                <w:bCs/>
                <w:color w:val="FFFFFF"/>
                <w:sz w:val="18"/>
                <w:szCs w:val="18"/>
              </w:rPr>
              <w:t>Subscale</w:t>
            </w:r>
          </w:p>
        </w:tc>
        <w:tc>
          <w:tcPr>
            <w:tcW w:w="7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EFDBEE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Items</w:t>
            </w:r>
          </w:p>
        </w:tc>
        <w:tc>
          <w:tcPr>
            <w:tcW w:w="7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D4ECC9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α</w:t>
            </w:r>
          </w:p>
        </w:tc>
        <w:tc>
          <w:tcPr>
            <w:tcW w:w="7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8CC51F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ω</w:t>
            </w:r>
          </w:p>
        </w:tc>
        <w:tc>
          <w:tcPr>
            <w:tcW w:w="7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730889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</w:t>
            </w:r>
          </w:p>
        </w:tc>
        <w:tc>
          <w:tcPr>
            <w:tcW w:w="7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1B342E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AVE</w:t>
            </w:r>
          </w:p>
        </w:tc>
        <w:tc>
          <w:tcPr>
            <w:tcW w:w="9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AD9C54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HTMT (max)</w:t>
            </w:r>
          </w:p>
        </w:tc>
        <w:tc>
          <w:tcPr>
            <w:tcW w:w="90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5337A2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Min. loading</w:t>
            </w:r>
          </w:p>
        </w:tc>
        <w:tc>
          <w:tcPr>
            <w:tcW w:w="1060" w:type="dxa"/>
            <w:tcBorders>
              <w:top w:val="single" w:sz="4" w:space="0" w:color="2C3E50"/>
              <w:left w:val="single" w:sz="1" w:space="0" w:color="AAAAAA"/>
              <w:bottom w:val="single" w:sz="4" w:space="0" w:color="2C3E50"/>
              <w:right w:val="single" w:sz="1" w:space="0" w:color="AAAAAA"/>
            </w:tcBorders>
            <w:shd w:val="clear" w:color="auto" w:fill="2C3E50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89F1BB" w14:textId="77777777" w:rsidR="00630B5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VIF</w:t>
            </w:r>
          </w:p>
        </w:tc>
      </w:tr>
      <w:tr w:rsidR="00630B5C" w14:paraId="6728054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BD5513" w14:textId="77777777" w:rsidR="00630B5C" w:rsidRDefault="00000000">
            <w:r>
              <w:rPr>
                <w:color w:val="000000"/>
                <w:sz w:val="18"/>
                <w:szCs w:val="18"/>
              </w:rPr>
              <w:t>Sustainable Teaching Efficacy (STE)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759C82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020291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.84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293843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.85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603609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.85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05CCFD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.51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95D7F5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.58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8AA7DF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.54</w:t>
            </w:r>
          </w:p>
        </w:tc>
        <w:tc>
          <w:tcPr>
            <w:tcW w:w="1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56F5FF" w14:textId="77777777" w:rsidR="00630B5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</w:tr>
    </w:tbl>
    <w:p w14:paraId="055EBC14" w14:textId="77777777" w:rsidR="00630B5C" w:rsidRDefault="00000000">
      <w:pPr>
        <w:spacing w:before="100" w:after="200" w:line="276" w:lineRule="auto"/>
      </w:pPr>
      <w:r>
        <w:t xml:space="preserve">Note. </w:t>
      </w:r>
      <w:r>
        <w:rPr>
          <w:i/>
          <w:iCs/>
        </w:rPr>
        <w:t>α</w:t>
      </w:r>
      <w:r>
        <w:t xml:space="preserve"> = Cronbach's alpha; </w:t>
      </w:r>
      <w:r>
        <w:rPr>
          <w:i/>
          <w:iCs/>
        </w:rPr>
        <w:t>ω</w:t>
      </w:r>
      <w:r>
        <w:t xml:space="preserve"> = McDonald's omega; CR = composite reliability; AVE = average variance extracted; HTMT = maximum pairwise </w:t>
      </w:r>
      <w:proofErr w:type="spellStart"/>
      <w:r>
        <w:t>heterotrait</w:t>
      </w:r>
      <w:proofErr w:type="spellEnd"/>
      <w:r>
        <w:t>–</w:t>
      </w:r>
      <w:proofErr w:type="spellStart"/>
      <w:r>
        <w:t>monotrait</w:t>
      </w:r>
      <w:proofErr w:type="spellEnd"/>
      <w:r>
        <w:t xml:space="preserve"> ratio. AVE &gt; .50 confirms convergent validity (</w:t>
      </w:r>
      <w:proofErr w:type="spellStart"/>
      <w:r>
        <w:t>Fornell</w:t>
      </w:r>
      <w:proofErr w:type="spellEnd"/>
      <w:r>
        <w:t xml:space="preserve"> &amp; Larcker, 1981). HTMT &lt; .85 confirms discriminant validity (</w:t>
      </w:r>
      <w:proofErr w:type="spellStart"/>
      <w:r>
        <w:t>Henseler</w:t>
      </w:r>
      <w:proofErr w:type="spellEnd"/>
      <w:r>
        <w:t xml:space="preserve"> et al., 2015). Factor loadings ranged from .54 to .73 (all p &lt; .001). VIF = n/a because STE is an endogenous outcome only. Overall CFA fit: χ</w:t>
      </w:r>
      <w:proofErr w:type="gramStart"/>
      <w:r>
        <w:t>²(</w:t>
      </w:r>
      <w:proofErr w:type="gramEnd"/>
      <w:r>
        <w:t>1,246) = 1,894.22, CFI = .95, RMSEA = .032, SRMR = .049.</w:t>
      </w:r>
    </w:p>
    <w:p w14:paraId="1E61EB7D" w14:textId="77777777" w:rsidR="00630B5C" w:rsidRDefault="00000000">
      <w:pPr>
        <w:pStyle w:val="Heading1"/>
      </w:pPr>
      <w:r>
        <w:t>6. Summary</w:t>
      </w:r>
    </w:p>
    <w:p w14:paraId="2D93D1EF" w14:textId="77777777" w:rsidR="00630B5C" w:rsidRDefault="00000000">
      <w:pPr>
        <w:spacing w:before="80" w:after="80" w:line="276" w:lineRule="auto"/>
        <w:jc w:val="both"/>
      </w:pPr>
      <w:r>
        <w:t>The STE subscale is a theoretically grounded and empirically supported adaptation of the TSES anchored in Bandura's (1997) social cognitive theory, UNESCO (2021) competency guidance, and SDG 4.5/4.7 policy imperatives. Content validity (S-CVI/Ave = .84), pilot reliability (α = .81), and main study measurement quality (CR = .85, AVE = .51, HTMT ≤ .58) collectively support the construct validity of STE as adapted for this study. Independent replication across diverse national contexts is warranted as a next step.</w:t>
      </w:r>
    </w:p>
    <w:p w14:paraId="1AE98828" w14:textId="77777777" w:rsidR="00630B5C" w:rsidRDefault="00630B5C">
      <w:pPr>
        <w:pBdr>
          <w:bottom w:val="single" w:sz="6" w:space="0" w:color="2C3E50"/>
        </w:pBdr>
        <w:spacing w:before="160" w:after="160"/>
      </w:pPr>
    </w:p>
    <w:p w14:paraId="0C192134" w14:textId="77777777" w:rsidR="00630B5C" w:rsidRDefault="00000000">
      <w:pPr>
        <w:pStyle w:val="Heading1"/>
      </w:pPr>
      <w:r>
        <w:t>References</w:t>
      </w:r>
    </w:p>
    <w:p w14:paraId="3B1B83FC" w14:textId="77777777" w:rsidR="00630B5C" w:rsidRDefault="00000000">
      <w:pPr>
        <w:spacing w:before="60" w:after="60" w:line="276" w:lineRule="auto"/>
        <w:ind w:left="720" w:hanging="720"/>
      </w:pPr>
      <w:r>
        <w:t xml:space="preserve">Bandura, A. (1997). </w:t>
      </w:r>
      <w:r>
        <w:rPr>
          <w:i/>
          <w:iCs/>
        </w:rPr>
        <w:t>Self-efficacy: The exercise of control.</w:t>
      </w:r>
      <w:r>
        <w:t xml:space="preserve"> Freeman.</w:t>
      </w:r>
    </w:p>
    <w:p w14:paraId="29A327F3" w14:textId="77777777" w:rsidR="00630B5C" w:rsidRDefault="00000000">
      <w:pPr>
        <w:spacing w:before="60" w:after="60" w:line="276" w:lineRule="auto"/>
        <w:ind w:left="720" w:hanging="720"/>
      </w:pPr>
      <w:proofErr w:type="spellStart"/>
      <w:r>
        <w:t>DeVellis</w:t>
      </w:r>
      <w:proofErr w:type="spellEnd"/>
      <w:r>
        <w:t xml:space="preserve">, R. F. (2016). </w:t>
      </w:r>
      <w:r>
        <w:rPr>
          <w:i/>
          <w:iCs/>
        </w:rPr>
        <w:t>Scale development: Theory and applications</w:t>
      </w:r>
      <w:r>
        <w:t xml:space="preserve"> (4th ed.). SAGE.</w:t>
      </w:r>
    </w:p>
    <w:p w14:paraId="7340611A" w14:textId="77777777" w:rsidR="00630B5C" w:rsidRDefault="00000000">
      <w:pPr>
        <w:spacing w:before="60" w:after="60" w:line="276" w:lineRule="auto"/>
        <w:ind w:left="720" w:hanging="720"/>
      </w:pPr>
      <w:proofErr w:type="spellStart"/>
      <w:r>
        <w:t>Fornell</w:t>
      </w:r>
      <w:proofErr w:type="spellEnd"/>
      <w:r>
        <w:t xml:space="preserve">, C., &amp; Larcker, D. F. (1981). Evaluating structural equation models with unobservable variables and measurement error. </w:t>
      </w:r>
      <w:r>
        <w:rPr>
          <w:i/>
          <w:iCs/>
        </w:rPr>
        <w:t>Journal of Marketing Research</w:t>
      </w:r>
      <w:r>
        <w:t>, 18(1), 39–50.</w:t>
      </w:r>
    </w:p>
    <w:p w14:paraId="07DA1BC2" w14:textId="77777777" w:rsidR="00630B5C" w:rsidRDefault="00000000">
      <w:pPr>
        <w:spacing w:before="60" w:after="60" w:line="276" w:lineRule="auto"/>
        <w:ind w:left="720" w:hanging="720"/>
      </w:pPr>
      <w:proofErr w:type="spellStart"/>
      <w:r>
        <w:t>Henseler</w:t>
      </w:r>
      <w:proofErr w:type="spellEnd"/>
      <w:r>
        <w:t xml:space="preserve">, J., </w:t>
      </w:r>
      <w:proofErr w:type="spellStart"/>
      <w:r>
        <w:t>Ringle</w:t>
      </w:r>
      <w:proofErr w:type="spellEnd"/>
      <w:r>
        <w:t xml:space="preserve">, C. M., &amp; Sarstedt, M. (2015). A new criterion for assessing discriminant validity in variance-based SEM. </w:t>
      </w:r>
      <w:r>
        <w:rPr>
          <w:i/>
          <w:iCs/>
        </w:rPr>
        <w:t>Journal of the Academy of Marketing Science</w:t>
      </w:r>
      <w:r>
        <w:t>, 43(1), 115–135.</w:t>
      </w:r>
    </w:p>
    <w:p w14:paraId="556797F3" w14:textId="77777777" w:rsidR="00630B5C" w:rsidRDefault="00000000">
      <w:pPr>
        <w:spacing w:before="60" w:after="60" w:line="276" w:lineRule="auto"/>
        <w:ind w:left="720" w:hanging="720"/>
      </w:pPr>
      <w:r>
        <w:t xml:space="preserve">Klassen, R. M., </w:t>
      </w:r>
      <w:proofErr w:type="spellStart"/>
      <w:r>
        <w:t>Tze</w:t>
      </w:r>
      <w:proofErr w:type="spellEnd"/>
      <w:r>
        <w:t xml:space="preserve">, V. M. C., Betts, S. M., &amp; Gordon, K. A. (2011). Teacher efficacy research 1998–2009. </w:t>
      </w:r>
      <w:r>
        <w:rPr>
          <w:i/>
          <w:iCs/>
        </w:rPr>
        <w:t>Educational Psychology Review</w:t>
      </w:r>
      <w:r>
        <w:t>, 23(1), 21–43.</w:t>
      </w:r>
    </w:p>
    <w:p w14:paraId="023D2125" w14:textId="77777777" w:rsidR="00630B5C" w:rsidRDefault="00000000">
      <w:pPr>
        <w:spacing w:before="60" w:after="60" w:line="276" w:lineRule="auto"/>
        <w:ind w:left="720" w:hanging="720"/>
      </w:pPr>
      <w:r>
        <w:lastRenderedPageBreak/>
        <w:t xml:space="preserve">National Teaching Council (NTC). (2022). </w:t>
      </w:r>
      <w:r>
        <w:rPr>
          <w:i/>
          <w:iCs/>
        </w:rPr>
        <w:t>National teachers' standards for Ghana.</w:t>
      </w:r>
      <w:r>
        <w:t xml:space="preserve"> NTC.</w:t>
      </w:r>
    </w:p>
    <w:p w14:paraId="7E2D3013" w14:textId="77777777" w:rsidR="00630B5C" w:rsidRDefault="00000000">
      <w:pPr>
        <w:spacing w:before="60" w:after="60" w:line="276" w:lineRule="auto"/>
        <w:ind w:left="720" w:hanging="720"/>
      </w:pPr>
      <w:r>
        <w:t xml:space="preserve">Nunnally, J. C. (1978). </w:t>
      </w:r>
      <w:r>
        <w:rPr>
          <w:i/>
          <w:iCs/>
        </w:rPr>
        <w:t>Psychometric theory</w:t>
      </w:r>
      <w:r>
        <w:t xml:space="preserve"> (2nd ed.). McGraw-Hill.</w:t>
      </w:r>
    </w:p>
    <w:p w14:paraId="269A4C7B" w14:textId="77777777" w:rsidR="00630B5C" w:rsidRDefault="00000000">
      <w:pPr>
        <w:spacing w:before="60" w:after="60" w:line="276" w:lineRule="auto"/>
        <w:ind w:left="720" w:hanging="720"/>
      </w:pPr>
      <w:r>
        <w:t xml:space="preserve">Polit, D. F., &amp; Beck, C. T. (2006). The content validity index: Are you sure you know what's being reported? </w:t>
      </w:r>
      <w:r>
        <w:rPr>
          <w:i/>
          <w:iCs/>
        </w:rPr>
        <w:t>Research in Nursing &amp; Health</w:t>
      </w:r>
      <w:r>
        <w:t>, 29(5), 489–497.</w:t>
      </w:r>
    </w:p>
    <w:p w14:paraId="0874D3BE" w14:textId="77777777" w:rsidR="00630B5C" w:rsidRDefault="00000000">
      <w:pPr>
        <w:spacing w:before="60" w:after="60" w:line="276" w:lineRule="auto"/>
        <w:ind w:left="720" w:hanging="720"/>
      </w:pPr>
      <w:proofErr w:type="spellStart"/>
      <w:r>
        <w:t>Tschannen</w:t>
      </w:r>
      <w:proofErr w:type="spellEnd"/>
      <w:r>
        <w:t xml:space="preserve">-Moran, M., &amp; Hoy, A. W. (2001). Teacher efficacy: Capturing an elusive construct. </w:t>
      </w:r>
      <w:r>
        <w:rPr>
          <w:i/>
          <w:iCs/>
        </w:rPr>
        <w:t>Teaching and Teacher Education</w:t>
      </w:r>
      <w:r>
        <w:t>, 17(7), 783–805.</w:t>
      </w:r>
    </w:p>
    <w:p w14:paraId="04EBD753" w14:textId="77777777" w:rsidR="00630B5C" w:rsidRDefault="00000000">
      <w:pPr>
        <w:spacing w:before="60" w:after="60" w:line="276" w:lineRule="auto"/>
        <w:ind w:left="720" w:hanging="720"/>
      </w:pPr>
      <w:r>
        <w:t xml:space="preserve">UNESCO. (2021). </w:t>
      </w:r>
      <w:r>
        <w:rPr>
          <w:i/>
          <w:iCs/>
        </w:rPr>
        <w:t>AI and education: Guidance for policy-makers.</w:t>
      </w:r>
      <w:r>
        <w:t xml:space="preserve"> UNESCO.</w:t>
      </w:r>
    </w:p>
    <w:sectPr w:rsidR="00630B5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64300"/>
    <w:multiLevelType w:val="hybridMultilevel"/>
    <w:tmpl w:val="2CAE9656"/>
    <w:lvl w:ilvl="0" w:tplc="042E97CA">
      <w:start w:val="1"/>
      <w:numFmt w:val="bullet"/>
      <w:lvlText w:val="●"/>
      <w:lvlJc w:val="left"/>
      <w:pPr>
        <w:ind w:left="720" w:hanging="360"/>
      </w:pPr>
    </w:lvl>
    <w:lvl w:ilvl="1" w:tplc="C5583FFA">
      <w:start w:val="1"/>
      <w:numFmt w:val="bullet"/>
      <w:lvlText w:val="○"/>
      <w:lvlJc w:val="left"/>
      <w:pPr>
        <w:ind w:left="1440" w:hanging="360"/>
      </w:pPr>
    </w:lvl>
    <w:lvl w:ilvl="2" w:tplc="CE5E9C96">
      <w:start w:val="1"/>
      <w:numFmt w:val="bullet"/>
      <w:lvlText w:val="■"/>
      <w:lvlJc w:val="left"/>
      <w:pPr>
        <w:ind w:left="2160" w:hanging="360"/>
      </w:pPr>
    </w:lvl>
    <w:lvl w:ilvl="3" w:tplc="CE26FD04">
      <w:start w:val="1"/>
      <w:numFmt w:val="bullet"/>
      <w:lvlText w:val="●"/>
      <w:lvlJc w:val="left"/>
      <w:pPr>
        <w:ind w:left="2880" w:hanging="360"/>
      </w:pPr>
    </w:lvl>
    <w:lvl w:ilvl="4" w:tplc="0D086E84">
      <w:start w:val="1"/>
      <w:numFmt w:val="bullet"/>
      <w:lvlText w:val="○"/>
      <w:lvlJc w:val="left"/>
      <w:pPr>
        <w:ind w:left="3600" w:hanging="360"/>
      </w:pPr>
    </w:lvl>
    <w:lvl w:ilvl="5" w:tplc="2A1E083A">
      <w:start w:val="1"/>
      <w:numFmt w:val="bullet"/>
      <w:lvlText w:val="■"/>
      <w:lvlJc w:val="left"/>
      <w:pPr>
        <w:ind w:left="4320" w:hanging="360"/>
      </w:pPr>
    </w:lvl>
    <w:lvl w:ilvl="6" w:tplc="F2AAF958">
      <w:start w:val="1"/>
      <w:numFmt w:val="bullet"/>
      <w:lvlText w:val="●"/>
      <w:lvlJc w:val="left"/>
      <w:pPr>
        <w:ind w:left="5040" w:hanging="360"/>
      </w:pPr>
    </w:lvl>
    <w:lvl w:ilvl="7" w:tplc="32C4E7A0">
      <w:start w:val="1"/>
      <w:numFmt w:val="bullet"/>
      <w:lvlText w:val="●"/>
      <w:lvlJc w:val="left"/>
      <w:pPr>
        <w:ind w:left="5760" w:hanging="360"/>
      </w:pPr>
    </w:lvl>
    <w:lvl w:ilvl="8" w:tplc="60EE1B50">
      <w:start w:val="1"/>
      <w:numFmt w:val="bullet"/>
      <w:lvlText w:val="●"/>
      <w:lvlJc w:val="left"/>
      <w:pPr>
        <w:ind w:left="6480" w:hanging="360"/>
      </w:pPr>
    </w:lvl>
  </w:abstractNum>
  <w:num w:numId="1" w16cid:durableId="6022993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5C"/>
    <w:rsid w:val="0043372E"/>
    <w:rsid w:val="005B595F"/>
    <w:rsid w:val="00630B5C"/>
    <w:rsid w:val="00AC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85771"/>
  <w15:docId w15:val="{0796AAC0-E184-46AC-9C65-B777054E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1A252F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1109</Words>
  <Characters>7167</Characters>
  <Application>Microsoft Office Word</Application>
  <DocSecurity>0</DocSecurity>
  <Lines>155</Lines>
  <Paragraphs>83</Paragraphs>
  <ScaleCrop>false</ScaleCrop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Kofi Kwakye</cp:lastModifiedBy>
  <cp:revision>2</cp:revision>
  <dcterms:created xsi:type="dcterms:W3CDTF">2026-05-29T16:55:00Z</dcterms:created>
  <dcterms:modified xsi:type="dcterms:W3CDTF">2026-05-29T16:55:00Z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6c5b8a7a-7f75-4f78-b1c3-0e40f0656484</vt:lpwstr>
  </property>
</Properties>
</file>