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811" w:rsidRDefault="00243C97">
      <w:pPr>
        <w:spacing w:after="40"/>
      </w:pPr>
      <w:r>
        <w:rPr>
          <w:b/>
          <w:color w:val="1F3864"/>
          <w:sz w:val="40"/>
        </w:rPr>
        <w:t>Supplementary Material 2</w:t>
      </w:r>
    </w:p>
    <w:p w:rsidR="00132811" w:rsidRDefault="00243C97">
      <w:pPr>
        <w:spacing w:after="160"/>
      </w:pPr>
      <w:r>
        <w:rPr>
          <w:b/>
          <w:color w:val="2E75B6"/>
          <w:sz w:val="26"/>
        </w:rPr>
        <w:t>Structured per-event registry — pilot validation data for the five-category taxonomic framework</w:t>
      </w:r>
    </w:p>
    <w:p w:rsidR="00132811" w:rsidRDefault="00243C97">
      <w:pPr>
        <w:spacing w:after="40"/>
      </w:pPr>
      <w:r>
        <w:rPr>
          <w:b/>
        </w:rPr>
        <w:t>Accompanying manuscript: "Systematic post-publication accuracy assessment in medical educational content: development and pilot validation of a five-category taxonomic framework"</w:t>
      </w:r>
    </w:p>
    <w:p w:rsidR="00132811" w:rsidRDefault="00243C97" w:rsidP="00BD033F">
      <w:pPr>
        <w:spacing w:after="40"/>
      </w:pPr>
      <w:r>
        <w:rPr>
          <w:b/>
        </w:rPr>
        <w:t xml:space="preserve">Author: </w:t>
      </w:r>
      <w:r>
        <w:t>Mohammed Waleed Abdullah · Independent Researcher · Medical Student</w:t>
      </w:r>
    </w:p>
    <w:p w:rsidR="00132811" w:rsidRDefault="00243C97">
      <w:pPr>
        <w:spacing w:after="280"/>
      </w:pPr>
      <w:r>
        <w:rPr>
          <w:i/>
          <w:color w:val="606060"/>
          <w:sz w:val="19"/>
        </w:rPr>
        <w:t>No institutional support, external funding, or third-party collaboration. Sole-authored independent audit.</w:t>
      </w:r>
    </w:p>
    <w:p w:rsidR="00132811" w:rsidRDefault="00243C97">
      <w:pPr>
        <w:spacing w:before="360" w:after="160"/>
      </w:pPr>
      <w:r>
        <w:rPr>
          <w:b/>
          <w:color w:val="1F3864"/>
          <w:sz w:val="30"/>
        </w:rPr>
        <w:t>1.  Introduction and reading guide</w:t>
      </w:r>
    </w:p>
    <w:p w:rsidR="00132811" w:rsidRDefault="00243C97">
      <w:pPr>
        <w:spacing w:after="160" w:line="288" w:lineRule="auto"/>
        <w:jc w:val="both"/>
      </w:pPr>
      <w:r>
        <w:t>This document is Supplementary Material 2 to the accompanying BMC Medical Education manuscript. It is a stand-alone publication-grade audit registry that complements — and does not replace — Supplementary Material 1 (the master contribution dossier and editorial archive). Whereas Supplementary Material 1 documents the contribution history and editorial correspondence in narrative form, Supplementary Material 2 provides a structured evidence-verification framework organised by email submission topic, with the sub-contributions and supporting references for each topic itemised within the corresponding row.</w:t>
      </w:r>
    </w:p>
    <w:p w:rsidR="00132811" w:rsidRDefault="00243C97">
      <w:pPr>
        <w:spacing w:before="240" w:after="80"/>
      </w:pPr>
      <w:r>
        <w:rPr>
          <w:b/>
          <w:color w:val="2E75B6"/>
          <w:sz w:val="24"/>
        </w:rPr>
        <w:t>Structure of the registry</w:t>
      </w:r>
    </w:p>
    <w:p w:rsidR="00132811" w:rsidRDefault="00243C97">
      <w:pPr>
        <w:spacing w:after="160" w:line="288" w:lineRule="auto"/>
        <w:jc w:val="both"/>
      </w:pPr>
      <w:r>
        <w:t>For each of the ten audited resources, a single table presents the topics that were submitted to the publisher or editor. Each row of the table is one email submission topic; the sub-contributions within that topic are listed inside the row, each with a minimum of two independent supporting references. The verbatim or closely paraphrased editorial response is recorded in a dedicated column. Where the editor initially declined a topic, the rejection is recorded together with the statement that "scientific discussion regarding the rejection is in progress" — reflecting the continuing exchange between the author and the editorial team.</w:t>
      </w:r>
    </w:p>
    <w:p w:rsidR="00132811" w:rsidRDefault="00243C97">
      <w:pPr>
        <w:spacing w:before="240" w:after="80"/>
      </w:pPr>
      <w:r>
        <w:rPr>
          <w:b/>
          <w:color w:val="2E75B6"/>
          <w:sz w:val="24"/>
        </w:rPr>
        <w:t>Standardisation</w:t>
      </w:r>
    </w:p>
    <w:p w:rsidR="00132811" w:rsidRDefault="00243C97">
      <w:pPr>
        <w:spacing w:after="160" w:line="288" w:lineRule="auto"/>
        <w:jc w:val="both"/>
      </w:pPr>
      <w:r>
        <w:t>Terminology, formatting, status vocabulary, evidence labels, and classification structure are standardised throughout this document. The five-category Error Classification Framework (Section 3) and the seven-category Editorial Response Classification Key (Section 4) are applied without variation across all per-book tables (Section 6).</w:t>
      </w:r>
    </w:p>
    <w:p w:rsidR="00132811" w:rsidRDefault="00243C97">
      <w:pPr>
        <w:spacing w:before="240" w:after="80"/>
      </w:pPr>
      <w:r>
        <w:rPr>
          <w:b/>
          <w:color w:val="2E75B6"/>
          <w:sz w:val="24"/>
        </w:rPr>
        <w:t>Sections in this document</w:t>
      </w:r>
    </w:p>
    <w:p w:rsidR="00132811" w:rsidRDefault="00243C97">
      <w:pPr>
        <w:spacing w:after="40"/>
        <w:ind w:left="288"/>
      </w:pPr>
      <w:r>
        <w:rPr>
          <w:b/>
          <w:color w:val="1F3864"/>
          <w:sz w:val="20"/>
        </w:rPr>
        <w:t xml:space="preserve">Section 1   </w:t>
      </w:r>
      <w:r>
        <w:rPr>
          <w:sz w:val="20"/>
        </w:rPr>
        <w:t>Introduction and reading guide (this section).</w:t>
      </w:r>
    </w:p>
    <w:p w:rsidR="00132811" w:rsidRDefault="00243C97">
      <w:pPr>
        <w:spacing w:after="40"/>
        <w:ind w:left="288"/>
      </w:pPr>
      <w:r>
        <w:rPr>
          <w:b/>
          <w:color w:val="1F3864"/>
          <w:sz w:val="20"/>
        </w:rPr>
        <w:t xml:space="preserve">Section 2   </w:t>
      </w:r>
      <w:r>
        <w:rPr>
          <w:sz w:val="20"/>
        </w:rPr>
        <w:t>Methodological appendix — identification, verification, evidence selection, classification, response categorisation, inclusion/exclusion criteria, and verification methodology.</w:t>
      </w:r>
    </w:p>
    <w:p w:rsidR="00132811" w:rsidRDefault="00243C97">
      <w:pPr>
        <w:spacing w:after="40"/>
        <w:ind w:left="288"/>
      </w:pPr>
      <w:r>
        <w:rPr>
          <w:b/>
          <w:color w:val="1F3864"/>
          <w:sz w:val="20"/>
        </w:rPr>
        <w:t xml:space="preserve">Section 3   </w:t>
      </w:r>
      <w:r>
        <w:rPr>
          <w:sz w:val="20"/>
        </w:rPr>
        <w:t>Error Classification Framework — five mutually exclusive categories with operational definitions and worked examples.</w:t>
      </w:r>
    </w:p>
    <w:p w:rsidR="00132811" w:rsidRDefault="00243C97">
      <w:pPr>
        <w:spacing w:after="40"/>
        <w:ind w:left="288"/>
      </w:pPr>
      <w:r>
        <w:rPr>
          <w:b/>
          <w:color w:val="1F3864"/>
          <w:sz w:val="20"/>
        </w:rPr>
        <w:t xml:space="preserve">Section 4   </w:t>
      </w:r>
      <w:r>
        <w:rPr>
          <w:sz w:val="20"/>
        </w:rPr>
        <w:t>Editorial Response Classification Key — seven standardised statuses with operational definitions.</w:t>
      </w:r>
    </w:p>
    <w:p w:rsidR="00132811" w:rsidRDefault="00243C97">
      <w:pPr>
        <w:spacing w:after="40"/>
        <w:ind w:left="288"/>
      </w:pPr>
      <w:r>
        <w:rPr>
          <w:b/>
          <w:color w:val="1F3864"/>
          <w:sz w:val="20"/>
        </w:rPr>
        <w:t xml:space="preserve">Section 5   </w:t>
      </w:r>
      <w:r>
        <w:rPr>
          <w:sz w:val="20"/>
        </w:rPr>
        <w:t>Reviewer-oriented verification workflow — six-stage process with quality-control criteria.</w:t>
      </w:r>
    </w:p>
    <w:p w:rsidR="00132811" w:rsidRDefault="00243C97">
      <w:pPr>
        <w:spacing w:after="40"/>
        <w:ind w:left="288"/>
      </w:pPr>
      <w:r>
        <w:rPr>
          <w:b/>
          <w:color w:val="1F3864"/>
          <w:sz w:val="20"/>
        </w:rPr>
        <w:t xml:space="preserve">Section 6   </w:t>
      </w:r>
      <w:r>
        <w:rPr>
          <w:sz w:val="20"/>
        </w:rPr>
        <w:t>Per-resource audit registries — one table per book, organised by email submission topic; 213 sub-contributions in total.</w:t>
      </w:r>
    </w:p>
    <w:p w:rsidR="00132811" w:rsidRDefault="00243C97">
      <w:pPr>
        <w:spacing w:after="40"/>
        <w:ind w:left="288"/>
      </w:pPr>
      <w:r>
        <w:rPr>
          <w:b/>
          <w:color w:val="1F3864"/>
          <w:sz w:val="20"/>
        </w:rPr>
        <w:t>Section 7   Summary statistics — totals by resource, classification, status, and submission year, fully consistent with the accompanying BMC Medical Education manuscript.</w:t>
      </w:r>
    </w:p>
    <w:p w:rsidR="00132811" w:rsidRDefault="00243C97">
      <w:pPr>
        <w:spacing w:before="360" w:after="160"/>
      </w:pPr>
      <w:r>
        <w:rPr>
          <w:b/>
          <w:color w:val="1F3864"/>
          <w:sz w:val="30"/>
        </w:rPr>
        <w:lastRenderedPageBreak/>
        <w:t>2.  Methodological appendix</w:t>
      </w:r>
    </w:p>
    <w:p w:rsidR="00132811" w:rsidRDefault="00243C97">
      <w:pPr>
        <w:spacing w:before="160" w:after="60"/>
      </w:pPr>
      <w:r>
        <w:rPr>
          <w:b/>
          <w:color w:val="1F3864"/>
          <w:sz w:val="22"/>
        </w:rPr>
        <w:t>Identification</w:t>
      </w:r>
    </w:p>
    <w:p w:rsidR="00132811" w:rsidRDefault="00243C97">
      <w:pPr>
        <w:spacing w:after="80" w:line="288" w:lineRule="auto"/>
        <w:jc w:val="both"/>
      </w:pPr>
      <w:r>
        <w:t>Candidate discrepancies were identified during systematic academic study of the ten included resources between 2023 and 2026. Each discrepancy was flagged when the published text was found to be inconsistent with at least one authoritative independent source. No candidate discrepancy was retained without subsequent formal evidence verification.</w:t>
      </w:r>
    </w:p>
    <w:p w:rsidR="00132811" w:rsidRDefault="00243C97">
      <w:pPr>
        <w:spacing w:before="160" w:after="60"/>
      </w:pPr>
      <w:r>
        <w:rPr>
          <w:b/>
          <w:color w:val="1F3864"/>
          <w:sz w:val="22"/>
        </w:rPr>
        <w:t>Evidence verification</w:t>
      </w:r>
    </w:p>
    <w:p w:rsidR="00132811" w:rsidRDefault="00243C97">
      <w:pPr>
        <w:spacing w:after="80" w:line="288" w:lineRule="auto"/>
        <w:jc w:val="both"/>
      </w:pPr>
      <w:r>
        <w:t>Each candidate discrepancy was cross-referenced against a minimum of two independent authoritative sources before being retained for submission. Evidence sources comprised peer-reviewed articles indexed in PubMed/MEDLINE, current clinical guidelines (NICE, ILAE, IAP/APA, ATS/IDSA, MDS, SCPE, EULAR/ACR, KDIGO, ESC, AHA, WHO, FDA, MHRA), canonical anatomical references (Gray's Anatomy 41st/42nd ed., Snell's Clinical Anatomy 10th ed., Moore's Clinically Oriented Anatomy 9th ed.), subspecialty textbooks (Williams Textbook of Endocrinology, Robbins &amp; Cotran, Volpe's Neurology of the Newborn, Goodman &amp; Gilman), and landmark trials or systematic reviews.</w:t>
      </w:r>
    </w:p>
    <w:p w:rsidR="00132811" w:rsidRDefault="00243C97">
      <w:pPr>
        <w:spacing w:before="160" w:after="60"/>
      </w:pPr>
      <w:r>
        <w:rPr>
          <w:b/>
          <w:color w:val="1F3864"/>
          <w:sz w:val="22"/>
        </w:rPr>
        <w:t>Supporting reference selection</w:t>
      </w:r>
    </w:p>
    <w:p w:rsidR="00132811" w:rsidRDefault="00243C97">
      <w:pPr>
        <w:spacing w:after="80" w:line="288" w:lineRule="auto"/>
        <w:jc w:val="both"/>
      </w:pPr>
      <w:r>
        <w:t>For each retained sub-contribution, two independent references were selected preferentially in this hierarchy: (i) international guideline / consensus statement; (ii) canonical textbook or society recommendation; (iii) landmark study or systematic review; (iv) high-quality review article. An optional third reference was added where the topic was controversial or where additional precision was warranted. References had to be independent in authorship, institution, and original data.</w:t>
      </w:r>
    </w:p>
    <w:p w:rsidR="00132811" w:rsidRDefault="00243C97">
      <w:pPr>
        <w:spacing w:before="160" w:after="60"/>
      </w:pPr>
      <w:r>
        <w:rPr>
          <w:b/>
          <w:color w:val="1F3864"/>
          <w:sz w:val="22"/>
        </w:rPr>
        <w:t>Classification assignment</w:t>
      </w:r>
    </w:p>
    <w:p w:rsidR="00132811" w:rsidRDefault="00243C97">
      <w:pPr>
        <w:spacing w:after="80" w:line="288" w:lineRule="auto"/>
        <w:jc w:val="both"/>
      </w:pPr>
      <w:r>
        <w:t>Every verified sub-contribution was assigned to one of the five pre-defined error-type categories defined in Section 3. The categories are interpretive frameworks; the aggregate distribution reported here is consistent with the corresponding figures and tables in the accompanying BMC Medical Education manuscript.</w:t>
      </w:r>
    </w:p>
    <w:p w:rsidR="00132811" w:rsidRDefault="00243C97">
      <w:pPr>
        <w:spacing w:before="160" w:after="60"/>
      </w:pPr>
      <w:r>
        <w:rPr>
          <w:b/>
          <w:color w:val="1F3864"/>
          <w:sz w:val="22"/>
        </w:rPr>
        <w:t>Editorial response categorisation</w:t>
      </w:r>
    </w:p>
    <w:p w:rsidR="00132811" w:rsidRDefault="00243C97">
      <w:pPr>
        <w:spacing w:after="80" w:line="288" w:lineRule="auto"/>
        <w:jc w:val="both"/>
      </w:pPr>
      <w:r>
        <w:t>Editorial responses were normalised into the seven-category vocabulary defined in Section 4. The verbatim or closely paraphrased response text is preserved in the Editorial Response column of every per-book table.</w:t>
      </w:r>
    </w:p>
    <w:p w:rsidR="00132811" w:rsidRDefault="00243C97">
      <w:pPr>
        <w:spacing w:before="160" w:after="60"/>
      </w:pPr>
      <w:r>
        <w:rPr>
          <w:b/>
          <w:color w:val="1F3864"/>
          <w:sz w:val="22"/>
        </w:rPr>
        <w:t>Inclusion criteria</w:t>
      </w:r>
    </w:p>
    <w:p w:rsidR="00132811" w:rsidRDefault="00243C97">
      <w:pPr>
        <w:spacing w:after="80" w:line="288" w:lineRule="auto"/>
        <w:jc w:val="both"/>
      </w:pPr>
      <w:r>
        <w:t>(i) Pertains to an internationally disseminated medical educational resource. (ii) At least two independent authoritative sources corroborate the proposed correction. (iii) The original text passage and its precise location can be unambiguously identified. (iv) The correction has been formally submitted to the publisher, editor-in-chief, or chapter author with timestamped documentation.</w:t>
      </w:r>
    </w:p>
    <w:p w:rsidR="00132811" w:rsidRDefault="00243C97">
      <w:pPr>
        <w:spacing w:before="160" w:after="60"/>
      </w:pPr>
      <w:r>
        <w:rPr>
          <w:b/>
          <w:color w:val="1F3864"/>
          <w:sz w:val="22"/>
        </w:rPr>
        <w:t>Exclusion criteria</w:t>
      </w:r>
    </w:p>
    <w:p w:rsidR="00132811" w:rsidRDefault="00243C97">
      <w:pPr>
        <w:spacing w:after="80" w:line="288" w:lineRule="auto"/>
        <w:jc w:val="both"/>
      </w:pPr>
      <w:r>
        <w:t>(i) Stylistic preferences not impacting factual accuracy. (ii) Opinion-based statements where no scientific consensus exists and the published text represents a defensible viewpoint. (iii) Candidate discrepancies for which only one supporting reference could be identified. (iv) Typographical errors without clinical or educational consequence.</w:t>
      </w:r>
    </w:p>
    <w:p w:rsidR="00132811" w:rsidRDefault="00243C97">
      <w:pPr>
        <w:spacing w:before="160" w:after="60"/>
      </w:pPr>
      <w:r>
        <w:rPr>
          <w:b/>
          <w:color w:val="1F3864"/>
          <w:sz w:val="22"/>
        </w:rPr>
        <w:t>Verification methodology</w:t>
      </w:r>
    </w:p>
    <w:p w:rsidR="00132811" w:rsidRDefault="00243C97">
      <w:pPr>
        <w:spacing w:after="80" w:line="288" w:lineRule="auto"/>
        <w:jc w:val="both"/>
      </w:pPr>
      <w:r>
        <w:t xml:space="preserve">A six-stage verification workflow was applied to every retained contribution: (1) identification of candidate discrepancy during systematic study; (2) verification against independent authoritative sources; (3) evidence </w:t>
      </w:r>
      <w:r>
        <w:lastRenderedPageBreak/>
        <w:t>validation; (4) formal submission to the publisher or editor-in-chief with full bibliography; (5) editorial review; (6) classification and registry entry. The workflow is depicted in Section 5.</w:t>
      </w:r>
    </w:p>
    <w:p w:rsidR="00132811" w:rsidRDefault="00243C97">
      <w:pPr>
        <w:spacing w:before="160" w:after="60"/>
      </w:pPr>
      <w:r>
        <w:rPr>
          <w:b/>
          <w:color w:val="1F3864"/>
          <w:sz w:val="22"/>
        </w:rPr>
        <w:t>Reproducibility</w:t>
      </w:r>
    </w:p>
    <w:p w:rsidR="00132811" w:rsidRDefault="00243C97">
      <w:pPr>
        <w:spacing w:after="80" w:line="288" w:lineRule="auto"/>
        <w:jc w:val="both"/>
      </w:pPr>
      <w:r>
        <w:t>Any independent reviewer with access to the cited references and the relevant edition of the source resource can in principle reproduce every verification step. Reproducibility rests on precise source location, independence and authority of the supporting references, and the standardised classification taxonomy.</w:t>
      </w:r>
    </w:p>
    <w:p w:rsidR="00132811" w:rsidRDefault="00243C97">
      <w:pPr>
        <w:spacing w:before="160" w:after="60"/>
      </w:pPr>
      <w:r>
        <w:rPr>
          <w:b/>
          <w:color w:val="1F3864"/>
          <w:sz w:val="22"/>
        </w:rPr>
        <w:t>Limitations</w:t>
      </w:r>
    </w:p>
    <w:p w:rsidR="00132811" w:rsidRDefault="00243C97">
      <w:pPr>
        <w:spacing w:after="80" w:line="288" w:lineRule="auto"/>
        <w:jc w:val="both"/>
      </w:pPr>
      <w:r>
        <w:t>The audit was conducted by a single reviewer. External validation is provided indirectly by the subset of contributions that received written editorial confirmation from named publishers and editors-in-chief, indicating that those discrepancies were judged real and substantive by external expert reviewers. Future work should incorporate multiple independent auditors with formal inter-rater reliability metrics.</w:t>
      </w:r>
    </w:p>
    <w:p w:rsidR="00132811" w:rsidRDefault="00243C97">
      <w:pPr>
        <w:spacing w:before="360" w:after="160"/>
      </w:pPr>
      <w:r>
        <w:rPr>
          <w:b/>
          <w:color w:val="1F3864"/>
          <w:sz w:val="30"/>
        </w:rPr>
        <w:t>3.  Error classification framework</w:t>
      </w:r>
    </w:p>
    <w:p w:rsidR="00132811" w:rsidRDefault="00243C97">
      <w:pPr>
        <w:spacing w:after="120" w:line="288" w:lineRule="auto"/>
      </w:pPr>
      <w:r>
        <w:rPr>
          <w:i/>
          <w:color w:val="606060"/>
          <w:sz w:val="20"/>
        </w:rPr>
        <w:t>Five mutually exclusive categories with operational definitions and worked examples.</w:t>
      </w:r>
    </w:p>
    <w:tbl>
      <w:tblPr>
        <w:tblW w:w="0" w:type="auto"/>
        <w:jc w:val="center"/>
        <w:tblLayout w:type="fixed"/>
        <w:tblLook w:val="04A0" w:firstRow="1" w:lastRow="0" w:firstColumn="1" w:lastColumn="0" w:noHBand="0" w:noVBand="1"/>
      </w:tblPr>
      <w:tblGrid>
        <w:gridCol w:w="1080"/>
        <w:gridCol w:w="2448"/>
        <w:gridCol w:w="5184"/>
        <w:gridCol w:w="3456"/>
      </w:tblGrid>
      <w:tr w:rsidR="00132811">
        <w:trPr>
          <w:jc w:val="center"/>
        </w:trPr>
        <w:tc>
          <w:tcPr>
            <w:tcW w:w="108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Code</w:t>
            </w:r>
          </w:p>
        </w:tc>
        <w:tc>
          <w:tcPr>
            <w:tcW w:w="244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Category</w:t>
            </w:r>
          </w:p>
        </w:tc>
        <w:tc>
          <w:tcPr>
            <w:tcW w:w="5184"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Operational definition</w:t>
            </w:r>
          </w:p>
        </w:tc>
        <w:tc>
          <w:tcPr>
            <w:tcW w:w="3456"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Worked example</w:t>
            </w:r>
          </w:p>
        </w:tc>
      </w:tr>
      <w:tr w:rsidR="00132811">
        <w:trPr>
          <w:jc w:val="center"/>
        </w:trPr>
        <w:tc>
          <w:tcPr>
            <w:tcW w:w="108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Type I</w:t>
            </w:r>
          </w:p>
        </w:tc>
        <w:tc>
          <w:tcPr>
            <w:tcW w:w="2448" w:type="dxa"/>
            <w:tcBorders>
              <w:top w:val="single" w:sz="4" w:space="0" w:color="BFBFBF"/>
              <w:left w:val="single" w:sz="4" w:space="0" w:color="BFBFBF"/>
              <w:bottom w:val="single" w:sz="4" w:space="0" w:color="BFBFBF"/>
              <w:right w:val="single" w:sz="4" w:space="0" w:color="BFBFBF"/>
            </w:tcBorders>
          </w:tcPr>
          <w:p w:rsidR="00132811" w:rsidRDefault="00243C97">
            <w:r>
              <w:rPr>
                <w:b/>
                <w:sz w:val="19"/>
              </w:rPr>
              <w:t>Factual inaccuracy</w:t>
            </w:r>
          </w:p>
        </w:tc>
        <w:tc>
          <w:tcPr>
            <w:tcW w:w="5184" w:type="dxa"/>
            <w:tcBorders>
              <w:top w:val="single" w:sz="4" w:space="0" w:color="BFBFBF"/>
              <w:left w:val="single" w:sz="4" w:space="0" w:color="BFBFBF"/>
              <w:bottom w:val="single" w:sz="4" w:space="0" w:color="BFBFBF"/>
              <w:right w:val="single" w:sz="4" w:space="0" w:color="BFBFBF"/>
            </w:tcBorders>
          </w:tcPr>
          <w:p w:rsidR="00132811" w:rsidRDefault="00243C97">
            <w:r>
              <w:rPr>
                <w:sz w:val="19"/>
              </w:rPr>
              <w:t>A published statement is directly inconsistent with established anatomical, physiological, pharmacological, microbiological, or clinical evidence corroborated by at least two independent authoritative sources.</w:t>
            </w:r>
          </w:p>
        </w:tc>
        <w:tc>
          <w:tcPr>
            <w:tcW w:w="3456" w:type="dxa"/>
            <w:tcBorders>
              <w:top w:val="single" w:sz="4" w:space="0" w:color="BFBFBF"/>
              <w:left w:val="single" w:sz="4" w:space="0" w:color="BFBFBF"/>
              <w:bottom w:val="single" w:sz="4" w:space="0" w:color="BFBFBF"/>
              <w:right w:val="single" w:sz="4" w:space="0" w:color="BFBFBF"/>
            </w:tcBorders>
          </w:tcPr>
          <w:p w:rsidR="00132811" w:rsidRDefault="00243C97">
            <w:r>
              <w:rPr>
                <w:sz w:val="19"/>
              </w:rPr>
              <w:t>Apley &amp; Solomon: intrathecal baclofen pump catheter described as entering the epidural space (correct target: subarachnoid space).</w:t>
            </w:r>
          </w:p>
        </w:tc>
      </w:tr>
      <w:tr w:rsidR="00132811">
        <w:trPr>
          <w:jc w:val="center"/>
        </w:trPr>
        <w:tc>
          <w:tcPr>
            <w:tcW w:w="108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Type II</w:t>
            </w:r>
          </w:p>
        </w:tc>
        <w:tc>
          <w:tcPr>
            <w:tcW w:w="24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b/>
                <w:sz w:val="19"/>
              </w:rPr>
              <w:t>Critical omission</w:t>
            </w:r>
          </w:p>
        </w:tc>
        <w:tc>
          <w:tcPr>
            <w:tcW w:w="5184"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9"/>
              </w:rPr>
              <w:t>A clinically significant piece of information mandated by current evidence-based guidelines or authoritative consensus is absent from a section where its omission could materially mislead clinical reasoning or decision-making.</w:t>
            </w:r>
          </w:p>
        </w:tc>
        <w:tc>
          <w:tcPr>
            <w:tcW w:w="3456"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9"/>
              </w:rPr>
              <w:t>Bailey &amp; Love: omission of rectal NSAID prophylaxis for post-ERCP pancreatitis (IAP/APA guideline-endorsed intervention reducing risk by ~50%).</w:t>
            </w:r>
          </w:p>
        </w:tc>
      </w:tr>
      <w:tr w:rsidR="00132811">
        <w:trPr>
          <w:jc w:val="center"/>
        </w:trPr>
        <w:tc>
          <w:tcPr>
            <w:tcW w:w="108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Type III</w:t>
            </w:r>
          </w:p>
        </w:tc>
        <w:tc>
          <w:tcPr>
            <w:tcW w:w="2448" w:type="dxa"/>
            <w:tcBorders>
              <w:top w:val="single" w:sz="4" w:space="0" w:color="BFBFBF"/>
              <w:left w:val="single" w:sz="4" w:space="0" w:color="BFBFBF"/>
              <w:bottom w:val="single" w:sz="4" w:space="0" w:color="BFBFBF"/>
              <w:right w:val="single" w:sz="4" w:space="0" w:color="BFBFBF"/>
            </w:tcBorders>
          </w:tcPr>
          <w:p w:rsidR="00132811" w:rsidRDefault="00243C97">
            <w:r>
              <w:rPr>
                <w:b/>
                <w:sz w:val="19"/>
              </w:rPr>
              <w:t>Outdated clinical recommendation</w:t>
            </w:r>
          </w:p>
        </w:tc>
        <w:tc>
          <w:tcPr>
            <w:tcW w:w="5184" w:type="dxa"/>
            <w:tcBorders>
              <w:top w:val="single" w:sz="4" w:space="0" w:color="BFBFBF"/>
              <w:left w:val="single" w:sz="4" w:space="0" w:color="BFBFBF"/>
              <w:bottom w:val="single" w:sz="4" w:space="0" w:color="BFBFBF"/>
              <w:right w:val="single" w:sz="4" w:space="0" w:color="BFBFBF"/>
            </w:tcBorders>
          </w:tcPr>
          <w:p w:rsidR="00132811" w:rsidRDefault="00243C97">
            <w:r>
              <w:rPr>
                <w:sz w:val="19"/>
              </w:rPr>
              <w:t>A clinical recommendation that was previously valid but has been formally superseded by a guideline revision, drug-safety alert, or society consensus update that pre-dates the audited edition.</w:t>
            </w:r>
          </w:p>
        </w:tc>
        <w:tc>
          <w:tcPr>
            <w:tcW w:w="3456" w:type="dxa"/>
            <w:tcBorders>
              <w:top w:val="single" w:sz="4" w:space="0" w:color="BFBFBF"/>
              <w:left w:val="single" w:sz="4" w:space="0" w:color="BFBFBF"/>
              <w:bottom w:val="single" w:sz="4" w:space="0" w:color="BFBFBF"/>
              <w:right w:val="single" w:sz="4" w:space="0" w:color="BFBFBF"/>
            </w:tcBorders>
          </w:tcPr>
          <w:p w:rsidR="00132811" w:rsidRDefault="00243C97">
            <w:r>
              <w:rPr>
                <w:sz w:val="19"/>
              </w:rPr>
              <w:t>Bailey &amp; Love: prophylactic antibiotics implied appropriate in sterile necrotising pancreatitis (current IAP/APA and ESGE guidelines do not endorse this).</w:t>
            </w:r>
          </w:p>
        </w:tc>
      </w:tr>
      <w:tr w:rsidR="00132811">
        <w:trPr>
          <w:jc w:val="center"/>
        </w:trPr>
        <w:tc>
          <w:tcPr>
            <w:tcW w:w="108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Type IV</w:t>
            </w:r>
          </w:p>
        </w:tc>
        <w:tc>
          <w:tcPr>
            <w:tcW w:w="24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b/>
                <w:sz w:val="19"/>
              </w:rPr>
              <w:t>Terminological / nomenclature error</w:t>
            </w:r>
          </w:p>
        </w:tc>
        <w:tc>
          <w:tcPr>
            <w:tcW w:w="5184"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9"/>
              </w:rPr>
              <w:t>Use of deprecated, non-consensus, or inconsistent terminology where a current consensus term has been adopted by an authoritative body.</w:t>
            </w:r>
          </w:p>
        </w:tc>
        <w:tc>
          <w:tcPr>
            <w:tcW w:w="3456"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9"/>
              </w:rPr>
              <w:t>Bailey &amp; Love: "pancreatic abscess" used where the Revised Atlanta Classification (2012) mandates "walled-off necrosis".</w:t>
            </w:r>
          </w:p>
        </w:tc>
      </w:tr>
      <w:tr w:rsidR="00132811">
        <w:trPr>
          <w:jc w:val="center"/>
        </w:trPr>
        <w:tc>
          <w:tcPr>
            <w:tcW w:w="108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Type V</w:t>
            </w:r>
          </w:p>
        </w:tc>
        <w:tc>
          <w:tcPr>
            <w:tcW w:w="2448" w:type="dxa"/>
            <w:tcBorders>
              <w:top w:val="single" w:sz="4" w:space="0" w:color="BFBFBF"/>
              <w:left w:val="single" w:sz="4" w:space="0" w:color="BFBFBF"/>
              <w:bottom w:val="single" w:sz="4" w:space="0" w:color="BFBFBF"/>
              <w:right w:val="single" w:sz="4" w:space="0" w:color="BFBFBF"/>
            </w:tcBorders>
          </w:tcPr>
          <w:p w:rsidR="00132811" w:rsidRDefault="00243C97">
            <w:r>
              <w:rPr>
                <w:b/>
                <w:sz w:val="19"/>
              </w:rPr>
              <w:t>Classification error</w:t>
            </w:r>
          </w:p>
        </w:tc>
        <w:tc>
          <w:tcPr>
            <w:tcW w:w="5184" w:type="dxa"/>
            <w:tcBorders>
              <w:top w:val="single" w:sz="4" w:space="0" w:color="BFBFBF"/>
              <w:left w:val="single" w:sz="4" w:space="0" w:color="BFBFBF"/>
              <w:bottom w:val="single" w:sz="4" w:space="0" w:color="BFBFBF"/>
              <w:right w:val="single" w:sz="4" w:space="0" w:color="BFBFBF"/>
            </w:tcBorders>
          </w:tcPr>
          <w:p w:rsidR="00132811" w:rsidRDefault="00243C97">
            <w:r>
              <w:rPr>
                <w:sz w:val="19"/>
              </w:rPr>
              <w:t>Misassignment of an entity within an established classification system whose taxonomy has been formalised by an authoritative body.</w:t>
            </w:r>
          </w:p>
        </w:tc>
        <w:tc>
          <w:tcPr>
            <w:tcW w:w="3456" w:type="dxa"/>
            <w:tcBorders>
              <w:top w:val="single" w:sz="4" w:space="0" w:color="BFBFBF"/>
              <w:left w:val="single" w:sz="4" w:space="0" w:color="BFBFBF"/>
              <w:bottom w:val="single" w:sz="4" w:space="0" w:color="BFBFBF"/>
              <w:right w:val="single" w:sz="4" w:space="0" w:color="BFBFBF"/>
            </w:tcBorders>
          </w:tcPr>
          <w:p w:rsidR="00132811" w:rsidRDefault="00243C97">
            <w:r>
              <w:rPr>
                <w:sz w:val="19"/>
              </w:rPr>
              <w:t>Apley &amp; Solomon: dystonia classified as a hypokinetic movement disorder (the MDS Consensus Update [Albanese 2013] categorises dystonia as hyperkinetic).</w:t>
            </w:r>
          </w:p>
        </w:tc>
      </w:tr>
    </w:tbl>
    <w:p w:rsidR="00132811" w:rsidRDefault="00132811">
      <w:pPr>
        <w:spacing w:after="120"/>
      </w:pPr>
    </w:p>
    <w:p w:rsidR="00132811" w:rsidRDefault="00243C97">
      <w:pPr>
        <w:spacing w:before="360" w:after="160"/>
      </w:pPr>
      <w:r>
        <w:rPr>
          <w:b/>
          <w:color w:val="1F3864"/>
          <w:sz w:val="30"/>
        </w:rPr>
        <w:t>4.  Editorial response classification key</w:t>
      </w:r>
    </w:p>
    <w:p w:rsidR="00132811" w:rsidRDefault="00243C97">
      <w:pPr>
        <w:spacing w:after="120" w:line="288" w:lineRule="auto"/>
      </w:pPr>
      <w:r>
        <w:rPr>
          <w:i/>
          <w:color w:val="606060"/>
          <w:sz w:val="20"/>
        </w:rPr>
        <w:t>Standardised vocabulary applied uniformly across all per-book tables.</w:t>
      </w:r>
    </w:p>
    <w:tbl>
      <w:tblPr>
        <w:tblW w:w="0" w:type="auto"/>
        <w:jc w:val="center"/>
        <w:tblLook w:val="04A0" w:firstRow="1" w:lastRow="0" w:firstColumn="1" w:lastColumn="0" w:noHBand="0" w:noVBand="1"/>
      </w:tblPr>
      <w:tblGrid>
        <w:gridCol w:w="1974"/>
        <w:gridCol w:w="7988"/>
      </w:tblGrid>
      <w:tr w:rsidR="00132811">
        <w:trPr>
          <w:jc w:val="center"/>
        </w:trPr>
        <w:tc>
          <w:tcPr>
            <w:tcW w:w="216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lastRenderedPageBreak/>
              <w:t>Status</w:t>
            </w:r>
          </w:p>
        </w:tc>
        <w:tc>
          <w:tcPr>
            <w:tcW w:w="1000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Operational definition</w:t>
            </w:r>
          </w:p>
        </w:tc>
      </w:tr>
      <w:tr w:rsidR="00132811">
        <w:trPr>
          <w:jc w:val="center"/>
        </w:trPr>
        <w:tc>
          <w:tcPr>
            <w:tcW w:w="216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Accepted</w:t>
            </w:r>
          </w:p>
        </w:tc>
        <w:tc>
          <w:tcPr>
            <w:tcW w:w="10008" w:type="dxa"/>
            <w:tcBorders>
              <w:top w:val="single" w:sz="4" w:space="0" w:color="BFBFBF"/>
              <w:left w:val="single" w:sz="4" w:space="0" w:color="BFBFBF"/>
              <w:bottom w:val="single" w:sz="4" w:space="0" w:color="BFBFBF"/>
              <w:right w:val="single" w:sz="4" w:space="0" w:color="BFBFBF"/>
            </w:tcBorders>
          </w:tcPr>
          <w:p w:rsidR="00132811" w:rsidRDefault="00243C97">
            <w:r>
              <w:rPr>
                <w:sz w:val="19"/>
              </w:rPr>
              <w:t>Written confirmation by the publisher, editor-in-chief, or chapter author that the submitted correction has been agreed and will be incorporated into a named forthcoming edition. Documented in retained correspondence.</w:t>
            </w:r>
          </w:p>
        </w:tc>
      </w:tr>
      <w:tr w:rsidR="00132811">
        <w:trPr>
          <w:jc w:val="center"/>
        </w:trPr>
        <w:tc>
          <w:tcPr>
            <w:tcW w:w="216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Incorporated</w:t>
            </w:r>
          </w:p>
        </w:tc>
        <w:tc>
          <w:tcPr>
            <w:tcW w:w="1000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9"/>
              </w:rPr>
              <w:t>The correction has already been inserted into a publicly accessible version (online edition, e-book, errata page). Strict subset of Accepted.</w:t>
            </w:r>
          </w:p>
        </w:tc>
      </w:tr>
      <w:tr w:rsidR="00132811">
        <w:trPr>
          <w:jc w:val="center"/>
        </w:trPr>
        <w:tc>
          <w:tcPr>
            <w:tcW w:w="216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Acknowledged</w:t>
            </w:r>
          </w:p>
        </w:tc>
        <w:tc>
          <w:tcPr>
            <w:tcW w:w="10008" w:type="dxa"/>
            <w:tcBorders>
              <w:top w:val="single" w:sz="4" w:space="0" w:color="BFBFBF"/>
              <w:left w:val="single" w:sz="4" w:space="0" w:color="BFBFBF"/>
              <w:bottom w:val="single" w:sz="4" w:space="0" w:color="BFBFBF"/>
              <w:right w:val="single" w:sz="4" w:space="0" w:color="BFBFBF"/>
            </w:tcBorders>
          </w:tcPr>
          <w:p w:rsidR="00132811" w:rsidRDefault="00243C97">
            <w:r>
              <w:rPr>
                <w:sz w:val="19"/>
              </w:rPr>
              <w:t>The publisher or editor has formally acknowledged receipt and recognised scientific substance, without yet committing to incorporation.</w:t>
            </w:r>
          </w:p>
        </w:tc>
      </w:tr>
      <w:tr w:rsidR="00132811">
        <w:trPr>
          <w:jc w:val="center"/>
        </w:trPr>
        <w:tc>
          <w:tcPr>
            <w:tcW w:w="216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Forwarded</w:t>
            </w:r>
          </w:p>
        </w:tc>
        <w:tc>
          <w:tcPr>
            <w:tcW w:w="1000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9"/>
              </w:rPr>
              <w:t>The submission has been received and routed to the chapter author, subspecialty editor, or incoming editorial team for review. Editor-in-chief routing confirmed; decision pending.</w:t>
            </w:r>
          </w:p>
        </w:tc>
      </w:tr>
      <w:tr w:rsidR="00132811">
        <w:trPr>
          <w:jc w:val="center"/>
        </w:trPr>
        <w:tc>
          <w:tcPr>
            <w:tcW w:w="216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Under review</w:t>
            </w:r>
          </w:p>
        </w:tc>
        <w:tc>
          <w:tcPr>
            <w:tcW w:w="10008" w:type="dxa"/>
            <w:tcBorders>
              <w:top w:val="single" w:sz="4" w:space="0" w:color="BFBFBF"/>
              <w:left w:val="single" w:sz="4" w:space="0" w:color="BFBFBF"/>
              <w:bottom w:val="single" w:sz="4" w:space="0" w:color="BFBFBF"/>
              <w:right w:val="single" w:sz="4" w:space="0" w:color="BFBFBF"/>
            </w:tcBorders>
          </w:tcPr>
          <w:p w:rsidR="00132811" w:rsidRDefault="00243C97">
            <w:r>
              <w:rPr>
                <w:sz w:val="19"/>
              </w:rPr>
              <w:t>Active editorial review with an internal timeline; distinguished from Forwarded by the presence of an active review process.</w:t>
            </w:r>
          </w:p>
        </w:tc>
      </w:tr>
      <w:tr w:rsidR="00132811">
        <w:trPr>
          <w:jc w:val="center"/>
        </w:trPr>
        <w:tc>
          <w:tcPr>
            <w:tcW w:w="216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Under discussion</w:t>
            </w:r>
          </w:p>
        </w:tc>
        <w:tc>
          <w:tcPr>
            <w:tcW w:w="1000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9"/>
              </w:rPr>
              <w:t>Initially declined by the editor or author; substantive dialogue regarding the underlying scientific basis is continuing. The proposed correction remains fully defensible per cited canonical references.</w:t>
            </w:r>
          </w:p>
        </w:tc>
      </w:tr>
      <w:tr w:rsidR="00132811">
        <w:trPr>
          <w:jc w:val="center"/>
        </w:trPr>
        <w:tc>
          <w:tcPr>
            <w:tcW w:w="2160" w:type="dxa"/>
            <w:tcBorders>
              <w:top w:val="single" w:sz="4" w:space="0" w:color="BFBFBF"/>
              <w:left w:val="single" w:sz="4" w:space="0" w:color="BFBFBF"/>
              <w:bottom w:val="single" w:sz="4" w:space="0" w:color="BFBFBF"/>
              <w:right w:val="single" w:sz="4" w:space="0" w:color="BFBFBF"/>
            </w:tcBorders>
            <w:shd w:val="clear" w:color="auto" w:fill="E7EDF7"/>
          </w:tcPr>
          <w:p w:rsidR="00132811" w:rsidRDefault="00243C97">
            <w:pPr>
              <w:jc w:val="center"/>
            </w:pPr>
            <w:r>
              <w:rPr>
                <w:b/>
                <w:sz w:val="19"/>
              </w:rPr>
              <w:t>Pending</w:t>
            </w:r>
          </w:p>
        </w:tc>
        <w:tc>
          <w:tcPr>
            <w:tcW w:w="10008" w:type="dxa"/>
            <w:tcBorders>
              <w:top w:val="single" w:sz="4" w:space="0" w:color="BFBFBF"/>
              <w:left w:val="single" w:sz="4" w:space="0" w:color="BFBFBF"/>
              <w:bottom w:val="single" w:sz="4" w:space="0" w:color="BFBFBF"/>
              <w:right w:val="single" w:sz="4" w:space="0" w:color="BFBFBF"/>
            </w:tcBorders>
          </w:tcPr>
          <w:p w:rsidR="00132811" w:rsidRDefault="00243C97">
            <w:r>
              <w:rPr>
                <w:sz w:val="19"/>
              </w:rPr>
              <w:t>Submission delivered with timestamped confirmation but no individual editorial response has yet been received. Follow-up correspondence has been initiated where the 30-day threshold has been exceeded.</w:t>
            </w:r>
          </w:p>
        </w:tc>
      </w:tr>
    </w:tbl>
    <w:p w:rsidR="00132811" w:rsidRDefault="00132811">
      <w:pPr>
        <w:spacing w:after="120"/>
      </w:pPr>
    </w:p>
    <w:p w:rsidR="00132811" w:rsidRDefault="00243C97">
      <w:pPr>
        <w:spacing w:before="360" w:after="160"/>
      </w:pPr>
      <w:r>
        <w:rPr>
          <w:b/>
          <w:color w:val="1F3864"/>
          <w:sz w:val="30"/>
        </w:rPr>
        <w:t>5.  Reviewer-oriented verification workflow</w:t>
      </w:r>
    </w:p>
    <w:p w:rsidR="00132811" w:rsidRDefault="00243C97">
      <w:pPr>
        <w:spacing w:after="120" w:line="288" w:lineRule="auto"/>
      </w:pPr>
      <w:r>
        <w:rPr>
          <w:i/>
          <w:color w:val="606060"/>
          <w:sz w:val="20"/>
        </w:rPr>
        <w:t>Six-stage process applied to every contribution with quality-control criteria at each stage.</w:t>
      </w:r>
    </w:p>
    <w:p w:rsidR="00132811" w:rsidRDefault="00243C97">
      <w:pPr>
        <w:spacing w:after="120"/>
        <w:jc w:val="center"/>
      </w:pPr>
      <w:r>
        <w:rPr>
          <w:noProof/>
        </w:rPr>
        <w:drawing>
          <wp:inline distT="0" distB="0" distL="0" distR="0">
            <wp:extent cx="6400800" cy="2871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2_workflow.png"/>
                    <pic:cNvPicPr/>
                  </pic:nvPicPr>
                  <pic:blipFill>
                    <a:blip r:embed="rId6"/>
                    <a:stretch>
                      <a:fillRect/>
                    </a:stretch>
                  </pic:blipFill>
                  <pic:spPr>
                    <a:xfrm>
                      <a:off x="0" y="0"/>
                      <a:ext cx="6400800" cy="2871832"/>
                    </a:xfrm>
                    <a:prstGeom prst="rect">
                      <a:avLst/>
                    </a:prstGeom>
                  </pic:spPr>
                </pic:pic>
              </a:graphicData>
            </a:graphic>
          </wp:inline>
        </w:drawing>
      </w:r>
    </w:p>
    <w:p w:rsidR="00132811" w:rsidRDefault="00243C97">
      <w:pPr>
        <w:spacing w:before="160" w:after="60"/>
      </w:pPr>
      <w:r>
        <w:rPr>
          <w:b/>
          <w:color w:val="1F3864"/>
          <w:sz w:val="22"/>
        </w:rPr>
        <w:t>Quality-control criteria applied at every stage</w:t>
      </w:r>
    </w:p>
    <w:p w:rsidR="00132811" w:rsidRDefault="00243C97">
      <w:pPr>
        <w:pStyle w:val="ListBullet"/>
        <w:spacing w:after="40"/>
      </w:pPr>
      <w:r>
        <w:rPr>
          <w:sz w:val="20"/>
        </w:rPr>
        <w:t>Minimum of two independent authoritative supporting references per sub-contribution.</w:t>
      </w:r>
    </w:p>
    <w:p w:rsidR="00132811" w:rsidRDefault="00243C97">
      <w:pPr>
        <w:pStyle w:val="ListBullet"/>
        <w:spacing w:after="40"/>
      </w:pPr>
      <w:r>
        <w:rPr>
          <w:sz w:val="20"/>
        </w:rPr>
        <w:t>Verbatim or closely paraphrased editorial response text retained in every row.</w:t>
      </w:r>
    </w:p>
    <w:p w:rsidR="00132811" w:rsidRDefault="00243C97">
      <w:pPr>
        <w:pStyle w:val="ListBullet"/>
        <w:spacing w:after="40"/>
      </w:pPr>
      <w:r>
        <w:rPr>
          <w:sz w:val="20"/>
        </w:rPr>
        <w:lastRenderedPageBreak/>
        <w:t>Timestamped submission log maintained.</w:t>
      </w:r>
    </w:p>
    <w:p w:rsidR="00132811" w:rsidRDefault="00243C97">
      <w:pPr>
        <w:pStyle w:val="ListBullet"/>
        <w:spacing w:after="40"/>
      </w:pPr>
      <w:r>
        <w:rPr>
          <w:sz w:val="20"/>
        </w:rPr>
        <w:t>Standardised classification and response taxonomies applied without variation across all per-book tables.</w:t>
      </w:r>
    </w:p>
    <w:p w:rsidR="00132811" w:rsidRDefault="00243C97">
      <w:pPr>
        <w:pStyle w:val="ListBullet"/>
        <w:spacing w:after="40"/>
      </w:pPr>
      <w:r>
        <w:rPr>
          <w:sz w:val="20"/>
        </w:rPr>
        <w:t>Single-reviewer design acknowledged; external validation provided by the subset of contributions receiving written editorial confirmation from named publishers and editors-in-chief.</w:t>
      </w:r>
    </w:p>
    <w:p w:rsidR="00132811" w:rsidRDefault="00243C97">
      <w:pPr>
        <w:spacing w:before="360" w:after="160"/>
      </w:pPr>
      <w:r>
        <w:rPr>
          <w:b/>
          <w:color w:val="1F3864"/>
          <w:sz w:val="30"/>
        </w:rPr>
        <w:t>6.  Per-resource audit registries</w:t>
      </w:r>
    </w:p>
    <w:p w:rsidR="00132811" w:rsidRDefault="00243C97">
      <w:pPr>
        <w:spacing w:after="160" w:line="288" w:lineRule="auto"/>
        <w:jc w:val="both"/>
      </w:pPr>
      <w:r>
        <w:t>Each table presents one resource. Each row is one email submission topic; the sub-contributions within that topic are itemised within the row, each with a minimum of two independent supporting references. The right-hand column records the verbatim or closely paraphrased editorial response, normalised to the standardised vocabulary defined in Section 4. The aggregate sub-contribution count is 213, matching the accompanying BMC Medical Education manuscript and Supplementary Material 1.</w:t>
      </w:r>
    </w:p>
    <w:p w:rsidR="00132811" w:rsidRDefault="00243C97">
      <w:pPr>
        <w:spacing w:before="240" w:after="80"/>
      </w:pPr>
      <w:r>
        <w:rPr>
          <w:b/>
          <w:color w:val="2E75B6"/>
          <w:sz w:val="24"/>
        </w:rPr>
        <w:t>6.1  Bailey &amp; Love's Short Practice of Surgery (28th ed.)</w:t>
      </w:r>
    </w:p>
    <w:p w:rsidR="00132811" w:rsidRDefault="00243C97">
      <w:pPr>
        <w:spacing w:after="40"/>
      </w:pPr>
      <w:r>
        <w:rPr>
          <w:b/>
          <w:sz w:val="20"/>
        </w:rPr>
        <w:t xml:space="preserve">Specialty: </w:t>
      </w:r>
      <w:r>
        <w:rPr>
          <w:sz w:val="20"/>
        </w:rPr>
        <w:t>Surgery — General and specialty surgery</w:t>
      </w:r>
    </w:p>
    <w:p w:rsidR="00132811" w:rsidRDefault="00243C97">
      <w:pPr>
        <w:spacing w:after="40"/>
      </w:pPr>
      <w:r>
        <w:rPr>
          <w:b/>
          <w:sz w:val="20"/>
        </w:rPr>
        <w:t xml:space="preserve">Total sub-contributions: </w:t>
      </w:r>
      <w:r>
        <w:rPr>
          <w:b/>
          <w:color w:val="1F3864"/>
          <w:sz w:val="20"/>
        </w:rPr>
        <w:t xml:space="preserve">38  </w:t>
      </w:r>
      <w:r>
        <w:rPr>
          <w:color w:val="606060"/>
          <w:sz w:val="19"/>
        </w:rPr>
        <w:t>(Type I: 16 · Type II: 9 · Type III: 7 · Type IV: 4 · Type V: 2)</w:t>
      </w:r>
    </w:p>
    <w:tbl>
      <w:tblPr>
        <w:tblW w:w="0" w:type="auto"/>
        <w:jc w:val="center"/>
        <w:tblLayout w:type="fixed"/>
        <w:tblLook w:val="04A0" w:firstRow="1" w:lastRow="0" w:firstColumn="1" w:lastColumn="0" w:noHBand="0" w:noVBand="1"/>
      </w:tblPr>
      <w:tblGrid>
        <w:gridCol w:w="461"/>
        <w:gridCol w:w="2232"/>
        <w:gridCol w:w="6336"/>
        <w:gridCol w:w="2779"/>
      </w:tblGrid>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w:t>
            </w:r>
          </w:p>
        </w:tc>
        <w:tc>
          <w:tcPr>
            <w:tcW w:w="2232"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Email submission topic</w:t>
            </w:r>
          </w:p>
        </w:tc>
        <w:tc>
          <w:tcPr>
            <w:tcW w:w="6336"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Sub-contributions (with two supporting references each)</w:t>
            </w:r>
          </w:p>
        </w:tc>
        <w:tc>
          <w:tcPr>
            <w:tcW w:w="2779"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Editorial response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1</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Hypercalcaemic crisis — clinical features</w:t>
            </w:r>
          </w:p>
          <w:p w:rsidR="00132811" w:rsidRDefault="00243C97">
            <w:pPr>
              <w:spacing w:after="40"/>
            </w:pPr>
            <w:r>
              <w:rPr>
                <w:b/>
                <w:color w:val="2E75B6"/>
                <w:sz w:val="18"/>
              </w:rPr>
              <w:t>9 sub-contributions</w:t>
            </w:r>
          </w:p>
          <w:p w:rsidR="00132811" w:rsidRDefault="00243C97">
            <w:pPr>
              <w:spacing w:after="40"/>
            </w:pPr>
            <w:r>
              <w:rPr>
                <w:color w:val="606060"/>
                <w:sz w:val="17"/>
              </w:rPr>
              <w:t>Type II: 1 · Type III: 4 · Type IV: 2 · Type V: 2</w:t>
            </w:r>
          </w:p>
          <w:p w:rsidR="00132811" w:rsidRDefault="00243C97">
            <w:pPr>
              <w:spacing w:after="0"/>
            </w:pPr>
            <w:r>
              <w:rPr>
                <w:b/>
                <w:sz w:val="17"/>
              </w:rPr>
              <w:t xml:space="preserve">Source: </w:t>
            </w:r>
            <w:r>
              <w:rPr>
                <w:i/>
                <w:sz w:val="17"/>
              </w:rPr>
              <w:t>Ch on endocrine surgery, p. 876 — Hypercalcaemic crisis, clinical presentation</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III] </w:t>
            </w:r>
          </w:p>
          <w:p w:rsidR="00132811" w:rsidRDefault="00243C97">
            <w:pPr>
              <w:spacing w:after="20"/>
              <w:ind w:left="216"/>
            </w:pPr>
            <w:r>
              <w:rPr>
                <w:b/>
                <w:sz w:val="17"/>
              </w:rPr>
              <w:t xml:space="preserve">Issue: </w:t>
            </w:r>
            <w:r>
              <w:rPr>
                <w:sz w:val="17"/>
              </w:rPr>
              <w:t>Omission of early-crisis hypertension as a recognised feature of hypercalcaemic crisis.</w:t>
            </w:r>
          </w:p>
          <w:p w:rsidR="00132811" w:rsidRDefault="00243C97">
            <w:pPr>
              <w:spacing w:after="20"/>
              <w:ind w:left="216"/>
            </w:pPr>
            <w:r>
              <w:rPr>
                <w:b/>
                <w:sz w:val="17"/>
              </w:rPr>
              <w:t xml:space="preserve">Correction: </w:t>
            </w:r>
            <w:r>
              <w:rPr>
                <w:sz w:val="17"/>
              </w:rPr>
              <w:t>Add: Hypertension is frequently observed in early hypercalcaemic crisis due to increased vascular tone, with significant perioperative implications.</w:t>
            </w:r>
          </w:p>
          <w:p w:rsidR="00132811" w:rsidRDefault="00243C97">
            <w:pPr>
              <w:spacing w:after="80"/>
              <w:ind w:left="216"/>
            </w:pPr>
            <w:r>
              <w:rPr>
                <w:b/>
                <w:color w:val="1F3864"/>
                <w:sz w:val="17"/>
              </w:rPr>
              <w:t xml:space="preserve">Refs: </w:t>
            </w:r>
            <w:r>
              <w:rPr>
                <w:i/>
                <w:sz w:val="16"/>
              </w:rPr>
              <w:t>(1) Williams Textbook of Endocrinology, 14th ed., Ch on parathyroid disorders. | (2) Harrison's Principles of Internal Medicine, 21st ed., section on disorders of calcium homeostasis. | (3) Oxford Handbook of Endocrinology and Diabetes, 4th ed.</w:t>
            </w:r>
          </w:p>
          <w:p w:rsidR="00132811" w:rsidRDefault="00243C97">
            <w:pPr>
              <w:spacing w:before="40" w:after="20"/>
            </w:pPr>
            <w:r>
              <w:rPr>
                <w:b/>
                <w:color w:val="1F3864"/>
                <w:sz w:val="18"/>
              </w:rPr>
              <w:t xml:space="preserve">2. </w:t>
            </w:r>
            <w:r>
              <w:rPr>
                <w:i/>
                <w:color w:val="2E75B6"/>
                <w:sz w:val="17"/>
              </w:rPr>
              <w:t xml:space="preserve">[Type III] </w:t>
            </w:r>
          </w:p>
          <w:p w:rsidR="00132811" w:rsidRDefault="00243C97">
            <w:pPr>
              <w:spacing w:after="20"/>
              <w:ind w:left="216"/>
            </w:pPr>
            <w:r>
              <w:rPr>
                <w:b/>
                <w:sz w:val="17"/>
              </w:rPr>
              <w:t xml:space="preserve">Issue: </w:t>
            </w:r>
            <w:r>
              <w:rPr>
                <w:sz w:val="17"/>
              </w:rPr>
              <w:t>Omission of late-crisis hypotension and circulatory collapse.</w:t>
            </w:r>
          </w:p>
          <w:p w:rsidR="00132811" w:rsidRDefault="00243C97">
            <w:pPr>
              <w:spacing w:after="20"/>
              <w:ind w:left="216"/>
            </w:pPr>
            <w:r>
              <w:rPr>
                <w:b/>
                <w:sz w:val="17"/>
              </w:rPr>
              <w:t xml:space="preserve">Correction: </w:t>
            </w:r>
            <w:r>
              <w:rPr>
                <w:sz w:val="17"/>
              </w:rPr>
              <w:t>Add: As crisis progresses, hypotension may develop, indicating circulatory collapse and multi-organ dysfunction.</w:t>
            </w:r>
          </w:p>
          <w:p w:rsidR="00132811" w:rsidRDefault="00243C97">
            <w:pPr>
              <w:spacing w:after="80"/>
              <w:ind w:left="216"/>
            </w:pPr>
            <w:r>
              <w:rPr>
                <w:b/>
                <w:color w:val="1F3864"/>
                <w:sz w:val="17"/>
              </w:rPr>
              <w:t xml:space="preserve">Refs: </w:t>
            </w:r>
            <w:r>
              <w:rPr>
                <w:i/>
                <w:sz w:val="16"/>
              </w:rPr>
              <w:t>(1) Williams Textbook of Endocrinology, 14th ed. | (2) Harrison's 21st ed., section on hypercalcaemia. | (3) Society for Endocrinology Emergency Guidance: Acute Hypercalcaemia in Adults (2020).</w:t>
            </w:r>
          </w:p>
          <w:p w:rsidR="00132811" w:rsidRDefault="00243C97">
            <w:pPr>
              <w:spacing w:before="40" w:after="20"/>
            </w:pPr>
            <w:r>
              <w:rPr>
                <w:b/>
                <w:color w:val="1F3864"/>
                <w:sz w:val="18"/>
              </w:rPr>
              <w:t xml:space="preserve">3. </w:t>
            </w:r>
            <w:r>
              <w:rPr>
                <w:i/>
                <w:color w:val="2E75B6"/>
                <w:sz w:val="17"/>
              </w:rPr>
              <w:t xml:space="preserve">[Type III] </w:t>
            </w:r>
          </w:p>
          <w:p w:rsidR="00132811" w:rsidRDefault="00243C97">
            <w:pPr>
              <w:spacing w:after="20"/>
              <w:ind w:left="216"/>
            </w:pPr>
            <w:r>
              <w:rPr>
                <w:b/>
                <w:sz w:val="17"/>
              </w:rPr>
              <w:t xml:space="preserve">Issue: </w:t>
            </w:r>
            <w:r>
              <w:rPr>
                <w:sz w:val="17"/>
              </w:rPr>
              <w:t>Omission of clinical-pearl statement on diagnostic significance of haemodynamic transition.</w:t>
            </w:r>
          </w:p>
          <w:p w:rsidR="00132811" w:rsidRDefault="00243C97">
            <w:pPr>
              <w:spacing w:after="20"/>
              <w:ind w:left="216"/>
            </w:pPr>
            <w:r>
              <w:rPr>
                <w:b/>
                <w:sz w:val="17"/>
              </w:rPr>
              <w:t xml:space="preserve">Correction: </w:t>
            </w:r>
            <w:r>
              <w:rPr>
                <w:sz w:val="17"/>
              </w:rPr>
              <w:t>Add: Recognising the transition from hypertension to hypotension is crucial for optimising fluid management strategies in surgical patients.</w:t>
            </w:r>
          </w:p>
          <w:p w:rsidR="00132811" w:rsidRDefault="00243C97">
            <w:pPr>
              <w:spacing w:after="80"/>
              <w:ind w:left="216"/>
            </w:pPr>
            <w:r>
              <w:rPr>
                <w:b/>
                <w:color w:val="1F3864"/>
                <w:sz w:val="17"/>
              </w:rPr>
              <w:t xml:space="preserve">Refs: </w:t>
            </w:r>
            <w:r>
              <w:rPr>
                <w:i/>
                <w:sz w:val="16"/>
              </w:rPr>
              <w:t>(1) Oxford Handbook of Endocrinology and Diabetes, 4th ed. | (2) Carroll MF, Schade DS. A practical approach to hypercalcaemia. Am Fam Physician. 2003;67(9):1959–1966.</w:t>
            </w:r>
          </w:p>
          <w:p w:rsidR="00132811" w:rsidRDefault="00243C97">
            <w:pPr>
              <w:spacing w:before="40" w:after="20"/>
            </w:pPr>
            <w:r>
              <w:rPr>
                <w:b/>
                <w:color w:val="1F3864"/>
                <w:sz w:val="18"/>
              </w:rPr>
              <w:t xml:space="preserve">4. </w:t>
            </w:r>
            <w:r>
              <w:rPr>
                <w:i/>
                <w:color w:val="2E75B6"/>
                <w:sz w:val="17"/>
              </w:rPr>
              <w:t xml:space="preserve">[Type III] </w:t>
            </w:r>
          </w:p>
          <w:p w:rsidR="00132811" w:rsidRDefault="00243C97">
            <w:pPr>
              <w:spacing w:after="20"/>
              <w:ind w:left="216"/>
            </w:pPr>
            <w:r>
              <w:rPr>
                <w:b/>
                <w:sz w:val="17"/>
              </w:rPr>
              <w:t xml:space="preserve">Issue: </w:t>
            </w:r>
            <w:r>
              <w:rPr>
                <w:sz w:val="17"/>
              </w:rPr>
              <w:t>Omission of AKI as a recognised complication of hypercalcaemic crisis.</w:t>
            </w:r>
          </w:p>
          <w:p w:rsidR="00132811" w:rsidRDefault="00243C97">
            <w:pPr>
              <w:spacing w:after="20"/>
              <w:ind w:left="216"/>
            </w:pPr>
            <w:r>
              <w:rPr>
                <w:b/>
                <w:sz w:val="17"/>
              </w:rPr>
              <w:t xml:space="preserve">Correction: </w:t>
            </w:r>
            <w:r>
              <w:rPr>
                <w:sz w:val="17"/>
              </w:rPr>
              <w:t>Add: AKI from calcium deposition in the kidneys is a recognised complication.</w:t>
            </w:r>
          </w:p>
          <w:p w:rsidR="00132811" w:rsidRDefault="00243C97">
            <w:pPr>
              <w:spacing w:after="80"/>
              <w:ind w:left="216"/>
            </w:pPr>
            <w:r>
              <w:rPr>
                <w:b/>
                <w:color w:val="1F3864"/>
                <w:sz w:val="17"/>
              </w:rPr>
              <w:t xml:space="preserve">Refs: </w:t>
            </w:r>
            <w:r>
              <w:rPr>
                <w:i/>
                <w:sz w:val="16"/>
              </w:rPr>
              <w:t>(1) Harrison's Principles of Internal Medicine, 21st ed. | (2) KDIGO Clinical Practice Guideline for Acute Kidney Injury, 2012.</w:t>
            </w:r>
          </w:p>
          <w:p w:rsidR="00132811" w:rsidRDefault="00243C97">
            <w:pPr>
              <w:spacing w:before="40" w:after="20"/>
            </w:pPr>
            <w:r>
              <w:rPr>
                <w:b/>
                <w:color w:val="1F3864"/>
                <w:sz w:val="18"/>
              </w:rPr>
              <w:t xml:space="preserve">5. </w:t>
            </w:r>
            <w:r>
              <w:rPr>
                <w:i/>
                <w:color w:val="2E75B6"/>
                <w:sz w:val="17"/>
              </w:rPr>
              <w:t xml:space="preserve">[Type IV] </w:t>
            </w:r>
          </w:p>
          <w:p w:rsidR="00132811" w:rsidRDefault="00243C97">
            <w:pPr>
              <w:spacing w:after="20"/>
              <w:ind w:left="216"/>
            </w:pPr>
            <w:r>
              <w:rPr>
                <w:b/>
                <w:sz w:val="17"/>
              </w:rPr>
              <w:lastRenderedPageBreak/>
              <w:t xml:space="preserve">Issue: </w:t>
            </w:r>
            <w:r>
              <w:rPr>
                <w:sz w:val="17"/>
              </w:rPr>
              <w:t>Omission of preoperative fluid resuscitation as a frequent requirement.</w:t>
            </w:r>
          </w:p>
          <w:p w:rsidR="00132811" w:rsidRDefault="00243C97">
            <w:pPr>
              <w:spacing w:after="20"/>
              <w:ind w:left="216"/>
            </w:pPr>
            <w:r>
              <w:rPr>
                <w:b/>
                <w:sz w:val="17"/>
              </w:rPr>
              <w:t xml:space="preserve">Correction: </w:t>
            </w:r>
            <w:r>
              <w:rPr>
                <w:sz w:val="17"/>
              </w:rPr>
              <w:t>Add: AKI may necessitate preoperative fluid resuscitation.</w:t>
            </w:r>
          </w:p>
          <w:p w:rsidR="00132811" w:rsidRDefault="00243C97">
            <w:pPr>
              <w:spacing w:after="80"/>
              <w:ind w:left="216"/>
            </w:pPr>
            <w:r>
              <w:rPr>
                <w:b/>
                <w:color w:val="1F3864"/>
                <w:sz w:val="17"/>
              </w:rPr>
              <w:t xml:space="preserve">Refs: </w:t>
            </w:r>
            <w:r>
              <w:rPr>
                <w:i/>
                <w:sz w:val="16"/>
              </w:rPr>
              <w:t>(1) Harrison's 21st ed. | (2) Society for Endocrinology Emergency Guidance: Acute Hypercalcaemia in Adults (2020).</w:t>
            </w:r>
          </w:p>
          <w:p w:rsidR="00132811" w:rsidRDefault="00243C97">
            <w:pPr>
              <w:spacing w:before="40" w:after="20"/>
            </w:pPr>
            <w:r>
              <w:rPr>
                <w:b/>
                <w:color w:val="1F3864"/>
                <w:sz w:val="18"/>
              </w:rPr>
              <w:t xml:space="preserve">6. </w:t>
            </w:r>
            <w:r>
              <w:rPr>
                <w:i/>
                <w:color w:val="2E75B6"/>
                <w:sz w:val="17"/>
              </w:rPr>
              <w:t xml:space="preserve">[Type IV] </w:t>
            </w:r>
          </w:p>
          <w:p w:rsidR="00132811" w:rsidRDefault="00243C97">
            <w:pPr>
              <w:spacing w:after="20"/>
              <w:ind w:left="216"/>
            </w:pPr>
            <w:r>
              <w:rPr>
                <w:b/>
                <w:sz w:val="17"/>
              </w:rPr>
              <w:t xml:space="preserve">Issue: </w:t>
            </w:r>
            <w:r>
              <w:rPr>
                <w:sz w:val="17"/>
              </w:rPr>
              <w:t>Omission of dialysis as a management option in severe AKI complicating crisis.</w:t>
            </w:r>
          </w:p>
          <w:p w:rsidR="00132811" w:rsidRDefault="00243C97">
            <w:pPr>
              <w:spacing w:after="20"/>
              <w:ind w:left="216"/>
            </w:pPr>
            <w:r>
              <w:rPr>
                <w:b/>
                <w:sz w:val="17"/>
              </w:rPr>
              <w:t xml:space="preserve">Correction: </w:t>
            </w:r>
            <w:r>
              <w:rPr>
                <w:sz w:val="17"/>
              </w:rPr>
              <w:t>Add: AKI may necessitate dialysis in severe hypercalcaemic crisis.</w:t>
            </w:r>
          </w:p>
          <w:p w:rsidR="00132811" w:rsidRDefault="00243C97">
            <w:pPr>
              <w:spacing w:after="80"/>
              <w:ind w:left="216"/>
            </w:pPr>
            <w:r>
              <w:rPr>
                <w:b/>
                <w:color w:val="1F3864"/>
                <w:sz w:val="17"/>
              </w:rPr>
              <w:t xml:space="preserve">Refs: </w:t>
            </w:r>
            <w:r>
              <w:rPr>
                <w:i/>
                <w:sz w:val="16"/>
              </w:rPr>
              <w:t>(1) KDIGO Clinical Practice Guideline for Acute Kidney Injury, 2012. | (2) Harrison's 21st ed.</w:t>
            </w:r>
          </w:p>
          <w:p w:rsidR="00132811" w:rsidRDefault="00243C97">
            <w:pPr>
              <w:spacing w:before="40" w:after="20"/>
            </w:pPr>
            <w:r>
              <w:rPr>
                <w:b/>
                <w:color w:val="1F3864"/>
                <w:sz w:val="18"/>
              </w:rPr>
              <w:t xml:space="preserve">7. </w:t>
            </w:r>
            <w:r>
              <w:rPr>
                <w:i/>
                <w:color w:val="2E75B6"/>
                <w:sz w:val="17"/>
              </w:rPr>
              <w:t xml:space="preserve">[Type V] </w:t>
            </w:r>
          </w:p>
          <w:p w:rsidR="00132811" w:rsidRDefault="00243C97">
            <w:pPr>
              <w:spacing w:after="20"/>
              <w:ind w:left="216"/>
            </w:pPr>
            <w:r>
              <w:rPr>
                <w:b/>
                <w:sz w:val="17"/>
              </w:rPr>
              <w:t xml:space="preserve">Issue: </w:t>
            </w:r>
            <w:r>
              <w:rPr>
                <w:sz w:val="17"/>
              </w:rPr>
              <w:t>Omission of polyuria/polydipsia-induced dehydration as a perioperative risk amplifier.</w:t>
            </w:r>
          </w:p>
          <w:p w:rsidR="00132811" w:rsidRDefault="00243C97">
            <w:pPr>
              <w:spacing w:after="20"/>
              <w:ind w:left="216"/>
            </w:pPr>
            <w:r>
              <w:rPr>
                <w:b/>
                <w:sz w:val="17"/>
              </w:rPr>
              <w:t xml:space="preserve">Correction: </w:t>
            </w:r>
            <w:r>
              <w:rPr>
                <w:sz w:val="17"/>
              </w:rPr>
              <w:t>Add: Polyuria and polydipsia lead to dehydration, exacerbating perioperative metabolic instability.</w:t>
            </w:r>
          </w:p>
          <w:p w:rsidR="00132811" w:rsidRDefault="00243C97">
            <w:pPr>
              <w:spacing w:after="80"/>
              <w:ind w:left="216"/>
            </w:pPr>
            <w:r>
              <w:rPr>
                <w:b/>
                <w:color w:val="1F3864"/>
                <w:sz w:val="17"/>
              </w:rPr>
              <w:t xml:space="preserve">Refs: </w:t>
            </w:r>
            <w:r>
              <w:rPr>
                <w:i/>
                <w:sz w:val="16"/>
              </w:rPr>
              <w:t>(1) Williams Textbook of Endocrinology, 14th ed. | (2) Carroll MF, Schade DS. Am Fam Physician. 2003;67(9):1959–1966.</w:t>
            </w:r>
          </w:p>
          <w:p w:rsidR="00132811" w:rsidRDefault="00243C97">
            <w:pPr>
              <w:spacing w:before="40" w:after="20"/>
            </w:pPr>
            <w:r>
              <w:rPr>
                <w:b/>
                <w:color w:val="1F3864"/>
                <w:sz w:val="18"/>
              </w:rPr>
              <w:t xml:space="preserve">8. </w:t>
            </w:r>
            <w:r>
              <w:rPr>
                <w:i/>
                <w:color w:val="2E75B6"/>
                <w:sz w:val="17"/>
              </w:rPr>
              <w:t xml:space="preserve">[Type V] </w:t>
            </w:r>
          </w:p>
          <w:p w:rsidR="00132811" w:rsidRDefault="00243C97">
            <w:pPr>
              <w:spacing w:after="20"/>
              <w:ind w:left="216"/>
            </w:pPr>
            <w:r>
              <w:rPr>
                <w:b/>
                <w:sz w:val="17"/>
              </w:rPr>
              <w:t xml:space="preserve">Issue: </w:t>
            </w:r>
            <w:r>
              <w:rPr>
                <w:sz w:val="17"/>
              </w:rPr>
              <w:t>Omission of nephrocalcinosis as a chronic-disease complication potentially requiring urological intervention.</w:t>
            </w:r>
          </w:p>
          <w:p w:rsidR="00132811" w:rsidRDefault="00243C97">
            <w:pPr>
              <w:spacing w:after="20"/>
              <w:ind w:left="216"/>
            </w:pPr>
            <w:r>
              <w:rPr>
                <w:b/>
                <w:sz w:val="17"/>
              </w:rPr>
              <w:t xml:space="preserve">Correction: </w:t>
            </w:r>
            <w:r>
              <w:rPr>
                <w:sz w:val="17"/>
              </w:rPr>
              <w:t>Add: Nephrocalcinosis may require urological intervention in chronic cases.</w:t>
            </w:r>
          </w:p>
          <w:p w:rsidR="00132811" w:rsidRDefault="00243C97">
            <w:pPr>
              <w:spacing w:after="80"/>
              <w:ind w:left="216"/>
            </w:pPr>
            <w:r>
              <w:rPr>
                <w:b/>
                <w:color w:val="1F3864"/>
                <w:sz w:val="17"/>
              </w:rPr>
              <w:t xml:space="preserve">Refs: </w:t>
            </w:r>
            <w:r>
              <w:rPr>
                <w:i/>
                <w:sz w:val="16"/>
              </w:rPr>
              <w:t>(1) Harrison's 21st ed. | (2) Campbell-Walsh-Wein Urology, 12th ed.</w:t>
            </w:r>
          </w:p>
          <w:p w:rsidR="00132811" w:rsidRDefault="00243C97">
            <w:pPr>
              <w:spacing w:before="40" w:after="20"/>
            </w:pPr>
            <w:r>
              <w:rPr>
                <w:b/>
                <w:color w:val="1F3864"/>
                <w:sz w:val="18"/>
              </w:rPr>
              <w:t xml:space="preserve">9. </w:t>
            </w:r>
            <w:r>
              <w:rPr>
                <w:i/>
                <w:color w:val="2E75B6"/>
                <w:sz w:val="17"/>
              </w:rPr>
              <w:t xml:space="preserve">[Type II] </w:t>
            </w:r>
          </w:p>
          <w:p w:rsidR="00132811" w:rsidRDefault="00243C97">
            <w:pPr>
              <w:spacing w:after="20"/>
              <w:ind w:left="216"/>
            </w:pPr>
            <w:r>
              <w:rPr>
                <w:b/>
                <w:sz w:val="17"/>
              </w:rPr>
              <w:t xml:space="preserve">Issue: </w:t>
            </w:r>
            <w:r>
              <w:rPr>
                <w:sz w:val="17"/>
              </w:rPr>
              <w:t>Omission of nephrolithiasis as a recognised complication.</w:t>
            </w:r>
          </w:p>
          <w:p w:rsidR="00132811" w:rsidRDefault="00243C97">
            <w:pPr>
              <w:spacing w:after="20"/>
              <w:ind w:left="216"/>
            </w:pPr>
            <w:r>
              <w:rPr>
                <w:b/>
                <w:sz w:val="17"/>
              </w:rPr>
              <w:t xml:space="preserve">Correction: </w:t>
            </w:r>
            <w:r>
              <w:rPr>
                <w:sz w:val="17"/>
              </w:rPr>
              <w:t>Add: Nephrolithiasis may require urological intervention.</w:t>
            </w:r>
          </w:p>
          <w:p w:rsidR="00132811" w:rsidRDefault="00243C97">
            <w:pPr>
              <w:spacing w:after="80"/>
              <w:ind w:left="216"/>
            </w:pPr>
            <w:r>
              <w:rPr>
                <w:b/>
                <w:color w:val="1F3864"/>
                <w:sz w:val="17"/>
              </w:rPr>
              <w:t xml:space="preserve">Refs: </w:t>
            </w:r>
            <w:r>
              <w:rPr>
                <w:i/>
                <w:sz w:val="16"/>
              </w:rPr>
              <w:t>(1) Williams Textbook of Endocrinology, 14th ed. | (2) Campbell-Walsh-Wein Urology, 12th ed.</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pPr>
              <w:spacing w:after="40"/>
            </w:pPr>
            <w:r w:rsidRPr="00243C97">
              <w:rPr>
                <w:b/>
                <w:color w:val="00B050"/>
                <w:sz w:val="19"/>
              </w:rPr>
              <w:lastRenderedPageBreak/>
              <w:t>Accepted</w:t>
            </w:r>
            <w:r w:rsidRPr="00243C97">
              <w:rPr>
                <w:rFonts w:hint="cs"/>
                <w:b/>
                <w:color w:val="00B050"/>
                <w:sz w:val="19"/>
                <w:rtl/>
              </w:rPr>
              <w:t xml:space="preserve">                   </w:t>
            </w:r>
            <w:r>
              <w:rPr>
                <w:color w:val="333333"/>
                <w:sz w:val="17"/>
              </w:rPr>
              <w:t>Forwarded by Editor-in-Chief Prof. P. Ronan O'Connell to the chapter authors for the 29th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lastRenderedPageBreak/>
              <w:t>2</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Parathyroid hormone regulation by serum cations</w:t>
            </w:r>
          </w:p>
          <w:p w:rsidR="00132811" w:rsidRDefault="00243C97">
            <w:pPr>
              <w:spacing w:after="40"/>
            </w:pPr>
            <w:r>
              <w:rPr>
                <w:b/>
                <w:color w:val="2E75B6"/>
                <w:sz w:val="18"/>
              </w:rPr>
              <w:t>4 sub-contributions</w:t>
            </w:r>
          </w:p>
          <w:p w:rsidR="00132811" w:rsidRDefault="00243C97">
            <w:pPr>
              <w:spacing w:after="40"/>
            </w:pPr>
            <w:r>
              <w:rPr>
                <w:color w:val="606060"/>
                <w:sz w:val="17"/>
              </w:rPr>
              <w:t>Type I: 3 · Type II: 1</w:t>
            </w:r>
          </w:p>
          <w:p w:rsidR="00132811" w:rsidRDefault="00243C97">
            <w:pPr>
              <w:spacing w:after="0"/>
            </w:pPr>
            <w:r>
              <w:rPr>
                <w:b/>
                <w:sz w:val="17"/>
              </w:rPr>
              <w:t xml:space="preserve">Source: </w:t>
            </w:r>
            <w:r>
              <w:rPr>
                <w:i/>
                <w:sz w:val="17"/>
              </w:rPr>
              <w:t>Ch 51, p. 824, para 8 — PTH regulation by serum cations</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Inverted direction of magnesium effect on PTH; hypermagnesaemia suppresses (not stimulates) PTH secretion.</w:t>
            </w:r>
          </w:p>
          <w:p w:rsidR="00132811" w:rsidRDefault="00243C97">
            <w:pPr>
              <w:spacing w:after="20"/>
              <w:ind w:left="216"/>
            </w:pPr>
            <w:r>
              <w:rPr>
                <w:b/>
                <w:sz w:val="17"/>
              </w:rPr>
              <w:t xml:space="preserve">Correction: </w:t>
            </w:r>
            <w:r>
              <w:rPr>
                <w:sz w:val="17"/>
              </w:rPr>
              <w:t>Affirm correct physiology: low serum calcium stimulates PTH secretion.</w:t>
            </w:r>
          </w:p>
          <w:p w:rsidR="00132811" w:rsidRDefault="00243C97">
            <w:pPr>
              <w:spacing w:after="80"/>
              <w:ind w:left="216"/>
            </w:pPr>
            <w:r>
              <w:rPr>
                <w:b/>
                <w:color w:val="1F3864"/>
                <w:sz w:val="17"/>
              </w:rPr>
              <w:t xml:space="preserve">Refs: </w:t>
            </w:r>
            <w:r>
              <w:rPr>
                <w:i/>
                <w:sz w:val="16"/>
              </w:rPr>
              <w:t>(1) Davidson's Principles and Practice of Medicine, 22nd ed., p. 677. | (2) Greenspan's Basic and Clinical Endocrinology, 10th ed. | (3) Rude RK. Magnesium deficiency. J Bone Miner Res. 1998;13:749–758.</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paradoxical PTH stimulation by mild hypomagnesaemia.</w:t>
            </w:r>
          </w:p>
          <w:p w:rsidR="00132811" w:rsidRDefault="00243C97">
            <w:pPr>
              <w:spacing w:after="20"/>
              <w:ind w:left="216"/>
            </w:pPr>
            <w:r>
              <w:rPr>
                <w:b/>
                <w:sz w:val="17"/>
              </w:rPr>
              <w:t xml:space="preserve">Correction: </w:t>
            </w:r>
            <w:r>
              <w:rPr>
                <w:sz w:val="17"/>
              </w:rPr>
              <w:t>Add: Mild hypomagnesaemia may stimulate PTH secretion.</w:t>
            </w:r>
          </w:p>
          <w:p w:rsidR="00132811" w:rsidRDefault="00243C97">
            <w:pPr>
              <w:spacing w:after="80"/>
              <w:ind w:left="216"/>
            </w:pPr>
            <w:r>
              <w:rPr>
                <w:b/>
                <w:color w:val="1F3864"/>
                <w:sz w:val="17"/>
              </w:rPr>
              <w:t xml:space="preserve">Refs: </w:t>
            </w:r>
            <w:r>
              <w:rPr>
                <w:i/>
                <w:sz w:val="16"/>
              </w:rPr>
              <w:t>(1) Lacroix M, et al. Magnesium and PTH secretion. Nephrol Dial Transplant. 2013. | (2) Rude RK. J Bone Miner Res. 1998;13:749–758.</w:t>
            </w:r>
          </w:p>
          <w:p w:rsidR="00132811" w:rsidRDefault="00243C97">
            <w:pPr>
              <w:spacing w:before="40" w:after="20"/>
            </w:pPr>
            <w:r>
              <w:rPr>
                <w:b/>
                <w:color w:val="1F3864"/>
                <w:sz w:val="18"/>
              </w:rPr>
              <w:t xml:space="preserve">3. </w:t>
            </w:r>
            <w:r>
              <w:rPr>
                <w:i/>
                <w:color w:val="2E75B6"/>
                <w:sz w:val="17"/>
              </w:rPr>
              <w:t xml:space="preserve">[Type I] </w:t>
            </w:r>
          </w:p>
          <w:p w:rsidR="00132811" w:rsidRDefault="00243C97">
            <w:pPr>
              <w:spacing w:after="20"/>
              <w:ind w:left="216"/>
            </w:pPr>
            <w:r>
              <w:rPr>
                <w:b/>
                <w:sz w:val="17"/>
              </w:rPr>
              <w:t xml:space="preserve">Issue: </w:t>
            </w:r>
            <w:r>
              <w:rPr>
                <w:sz w:val="17"/>
              </w:rPr>
              <w:t>Severe hypomagnesaemia incorrectly described in the printed text; the physiologically established direction is inhibition.</w:t>
            </w:r>
          </w:p>
          <w:p w:rsidR="00132811" w:rsidRDefault="00243C97">
            <w:pPr>
              <w:spacing w:after="20"/>
              <w:ind w:left="216"/>
            </w:pPr>
            <w:r>
              <w:rPr>
                <w:b/>
                <w:sz w:val="17"/>
              </w:rPr>
              <w:t xml:space="preserve">Correction: </w:t>
            </w:r>
            <w:r>
              <w:rPr>
                <w:sz w:val="17"/>
              </w:rPr>
              <w:t>Correct: Severe hypomagnesaemia inhibits both PTH secretion and PTH action — opposite of the printed direction.</w:t>
            </w:r>
          </w:p>
          <w:p w:rsidR="00132811" w:rsidRDefault="00243C97">
            <w:pPr>
              <w:spacing w:after="80"/>
              <w:ind w:left="216"/>
            </w:pPr>
            <w:r>
              <w:rPr>
                <w:b/>
                <w:color w:val="1F3864"/>
                <w:sz w:val="17"/>
              </w:rPr>
              <w:t xml:space="preserve">Refs: </w:t>
            </w:r>
            <w:r>
              <w:rPr>
                <w:i/>
                <w:sz w:val="16"/>
              </w:rPr>
              <w:t>(1) Rude RK. J Bone Miner Res. 1998;13:749–758. | (2) Davidson's Principles and Practice of Medicine, 22nd ed., p. 677.</w:t>
            </w:r>
          </w:p>
          <w:p w:rsidR="00132811" w:rsidRDefault="00243C97">
            <w:pPr>
              <w:spacing w:before="40" w:after="20"/>
            </w:pPr>
            <w:r>
              <w:rPr>
                <w:b/>
                <w:color w:val="1F3864"/>
                <w:sz w:val="18"/>
              </w:rPr>
              <w:t xml:space="preserve">4. </w:t>
            </w:r>
            <w:r>
              <w:rPr>
                <w:i/>
                <w:color w:val="2E75B6"/>
                <w:sz w:val="17"/>
              </w:rPr>
              <w:t xml:space="preserve">[Type I] </w:t>
            </w:r>
          </w:p>
          <w:p w:rsidR="00132811" w:rsidRDefault="00243C97">
            <w:pPr>
              <w:spacing w:after="20"/>
              <w:ind w:left="216"/>
            </w:pPr>
            <w:r>
              <w:rPr>
                <w:b/>
                <w:sz w:val="17"/>
              </w:rPr>
              <w:t xml:space="preserve">Issue: </w:t>
            </w:r>
            <w:r>
              <w:rPr>
                <w:sz w:val="17"/>
              </w:rPr>
              <w:t>Hypermagnesaemia incorrectly described as PTH-stimulating; it suppresses PTH.</w:t>
            </w:r>
          </w:p>
          <w:p w:rsidR="00132811" w:rsidRDefault="00243C97">
            <w:pPr>
              <w:spacing w:after="20"/>
              <w:ind w:left="216"/>
            </w:pPr>
            <w:r>
              <w:rPr>
                <w:b/>
                <w:sz w:val="17"/>
              </w:rPr>
              <w:lastRenderedPageBreak/>
              <w:t xml:space="preserve">Correction: </w:t>
            </w:r>
            <w:r>
              <w:rPr>
                <w:sz w:val="17"/>
              </w:rPr>
              <w:t>Correct: Hypermagnesaemia (particularly with low or normal calcium) suppresses PTH secretion.</w:t>
            </w:r>
          </w:p>
          <w:p w:rsidR="00132811" w:rsidRDefault="00243C97">
            <w:pPr>
              <w:spacing w:after="80"/>
              <w:ind w:left="216"/>
            </w:pPr>
            <w:r>
              <w:rPr>
                <w:b/>
                <w:color w:val="1F3864"/>
                <w:sz w:val="17"/>
              </w:rPr>
              <w:t xml:space="preserve">Refs: </w:t>
            </w:r>
            <w:r>
              <w:rPr>
                <w:i/>
                <w:sz w:val="16"/>
              </w:rPr>
              <w:t>(1) Lacroix M, et al. Nephrol Dial Transplant. 2013. | (2) Greenspan's Basic and Clinical Endocrinology, 10th ed.</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1F6E1F"/>
                <w:sz w:val="19"/>
              </w:rPr>
              <w:lastRenderedPageBreak/>
              <w:t>Accepted</w:t>
            </w:r>
          </w:p>
          <w:p w:rsidR="00132811" w:rsidRDefault="00243C97">
            <w:pPr>
              <w:spacing w:after="40"/>
            </w:pPr>
            <w:r>
              <w:rPr>
                <w:color w:val="333333"/>
                <w:sz w:val="17"/>
              </w:rPr>
              <w:t>Accepted — Confirmed by Editor-in-Chief Prof. P. Ronan O'Connell for incorporation into the 29th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lastRenderedPageBreak/>
              <w:t>3</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Male urethra applied anatomy</w:t>
            </w:r>
          </w:p>
          <w:p w:rsidR="00132811" w:rsidRDefault="00243C97">
            <w:pPr>
              <w:spacing w:after="40"/>
            </w:pPr>
            <w:r>
              <w:rPr>
                <w:b/>
                <w:color w:val="2E75B6"/>
                <w:sz w:val="18"/>
              </w:rPr>
              <w:t>5 sub-contributions</w:t>
            </w:r>
          </w:p>
          <w:p w:rsidR="00132811" w:rsidRDefault="00243C97">
            <w:pPr>
              <w:spacing w:after="40"/>
            </w:pPr>
            <w:r>
              <w:rPr>
                <w:color w:val="606060"/>
                <w:sz w:val="17"/>
              </w:rPr>
              <w:t>Type I: 3 · Type II: 2</w:t>
            </w:r>
          </w:p>
          <w:p w:rsidR="00132811" w:rsidRDefault="00243C97">
            <w:pPr>
              <w:spacing w:after="0"/>
            </w:pPr>
            <w:r>
              <w:rPr>
                <w:b/>
                <w:sz w:val="17"/>
              </w:rPr>
              <w:t xml:space="preserve">Source: </w:t>
            </w:r>
            <w:r>
              <w:rPr>
                <w:i/>
                <w:sz w:val="17"/>
              </w:rPr>
              <w:t>Ch 85, p. 1538 — Male urethra anatomy</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Direction of description reversed; standard anatomical description is proximal-to-distal.</w:t>
            </w:r>
          </w:p>
          <w:p w:rsidR="00132811" w:rsidRDefault="00243C97">
            <w:pPr>
              <w:spacing w:after="20"/>
              <w:ind w:left="216"/>
            </w:pPr>
            <w:r>
              <w:rPr>
                <w:b/>
                <w:sz w:val="17"/>
              </w:rPr>
              <w:t xml:space="preserve">Correction: </w:t>
            </w:r>
            <w:r>
              <w:rPr>
                <w:sz w:val="17"/>
              </w:rPr>
              <w:t>Correct: penile (spongy) urethra extends from the distal end of the bulbar urethra to the external urethral meatus.</w:t>
            </w:r>
          </w:p>
          <w:p w:rsidR="00132811" w:rsidRDefault="00243C97">
            <w:pPr>
              <w:spacing w:after="80"/>
              <w:ind w:left="216"/>
            </w:pPr>
            <w:r>
              <w:rPr>
                <w:b/>
                <w:color w:val="1F3864"/>
                <w:sz w:val="17"/>
              </w:rPr>
              <w:t xml:space="preserve">Refs: </w:t>
            </w:r>
            <w:r>
              <w:rPr>
                <w:i/>
                <w:sz w:val="16"/>
              </w:rPr>
              <w:t>(1) Gray's Anatomy, 42nd ed., Ch on male reproductive system. | (2) Last's Anatomy: Regional and Applied, 12th ed.</w:t>
            </w:r>
          </w:p>
          <w:p w:rsidR="00132811" w:rsidRDefault="00243C97">
            <w:pPr>
              <w:spacing w:before="40" w:after="20"/>
            </w:pPr>
            <w:r>
              <w:rPr>
                <w:b/>
                <w:color w:val="1F3864"/>
                <w:sz w:val="18"/>
              </w:rPr>
              <w:t xml:space="preserve">2. </w:t>
            </w:r>
            <w:r>
              <w:rPr>
                <w:i/>
                <w:color w:val="2E75B6"/>
                <w:sz w:val="17"/>
              </w:rPr>
              <w:t xml:space="preserve">[Type I] </w:t>
            </w:r>
          </w:p>
          <w:p w:rsidR="00132811" w:rsidRDefault="00243C97">
            <w:pPr>
              <w:spacing w:after="20"/>
              <w:ind w:left="216"/>
            </w:pPr>
            <w:r>
              <w:rPr>
                <w:b/>
                <w:sz w:val="17"/>
              </w:rPr>
              <w:t xml:space="preserve">Issue: </w:t>
            </w:r>
            <w:r>
              <w:rPr>
                <w:sz w:val="17"/>
              </w:rPr>
              <w:t>Imprecise — the fossa navicularis is specifically the dilated segment within the glans, not synonymous with the entire glandular urethra.</w:t>
            </w:r>
          </w:p>
          <w:p w:rsidR="00132811" w:rsidRDefault="00243C97">
            <w:pPr>
              <w:spacing w:after="20"/>
              <w:ind w:left="216"/>
            </w:pPr>
            <w:r>
              <w:rPr>
                <w:b/>
                <w:sz w:val="17"/>
              </w:rPr>
              <w:t xml:space="preserve">Correction: </w:t>
            </w:r>
            <w:r>
              <w:rPr>
                <w:sz w:val="17"/>
              </w:rPr>
              <w:t>Clarify: the fossa navicularis is the dilated segment within the glans; the glandular urethra refers to the full segment traversing the glans.</w:t>
            </w:r>
          </w:p>
          <w:p w:rsidR="00132811" w:rsidRDefault="00243C97">
            <w:pPr>
              <w:spacing w:after="80"/>
              <w:ind w:left="216"/>
            </w:pPr>
            <w:r>
              <w:rPr>
                <w:b/>
                <w:color w:val="1F3864"/>
                <w:sz w:val="17"/>
              </w:rPr>
              <w:t xml:space="preserve">Refs: </w:t>
            </w:r>
            <w:r>
              <w:rPr>
                <w:i/>
                <w:sz w:val="16"/>
              </w:rPr>
              <w:t>(1) Gray's Anatomy, 42nd ed. | (2) Standring S, ed. Gray's Anatomy: The Anatomical Basis of Clinical Practice. 42nd ed.</w:t>
            </w:r>
          </w:p>
          <w:p w:rsidR="00132811" w:rsidRDefault="00243C97">
            <w:pPr>
              <w:spacing w:before="40" w:after="20"/>
            </w:pPr>
            <w:r>
              <w:rPr>
                <w:b/>
                <w:color w:val="1F3864"/>
                <w:sz w:val="18"/>
              </w:rPr>
              <w:t xml:space="preserve">3. </w:t>
            </w:r>
            <w:r>
              <w:rPr>
                <w:i/>
                <w:color w:val="2E75B6"/>
                <w:sz w:val="17"/>
              </w:rPr>
              <w:t xml:space="preserve">[Type II] </w:t>
            </w:r>
          </w:p>
          <w:p w:rsidR="00132811" w:rsidRDefault="00243C97">
            <w:pPr>
              <w:spacing w:after="20"/>
              <w:ind w:left="216"/>
            </w:pPr>
            <w:r>
              <w:rPr>
                <w:b/>
                <w:sz w:val="17"/>
              </w:rPr>
              <w:t xml:space="preserve">Issue: </w:t>
            </w:r>
            <w:r>
              <w:rPr>
                <w:sz w:val="17"/>
              </w:rPr>
              <w:t>Clear factual error: rhabdosphincter is exclusively striated muscle.</w:t>
            </w:r>
          </w:p>
          <w:p w:rsidR="00132811" w:rsidRDefault="00243C97">
            <w:pPr>
              <w:spacing w:after="20"/>
              <w:ind w:left="216"/>
            </w:pPr>
            <w:r>
              <w:rPr>
                <w:b/>
                <w:sz w:val="17"/>
              </w:rPr>
              <w:t xml:space="preserve">Correction: </w:t>
            </w:r>
            <w:r>
              <w:rPr>
                <w:sz w:val="17"/>
              </w:rPr>
              <w:t>Correct: the external urethral sphincter (rhabdosphincter) is composed exclusively of striated muscle. Smooth muscle is restricted to the internal sphincter at the bladder neck.</w:t>
            </w:r>
          </w:p>
          <w:p w:rsidR="00132811" w:rsidRDefault="00243C97">
            <w:pPr>
              <w:spacing w:after="80"/>
              <w:ind w:left="216"/>
            </w:pPr>
            <w:r>
              <w:rPr>
                <w:b/>
                <w:color w:val="1F3864"/>
                <w:sz w:val="17"/>
              </w:rPr>
              <w:t xml:space="preserve">Refs: </w:t>
            </w:r>
            <w:r>
              <w:rPr>
                <w:i/>
                <w:sz w:val="16"/>
              </w:rPr>
              <w:t>(1) Gray's Anatomy, 42nd ed. | (2) Wheater's Functional Histology, 7th ed.</w:t>
            </w:r>
          </w:p>
          <w:p w:rsidR="00132811" w:rsidRDefault="00243C97">
            <w:pPr>
              <w:spacing w:before="40" w:after="20"/>
            </w:pPr>
            <w:r>
              <w:rPr>
                <w:b/>
                <w:color w:val="1F3864"/>
                <w:sz w:val="18"/>
              </w:rPr>
              <w:t xml:space="preserve">4. </w:t>
            </w:r>
            <w:r>
              <w:rPr>
                <w:i/>
                <w:color w:val="2E75B6"/>
                <w:sz w:val="17"/>
              </w:rPr>
              <w:t xml:space="preserve">[Type II] </w:t>
            </w:r>
          </w:p>
          <w:p w:rsidR="00132811" w:rsidRDefault="00243C97">
            <w:pPr>
              <w:spacing w:after="20"/>
              <w:ind w:left="216"/>
            </w:pPr>
            <w:r>
              <w:rPr>
                <w:b/>
                <w:sz w:val="17"/>
              </w:rPr>
              <w:t xml:space="preserve">Issue: </w:t>
            </w:r>
            <w:r>
              <w:rPr>
                <w:sz w:val="17"/>
              </w:rPr>
              <w:t>Omission of autonomic input from the pelvic plexus.</w:t>
            </w:r>
          </w:p>
          <w:p w:rsidR="00132811" w:rsidRDefault="00243C97">
            <w:pPr>
              <w:spacing w:after="20"/>
              <w:ind w:left="216"/>
            </w:pPr>
            <w:r>
              <w:rPr>
                <w:b/>
                <w:sz w:val="17"/>
              </w:rPr>
              <w:t xml:space="preserve">Correction: </w:t>
            </w:r>
            <w:r>
              <w:rPr>
                <w:sz w:val="17"/>
              </w:rPr>
              <w:t>Add: essential autonomic innervation from the pelvic plexus, vital for functional anatomy of the urethra.</w:t>
            </w:r>
          </w:p>
          <w:p w:rsidR="00132811" w:rsidRDefault="00243C97">
            <w:pPr>
              <w:spacing w:after="80"/>
              <w:ind w:left="216"/>
            </w:pPr>
            <w:r>
              <w:rPr>
                <w:b/>
                <w:color w:val="1F3864"/>
                <w:sz w:val="17"/>
              </w:rPr>
              <w:t xml:space="preserve">Refs: </w:t>
            </w:r>
            <w:r>
              <w:rPr>
                <w:i/>
                <w:sz w:val="16"/>
              </w:rPr>
              <w:t>(1) Gray's Anatomy, 42nd ed. | (2) Last's Anatomy, 12th ed.</w:t>
            </w:r>
          </w:p>
          <w:p w:rsidR="00132811" w:rsidRDefault="00243C97">
            <w:pPr>
              <w:spacing w:before="40" w:after="20"/>
            </w:pPr>
            <w:r>
              <w:rPr>
                <w:b/>
                <w:color w:val="1F3864"/>
                <w:sz w:val="18"/>
              </w:rPr>
              <w:t xml:space="preserve">5. </w:t>
            </w:r>
            <w:r>
              <w:rPr>
                <w:i/>
                <w:color w:val="2E75B6"/>
                <w:sz w:val="17"/>
              </w:rPr>
              <w:t xml:space="preserve">[Type I] </w:t>
            </w:r>
          </w:p>
          <w:p w:rsidR="00132811" w:rsidRDefault="00243C97">
            <w:pPr>
              <w:spacing w:after="20"/>
              <w:ind w:left="216"/>
            </w:pPr>
            <w:r>
              <w:rPr>
                <w:b/>
                <w:sz w:val="17"/>
              </w:rPr>
              <w:t xml:space="preserve">Issue: </w:t>
            </w:r>
            <w:r>
              <w:rPr>
                <w:sz w:val="17"/>
              </w:rPr>
              <w:t>Incomplete histological sequence omits the intermediate pseudostratified columnar epithelium.</w:t>
            </w:r>
          </w:p>
          <w:p w:rsidR="00132811" w:rsidRDefault="00243C97">
            <w:pPr>
              <w:spacing w:after="20"/>
              <w:ind w:left="216"/>
            </w:pPr>
            <w:r>
              <w:rPr>
                <w:b/>
                <w:sz w:val="17"/>
              </w:rPr>
              <w:t xml:space="preserve">Correction: </w:t>
            </w:r>
            <w:r>
              <w:rPr>
                <w:sz w:val="17"/>
              </w:rPr>
              <w:t>Correct sequence: Transitional (prostatic) → Pseudostratified columnar (membranous and most of spongy) → Stratified squamous (distal fossa navicularis).</w:t>
            </w:r>
          </w:p>
          <w:p w:rsidR="00132811" w:rsidRDefault="00243C97">
            <w:pPr>
              <w:spacing w:after="80"/>
              <w:ind w:left="216"/>
            </w:pPr>
            <w:r>
              <w:rPr>
                <w:b/>
                <w:color w:val="1F3864"/>
                <w:sz w:val="17"/>
              </w:rPr>
              <w:t xml:space="preserve">Refs: </w:t>
            </w:r>
            <w:r>
              <w:rPr>
                <w:i/>
                <w:sz w:val="16"/>
              </w:rPr>
              <w:t>(1) Wheater's Functional Histology, 7th ed. | (2) Junqueira's Basic Histology, 16th ed.</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2E75B6"/>
                <w:sz w:val="19"/>
              </w:rPr>
              <w:t>Forwarded</w:t>
            </w:r>
          </w:p>
          <w:p w:rsidR="00132811" w:rsidRDefault="00243C97">
            <w:pPr>
              <w:spacing w:after="40"/>
            </w:pPr>
            <w:r>
              <w:rPr>
                <w:color w:val="333333"/>
                <w:sz w:val="17"/>
              </w:rPr>
              <w:t>Forwarded by the editorial team to the urology chapter authors for the 29th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t>4</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Urinary bladder — anatomy, dysfunction, and management (Ch 83)</w:t>
            </w:r>
          </w:p>
          <w:p w:rsidR="00132811" w:rsidRDefault="00243C97">
            <w:pPr>
              <w:spacing w:after="40"/>
            </w:pPr>
            <w:r>
              <w:rPr>
                <w:b/>
                <w:color w:val="2E75B6"/>
                <w:sz w:val="18"/>
              </w:rPr>
              <w:t>9 sub-contributions</w:t>
            </w:r>
          </w:p>
          <w:p w:rsidR="00132811" w:rsidRDefault="00243C97">
            <w:pPr>
              <w:spacing w:after="40"/>
            </w:pPr>
            <w:r>
              <w:rPr>
                <w:color w:val="606060"/>
                <w:sz w:val="17"/>
              </w:rPr>
              <w:t>Type I: 5 · Type II: 3 · Type IV: 1</w:t>
            </w:r>
          </w:p>
          <w:p w:rsidR="00132811" w:rsidRDefault="00243C97">
            <w:pPr>
              <w:spacing w:after="0"/>
            </w:pPr>
            <w:r>
              <w:rPr>
                <w:b/>
                <w:sz w:val="17"/>
              </w:rPr>
              <w:t xml:space="preserve">Source: </w:t>
            </w:r>
            <w:r>
              <w:rPr>
                <w:i/>
                <w:sz w:val="17"/>
              </w:rPr>
              <w:t>Ch 83, Table 83.3 — Aetiological classification of bladder dysfunction</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Misclassification: transverse myelitis is an acquired (post-natal) inflammatory condition.</w:t>
            </w:r>
          </w:p>
          <w:p w:rsidR="00132811" w:rsidRDefault="00243C97">
            <w:pPr>
              <w:spacing w:after="20"/>
              <w:ind w:left="216"/>
            </w:pPr>
            <w:r>
              <w:rPr>
                <w:b/>
                <w:sz w:val="17"/>
              </w:rPr>
              <w:t xml:space="preserve">Correction: </w:t>
            </w:r>
            <w:r>
              <w:rPr>
                <w:sz w:val="17"/>
              </w:rPr>
              <w:t>Reclassify transverse myelitis under acquired (post-natal) causes.</w:t>
            </w:r>
          </w:p>
          <w:p w:rsidR="00132811" w:rsidRDefault="00243C97">
            <w:pPr>
              <w:spacing w:after="80"/>
              <w:ind w:left="216"/>
            </w:pPr>
            <w:r>
              <w:rPr>
                <w:b/>
                <w:color w:val="1F3864"/>
                <w:sz w:val="17"/>
              </w:rPr>
              <w:t xml:space="preserve">Refs: </w:t>
            </w:r>
            <w:r>
              <w:rPr>
                <w:i/>
                <w:sz w:val="16"/>
              </w:rPr>
              <w:t>(1) Campbell-Walsh-Wein Urology, 12th ed. | (2) Adams and Victor's Principles of Neurology, 12th ed.</w:t>
            </w:r>
          </w:p>
          <w:p w:rsidR="00132811" w:rsidRDefault="00243C97">
            <w:pPr>
              <w:spacing w:before="40" w:after="20"/>
            </w:pPr>
            <w:r>
              <w:rPr>
                <w:b/>
                <w:color w:val="1F3864"/>
                <w:sz w:val="18"/>
              </w:rPr>
              <w:t xml:space="preserve">2. </w:t>
            </w:r>
            <w:r>
              <w:rPr>
                <w:i/>
                <w:color w:val="2E75B6"/>
                <w:sz w:val="17"/>
              </w:rPr>
              <w:t xml:space="preserve">[Type I] </w:t>
            </w:r>
          </w:p>
          <w:p w:rsidR="00132811" w:rsidRDefault="00243C97">
            <w:pPr>
              <w:spacing w:after="20"/>
              <w:ind w:left="216"/>
            </w:pPr>
            <w:r>
              <w:rPr>
                <w:b/>
                <w:sz w:val="17"/>
              </w:rPr>
              <w:t xml:space="preserve">Issue: </w:t>
            </w:r>
            <w:r>
              <w:rPr>
                <w:sz w:val="17"/>
              </w:rPr>
              <w:t>Misclassification: the majority of CNS tumours are acquired pathology.</w:t>
            </w:r>
          </w:p>
          <w:p w:rsidR="00132811" w:rsidRDefault="00243C97">
            <w:pPr>
              <w:spacing w:after="20"/>
              <w:ind w:left="216"/>
            </w:pPr>
            <w:r>
              <w:rPr>
                <w:b/>
                <w:sz w:val="17"/>
              </w:rPr>
              <w:t xml:space="preserve">Correction: </w:t>
            </w:r>
            <w:r>
              <w:rPr>
                <w:sz w:val="17"/>
              </w:rPr>
              <w:t>Reclassify CNS tumours under acquired causes; the current grouping conflates developmental anomalies with post-natal disease.</w:t>
            </w:r>
          </w:p>
          <w:p w:rsidR="00132811" w:rsidRDefault="00243C97">
            <w:pPr>
              <w:spacing w:after="80"/>
              <w:ind w:left="216"/>
            </w:pPr>
            <w:r>
              <w:rPr>
                <w:b/>
                <w:color w:val="1F3864"/>
                <w:sz w:val="17"/>
              </w:rPr>
              <w:t xml:space="preserve">Refs: </w:t>
            </w:r>
            <w:r>
              <w:rPr>
                <w:i/>
                <w:sz w:val="16"/>
              </w:rPr>
              <w:t>(1) Campbell-Walsh-Wein Urology, 12th ed. | (2) WHO Classification of Tumours of the Central Nervous System, 5th ed., 2021.</w:t>
            </w:r>
          </w:p>
          <w:p w:rsidR="00132811" w:rsidRDefault="00243C97">
            <w:pPr>
              <w:spacing w:before="40" w:after="20"/>
            </w:pPr>
            <w:r>
              <w:rPr>
                <w:b/>
                <w:color w:val="1F3864"/>
                <w:sz w:val="18"/>
              </w:rPr>
              <w:lastRenderedPageBreak/>
              <w:t xml:space="preserve">3. </w:t>
            </w:r>
            <w:r>
              <w:rPr>
                <w:i/>
                <w:color w:val="2E75B6"/>
                <w:sz w:val="17"/>
              </w:rPr>
              <w:t xml:space="preserve">[Type I] </w:t>
            </w:r>
          </w:p>
          <w:p w:rsidR="00132811" w:rsidRDefault="00243C97">
            <w:pPr>
              <w:spacing w:after="20"/>
              <w:ind w:left="216"/>
            </w:pPr>
            <w:r>
              <w:rPr>
                <w:b/>
                <w:sz w:val="17"/>
              </w:rPr>
              <w:t xml:space="preserve">Issue: </w:t>
            </w:r>
            <w:r>
              <w:rPr>
                <w:sz w:val="17"/>
              </w:rPr>
              <w:t>Pudendal nerve does NOT innervate detrusor smooth muscle.</w:t>
            </w:r>
          </w:p>
          <w:p w:rsidR="00132811" w:rsidRDefault="00243C97">
            <w:pPr>
              <w:spacing w:after="20"/>
              <w:ind w:left="216"/>
            </w:pPr>
            <w:r>
              <w:rPr>
                <w:b/>
                <w:sz w:val="17"/>
              </w:rPr>
              <w:t xml:space="preserve">Correction: </w:t>
            </w:r>
            <w:r>
              <w:rPr>
                <w:sz w:val="17"/>
              </w:rPr>
              <w:t>Clarify: the pudendal nerve provides somatic motor innervation to the external urethral sphincter and sensory fibres from the perineum; the detrusor is innervated via the pelvic splanchnic nerves (parasympathetic).</w:t>
            </w:r>
          </w:p>
          <w:p w:rsidR="00132811" w:rsidRDefault="00243C97">
            <w:pPr>
              <w:spacing w:after="80"/>
              <w:ind w:left="216"/>
            </w:pPr>
            <w:r>
              <w:rPr>
                <w:b/>
                <w:color w:val="1F3864"/>
                <w:sz w:val="17"/>
              </w:rPr>
              <w:t xml:space="preserve">Refs: </w:t>
            </w:r>
            <w:r>
              <w:rPr>
                <w:i/>
                <w:sz w:val="16"/>
              </w:rPr>
              <w:t>(1) Gray's Anatomy, 42nd ed. | (2) Campbell-Walsh-Wein Urology, 12th ed.</w:t>
            </w:r>
          </w:p>
          <w:p w:rsidR="00132811" w:rsidRDefault="00243C97">
            <w:pPr>
              <w:spacing w:before="40" w:after="20"/>
            </w:pPr>
            <w:r>
              <w:rPr>
                <w:b/>
                <w:color w:val="1F3864"/>
                <w:sz w:val="18"/>
              </w:rPr>
              <w:t xml:space="preserve">4. </w:t>
            </w:r>
            <w:r>
              <w:rPr>
                <w:i/>
                <w:color w:val="2E75B6"/>
                <w:sz w:val="17"/>
              </w:rPr>
              <w:t xml:space="preserve">[Type I] </w:t>
            </w:r>
          </w:p>
          <w:p w:rsidR="00132811" w:rsidRDefault="00243C97">
            <w:pPr>
              <w:spacing w:after="20"/>
              <w:ind w:left="216"/>
            </w:pPr>
            <w:r>
              <w:rPr>
                <w:b/>
                <w:sz w:val="17"/>
              </w:rPr>
              <w:t xml:space="preserve">Issue: </w:t>
            </w:r>
            <w:r>
              <w:rPr>
                <w:sz w:val="17"/>
              </w:rPr>
              <w:t>Overstates risk; tachycardia is the typical effect, with clinically significant arrhythmias being uncommon and agent/patient-dependent.</w:t>
            </w:r>
          </w:p>
          <w:p w:rsidR="00132811" w:rsidRDefault="00243C97">
            <w:pPr>
              <w:spacing w:after="20"/>
              <w:ind w:left="216"/>
            </w:pPr>
            <w:r>
              <w:rPr>
                <w:b/>
                <w:sz w:val="17"/>
              </w:rPr>
              <w:t xml:space="preserve">Correction: </w:t>
            </w:r>
            <w:r>
              <w:rPr>
                <w:sz w:val="17"/>
              </w:rPr>
              <w:t>Reword: tachycardia is the typical antimuscarinic effect; clinically significant arrhythmias are uncommon.</w:t>
            </w:r>
          </w:p>
          <w:p w:rsidR="00132811" w:rsidRDefault="00243C97">
            <w:pPr>
              <w:spacing w:after="80"/>
              <w:ind w:left="216"/>
            </w:pPr>
            <w:r>
              <w:rPr>
                <w:b/>
                <w:color w:val="1F3864"/>
                <w:sz w:val="17"/>
              </w:rPr>
              <w:t xml:space="preserve">Refs: </w:t>
            </w:r>
            <w:r>
              <w:rPr>
                <w:i/>
                <w:sz w:val="16"/>
              </w:rPr>
              <w:t>(1) Goodman &amp; Gilman's The Pharmacological Basis of Therapeutics, 14th ed. | (2) Katzung Basic &amp; Clinical Pharmacology, 16th ed.</w:t>
            </w:r>
          </w:p>
          <w:p w:rsidR="00132811" w:rsidRDefault="00243C97">
            <w:pPr>
              <w:spacing w:before="40" w:after="20"/>
            </w:pPr>
            <w:r>
              <w:rPr>
                <w:b/>
                <w:color w:val="1F3864"/>
                <w:sz w:val="18"/>
              </w:rPr>
              <w:t xml:space="preserve">5. </w:t>
            </w:r>
            <w:r>
              <w:rPr>
                <w:i/>
                <w:color w:val="2E75B6"/>
                <w:sz w:val="17"/>
              </w:rPr>
              <w:t xml:space="preserve">[Type II] </w:t>
            </w:r>
          </w:p>
          <w:p w:rsidR="00132811" w:rsidRDefault="00243C97">
            <w:pPr>
              <w:spacing w:after="20"/>
              <w:ind w:left="216"/>
            </w:pPr>
            <w:r>
              <w:rPr>
                <w:b/>
                <w:sz w:val="17"/>
              </w:rPr>
              <w:t xml:space="preserve">Issue: </w:t>
            </w:r>
            <w:r>
              <w:rPr>
                <w:sz w:val="17"/>
              </w:rPr>
              <w:t>Omission of physiologically critical distinction between numerical predominance and functional mediator of detrusor contraction.</w:t>
            </w:r>
          </w:p>
          <w:p w:rsidR="00132811" w:rsidRDefault="00243C97">
            <w:pPr>
              <w:spacing w:after="20"/>
              <w:ind w:left="216"/>
            </w:pPr>
            <w:r>
              <w:rPr>
                <w:b/>
                <w:sz w:val="17"/>
              </w:rPr>
              <w:t xml:space="preserve">Correction: </w:t>
            </w:r>
            <w:r>
              <w:rPr>
                <w:sz w:val="17"/>
              </w:rPr>
              <w:t>Add: Although M2 receptors are numerically predominant in the bladder, M3 receptors mediate detrusor contraction.</w:t>
            </w:r>
          </w:p>
          <w:p w:rsidR="00132811" w:rsidRDefault="00243C97">
            <w:pPr>
              <w:spacing w:after="80"/>
              <w:ind w:left="216"/>
            </w:pPr>
            <w:r>
              <w:rPr>
                <w:b/>
                <w:color w:val="1F3864"/>
                <w:sz w:val="17"/>
              </w:rPr>
              <w:t xml:space="preserve">Refs: </w:t>
            </w:r>
            <w:r>
              <w:rPr>
                <w:i/>
                <w:sz w:val="16"/>
              </w:rPr>
              <w:t>(1) Goodman &amp; Gilman's, 14th ed. | (2) Andersson KE. Pharmacol Rev. 2011.</w:t>
            </w:r>
          </w:p>
          <w:p w:rsidR="00132811" w:rsidRDefault="00243C97">
            <w:pPr>
              <w:spacing w:before="40" w:after="20"/>
            </w:pPr>
            <w:r>
              <w:rPr>
                <w:b/>
                <w:color w:val="1F3864"/>
                <w:sz w:val="18"/>
              </w:rPr>
              <w:t xml:space="preserve">6. </w:t>
            </w:r>
            <w:r>
              <w:rPr>
                <w:i/>
                <w:color w:val="2E75B6"/>
                <w:sz w:val="17"/>
              </w:rPr>
              <w:t xml:space="preserve">[Type II] </w:t>
            </w:r>
          </w:p>
          <w:p w:rsidR="00132811" w:rsidRDefault="00243C97">
            <w:pPr>
              <w:spacing w:after="20"/>
              <w:ind w:left="216"/>
            </w:pPr>
            <w:r>
              <w:rPr>
                <w:b/>
                <w:sz w:val="17"/>
              </w:rPr>
              <w:t xml:space="preserve">Issue: </w:t>
            </w:r>
            <w:r>
              <w:rPr>
                <w:sz w:val="17"/>
              </w:rPr>
              <w:t>Omission of additional mechanism — direct detrusor relaxation during the storage phase.</w:t>
            </w:r>
          </w:p>
          <w:p w:rsidR="00132811" w:rsidRDefault="00243C97">
            <w:pPr>
              <w:spacing w:after="20"/>
              <w:ind w:left="216"/>
            </w:pPr>
            <w:r>
              <w:rPr>
                <w:b/>
                <w:sz w:val="17"/>
              </w:rPr>
              <w:t xml:space="preserve">Correction: </w:t>
            </w:r>
            <w:r>
              <w:rPr>
                <w:sz w:val="17"/>
              </w:rPr>
              <w:t>Add: multifactorial mechanism including direct detrusor relaxation during the storage phase.</w:t>
            </w:r>
          </w:p>
          <w:p w:rsidR="00132811" w:rsidRDefault="00243C97">
            <w:pPr>
              <w:spacing w:after="80"/>
              <w:ind w:left="216"/>
            </w:pPr>
            <w:r>
              <w:rPr>
                <w:b/>
                <w:color w:val="1F3864"/>
                <w:sz w:val="17"/>
              </w:rPr>
              <w:t xml:space="preserve">Refs: </w:t>
            </w:r>
            <w:r>
              <w:rPr>
                <w:i/>
                <w:sz w:val="16"/>
              </w:rPr>
              <w:t>(1) Andersson KE. Pharmacol Rev. 2011. | (2) EAU Guidelines on Management of Non-Neurogenic Female LUTS, 2023.</w:t>
            </w:r>
          </w:p>
          <w:p w:rsidR="00132811" w:rsidRDefault="00243C97">
            <w:pPr>
              <w:spacing w:before="40" w:after="20"/>
            </w:pPr>
            <w:r>
              <w:rPr>
                <w:b/>
                <w:color w:val="1F3864"/>
                <w:sz w:val="18"/>
              </w:rPr>
              <w:t xml:space="preserve">7. </w:t>
            </w:r>
            <w:r>
              <w:rPr>
                <w:i/>
                <w:color w:val="2E75B6"/>
                <w:sz w:val="17"/>
              </w:rPr>
              <w:t xml:space="preserve">[Type II] </w:t>
            </w:r>
          </w:p>
          <w:p w:rsidR="00132811" w:rsidRDefault="00243C97">
            <w:pPr>
              <w:spacing w:after="20"/>
              <w:ind w:left="216"/>
            </w:pPr>
            <w:r>
              <w:rPr>
                <w:b/>
                <w:sz w:val="17"/>
              </w:rPr>
              <w:t xml:space="preserve">Issue: </w:t>
            </w:r>
            <w:r>
              <w:rPr>
                <w:sz w:val="17"/>
              </w:rPr>
              <w:t>Omission of the foundational principle that NLUTD management should be urodynamically guided.</w:t>
            </w:r>
          </w:p>
          <w:p w:rsidR="00132811" w:rsidRDefault="00243C97">
            <w:pPr>
              <w:spacing w:after="20"/>
              <w:ind w:left="216"/>
            </w:pPr>
            <w:r>
              <w:rPr>
                <w:b/>
                <w:sz w:val="17"/>
              </w:rPr>
              <w:t xml:space="preserve">Correction: </w:t>
            </w:r>
            <w:r>
              <w:rPr>
                <w:sz w:val="17"/>
              </w:rPr>
              <w:t>Frame management explicitly as urodynamically guided.</w:t>
            </w:r>
          </w:p>
          <w:p w:rsidR="00132811" w:rsidRDefault="00243C97">
            <w:pPr>
              <w:spacing w:after="80"/>
              <w:ind w:left="216"/>
            </w:pPr>
            <w:r>
              <w:rPr>
                <w:b/>
                <w:color w:val="1F3864"/>
                <w:sz w:val="17"/>
              </w:rPr>
              <w:t xml:space="preserve">Refs: </w:t>
            </w:r>
            <w:r>
              <w:rPr>
                <w:i/>
                <w:sz w:val="16"/>
              </w:rPr>
              <w:t>(1) EAU Guidelines on Neuro-Urology, 2023. | (2) Campbell-Walsh-Wein Urology, 12th ed.</w:t>
            </w:r>
          </w:p>
          <w:p w:rsidR="00132811" w:rsidRDefault="00243C97">
            <w:pPr>
              <w:spacing w:before="40" w:after="20"/>
            </w:pPr>
            <w:r>
              <w:rPr>
                <w:b/>
                <w:color w:val="1F3864"/>
                <w:sz w:val="18"/>
              </w:rPr>
              <w:t xml:space="preserve">8. </w:t>
            </w:r>
            <w:r>
              <w:rPr>
                <w:i/>
                <w:color w:val="2E75B6"/>
                <w:sz w:val="17"/>
              </w:rPr>
              <w:t xml:space="preserve">[Type I] </w:t>
            </w:r>
          </w:p>
          <w:p w:rsidR="00132811" w:rsidRDefault="00243C97">
            <w:pPr>
              <w:spacing w:after="20"/>
              <w:ind w:left="216"/>
            </w:pPr>
            <w:r>
              <w:rPr>
                <w:b/>
                <w:sz w:val="17"/>
              </w:rPr>
              <w:t xml:space="preserve">Issue: </w:t>
            </w:r>
            <w:r>
              <w:rPr>
                <w:sz w:val="17"/>
              </w:rPr>
              <w:t>Indication wording fails to distinguish between complete and incomplete spinal-cord injury, which determines candidacy.</w:t>
            </w:r>
          </w:p>
          <w:p w:rsidR="00132811" w:rsidRDefault="00243C97">
            <w:pPr>
              <w:spacing w:after="20"/>
              <w:ind w:left="216"/>
            </w:pPr>
            <w:r>
              <w:rPr>
                <w:b/>
                <w:sz w:val="17"/>
              </w:rPr>
              <w:t xml:space="preserve">Correction: </w:t>
            </w:r>
            <w:r>
              <w:rPr>
                <w:sz w:val="17"/>
              </w:rPr>
              <w:t>Clarify: sacral neuromodulation applies to selected patients with incomplete lesions; NOT indicated in complete spinal-cord transection.</w:t>
            </w:r>
          </w:p>
          <w:p w:rsidR="00132811" w:rsidRDefault="00243C97">
            <w:pPr>
              <w:spacing w:after="80"/>
              <w:ind w:left="216"/>
            </w:pPr>
            <w:r>
              <w:rPr>
                <w:b/>
                <w:color w:val="1F3864"/>
                <w:sz w:val="17"/>
              </w:rPr>
              <w:t xml:space="preserve">Refs: </w:t>
            </w:r>
            <w:r>
              <w:rPr>
                <w:i/>
                <w:sz w:val="16"/>
              </w:rPr>
              <w:t>(1) EAU Guidelines on Neuro-Urology, 2023. | (2) ICS Standardisation of Terminology for Sacral Neuromodulation.</w:t>
            </w:r>
          </w:p>
          <w:p w:rsidR="00132811" w:rsidRDefault="00243C97">
            <w:pPr>
              <w:spacing w:before="40" w:after="20"/>
            </w:pPr>
            <w:r>
              <w:rPr>
                <w:b/>
                <w:color w:val="1F3864"/>
                <w:sz w:val="18"/>
              </w:rPr>
              <w:t xml:space="preserve">9. </w:t>
            </w:r>
            <w:r>
              <w:rPr>
                <w:i/>
                <w:color w:val="2E75B6"/>
                <w:sz w:val="17"/>
              </w:rPr>
              <w:t xml:space="preserve">[Type IV] </w:t>
            </w:r>
          </w:p>
          <w:p w:rsidR="00132811" w:rsidRDefault="00243C97">
            <w:pPr>
              <w:spacing w:after="20"/>
              <w:ind w:left="216"/>
            </w:pPr>
            <w:r>
              <w:rPr>
                <w:b/>
                <w:sz w:val="17"/>
              </w:rPr>
              <w:t xml:space="preserve">Issue: </w:t>
            </w:r>
            <w:r>
              <w:rPr>
                <w:sz w:val="17"/>
              </w:rPr>
              <w:t>Anatomically incorrect terminology.</w:t>
            </w:r>
          </w:p>
          <w:p w:rsidR="00132811" w:rsidRDefault="00243C97">
            <w:pPr>
              <w:spacing w:after="20"/>
              <w:ind w:left="216"/>
            </w:pPr>
            <w:r>
              <w:rPr>
                <w:b/>
                <w:sz w:val="17"/>
              </w:rPr>
              <w:t xml:space="preserve">Correction: </w:t>
            </w:r>
            <w:r>
              <w:rPr>
                <w:sz w:val="17"/>
              </w:rPr>
              <w:t>Correct term: "obliterated umbilical arteries," which form the lateral umbilical ligaments.</w:t>
            </w:r>
          </w:p>
          <w:p w:rsidR="00132811" w:rsidRDefault="00243C97">
            <w:pPr>
              <w:spacing w:after="80"/>
              <w:ind w:left="216"/>
            </w:pPr>
            <w:r>
              <w:rPr>
                <w:b/>
                <w:color w:val="1F3864"/>
                <w:sz w:val="17"/>
              </w:rPr>
              <w:t xml:space="preserve">Refs: </w:t>
            </w:r>
            <w:r>
              <w:rPr>
                <w:i/>
                <w:sz w:val="16"/>
              </w:rPr>
              <w:t>(1) Gray's Anatomy, 42nd ed. | (2) Moore's Clinically Oriented Anatomy, 9th ed.</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2E75B6"/>
                <w:sz w:val="19"/>
              </w:rPr>
              <w:lastRenderedPageBreak/>
              <w:t>Forwarded</w:t>
            </w:r>
          </w:p>
          <w:p w:rsidR="00132811" w:rsidRDefault="00243C97">
            <w:pPr>
              <w:spacing w:after="40"/>
            </w:pPr>
            <w:r>
              <w:rPr>
                <w:color w:val="333333"/>
                <w:sz w:val="17"/>
              </w:rPr>
              <w:t>Forwarded by the editorial team to Prof. Sayers (urology section editor) for the 29th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lastRenderedPageBreak/>
              <w:t>5</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Stomach venous drainage and operative implications</w:t>
            </w:r>
          </w:p>
          <w:p w:rsidR="00132811" w:rsidRDefault="00243C97">
            <w:pPr>
              <w:spacing w:after="40"/>
            </w:pPr>
            <w:r>
              <w:rPr>
                <w:b/>
                <w:color w:val="2E75B6"/>
                <w:sz w:val="18"/>
              </w:rPr>
              <w:t>4 sub-contributions</w:t>
            </w:r>
          </w:p>
          <w:p w:rsidR="00132811" w:rsidRDefault="00243C97">
            <w:pPr>
              <w:spacing w:after="40"/>
            </w:pPr>
            <w:r>
              <w:rPr>
                <w:color w:val="606060"/>
                <w:sz w:val="17"/>
              </w:rPr>
              <w:t>Type I: 2 · Type II: 2</w:t>
            </w:r>
          </w:p>
          <w:p w:rsidR="00132811" w:rsidRDefault="00243C97">
            <w:pPr>
              <w:spacing w:after="0"/>
            </w:pPr>
            <w:r>
              <w:rPr>
                <w:b/>
                <w:sz w:val="17"/>
              </w:rPr>
              <w:t xml:space="preserve">Source: </w:t>
            </w:r>
            <w:r>
              <w:rPr>
                <w:i/>
                <w:sz w:val="17"/>
              </w:rPr>
              <w:t>Ch 67, p. 1148 — Stomach venous drainage</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Factual inaccuracy: the right gastroepiploic vein most commonly drains into the SMV.</w:t>
            </w:r>
          </w:p>
          <w:p w:rsidR="00132811" w:rsidRDefault="00243C97">
            <w:pPr>
              <w:spacing w:after="20"/>
              <w:ind w:left="216"/>
            </w:pPr>
            <w:r>
              <w:rPr>
                <w:b/>
                <w:sz w:val="17"/>
              </w:rPr>
              <w:t xml:space="preserve">Correction: </w:t>
            </w:r>
            <w:r>
              <w:rPr>
                <w:sz w:val="17"/>
              </w:rPr>
              <w:t>Correct: the right gastroepiploic vein most commonly drains into the SMV, frequently via the gastrocolic trunk (Henle's trunk).</w:t>
            </w:r>
          </w:p>
          <w:p w:rsidR="00132811" w:rsidRDefault="00243C97">
            <w:pPr>
              <w:spacing w:after="80"/>
              <w:ind w:left="216"/>
            </w:pPr>
            <w:r>
              <w:rPr>
                <w:b/>
                <w:color w:val="1F3864"/>
                <w:sz w:val="17"/>
              </w:rPr>
              <w:lastRenderedPageBreak/>
              <w:t xml:space="preserve">Refs: </w:t>
            </w:r>
            <w:r>
              <w:rPr>
                <w:i/>
                <w:sz w:val="16"/>
              </w:rPr>
              <w:t>(1) Gray's Anatomy, 42nd ed. | (2) Skandalakis Surgical Anatomy, 1st ed. | (3) Triantafyllou T, et al. The blood supply of the stomach: a systematic review. Diagnostics. 2025;15(22):2896.</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explicit clinical relevance for major upper-GI procedures.</w:t>
            </w:r>
          </w:p>
          <w:p w:rsidR="00132811" w:rsidRDefault="00243C97">
            <w:pPr>
              <w:spacing w:after="20"/>
              <w:ind w:left="216"/>
            </w:pPr>
            <w:r>
              <w:rPr>
                <w:b/>
                <w:sz w:val="17"/>
              </w:rPr>
              <w:t xml:space="preserve">Correction: </w:t>
            </w:r>
            <w:r>
              <w:rPr>
                <w:sz w:val="17"/>
              </w:rPr>
              <w:t>Add: accurate identification of SMV tributaries is critical during gastrectomy and pancreaticoduodenectomy.</w:t>
            </w:r>
          </w:p>
          <w:p w:rsidR="00132811" w:rsidRDefault="00243C97">
            <w:pPr>
              <w:spacing w:after="80"/>
              <w:ind w:left="216"/>
            </w:pPr>
            <w:r>
              <w:rPr>
                <w:b/>
                <w:color w:val="1F3864"/>
                <w:sz w:val="17"/>
              </w:rPr>
              <w:t xml:space="preserve">Refs: </w:t>
            </w:r>
            <w:r>
              <w:rPr>
                <w:i/>
                <w:sz w:val="16"/>
              </w:rPr>
              <w:t>(1) Skandalakis Surgical Anatomy. | (2) Sabiston Textbook of Surgery, 21st ed.</w:t>
            </w:r>
          </w:p>
          <w:p w:rsidR="00132811" w:rsidRDefault="00243C97">
            <w:pPr>
              <w:spacing w:before="40" w:after="20"/>
            </w:pPr>
            <w:r>
              <w:rPr>
                <w:b/>
                <w:color w:val="1F3864"/>
                <w:sz w:val="18"/>
              </w:rPr>
              <w:t xml:space="preserve">3. </w:t>
            </w:r>
            <w:r>
              <w:rPr>
                <w:i/>
                <w:color w:val="2E75B6"/>
                <w:sz w:val="17"/>
              </w:rPr>
              <w:t xml:space="preserve">[Type I] </w:t>
            </w:r>
          </w:p>
          <w:p w:rsidR="00132811" w:rsidRDefault="00243C97">
            <w:pPr>
              <w:spacing w:after="20"/>
              <w:ind w:left="216"/>
            </w:pPr>
            <w:r>
              <w:rPr>
                <w:b/>
                <w:sz w:val="17"/>
              </w:rPr>
              <w:t xml:space="preserve">Issue: </w:t>
            </w:r>
            <w:r>
              <w:rPr>
                <w:sz w:val="17"/>
              </w:rPr>
              <w:t>Factual inaccuracy: most commonly arises from the proper hepatic artery.</w:t>
            </w:r>
          </w:p>
          <w:p w:rsidR="00132811" w:rsidRDefault="00243C97">
            <w:pPr>
              <w:spacing w:after="20"/>
              <w:ind w:left="216"/>
            </w:pPr>
            <w:r>
              <w:rPr>
                <w:b/>
                <w:sz w:val="17"/>
              </w:rPr>
              <w:t xml:space="preserve">Correction: </w:t>
            </w:r>
            <w:r>
              <w:rPr>
                <w:sz w:val="17"/>
              </w:rPr>
              <w:t>Correct: most commonly originates from the proper hepatic artery, with well-recognised variations.</w:t>
            </w:r>
          </w:p>
          <w:p w:rsidR="00132811" w:rsidRDefault="00243C97">
            <w:pPr>
              <w:spacing w:after="80"/>
              <w:ind w:left="216"/>
            </w:pPr>
            <w:r>
              <w:rPr>
                <w:b/>
                <w:color w:val="1F3864"/>
                <w:sz w:val="17"/>
              </w:rPr>
              <w:t xml:space="preserve">Refs: </w:t>
            </w:r>
            <w:r>
              <w:rPr>
                <w:i/>
                <w:sz w:val="16"/>
              </w:rPr>
              <w:t>(1) Gray's Anatomy, 42nd ed. | (2) Skandalakis Surgical Anatomy.</w:t>
            </w:r>
          </w:p>
          <w:p w:rsidR="00132811" w:rsidRDefault="00243C97">
            <w:pPr>
              <w:spacing w:before="40" w:after="20"/>
            </w:pPr>
            <w:r>
              <w:rPr>
                <w:b/>
                <w:color w:val="1F3864"/>
                <w:sz w:val="18"/>
              </w:rPr>
              <w:t xml:space="preserve">4. </w:t>
            </w:r>
            <w:r>
              <w:rPr>
                <w:i/>
                <w:color w:val="2E75B6"/>
                <w:sz w:val="17"/>
              </w:rPr>
              <w:t xml:space="preserve">[Type II] </w:t>
            </w:r>
          </w:p>
          <w:p w:rsidR="00132811" w:rsidRDefault="00243C97">
            <w:pPr>
              <w:spacing w:after="20"/>
              <w:ind w:left="216"/>
            </w:pPr>
            <w:r>
              <w:rPr>
                <w:b/>
                <w:sz w:val="17"/>
              </w:rPr>
              <w:t xml:space="preserve">Issue: </w:t>
            </w:r>
            <w:r>
              <w:rPr>
                <w:sz w:val="17"/>
              </w:rPr>
              <w:t>Omission of clinical relevance for gastric-cancer surgery technique.</w:t>
            </w:r>
          </w:p>
          <w:p w:rsidR="00132811" w:rsidRDefault="00243C97">
            <w:pPr>
              <w:spacing w:after="20"/>
              <w:ind w:left="216"/>
            </w:pPr>
            <w:r>
              <w:rPr>
                <w:b/>
                <w:sz w:val="17"/>
              </w:rPr>
              <w:t xml:space="preserve">Correction: </w:t>
            </w:r>
            <w:r>
              <w:rPr>
                <w:sz w:val="17"/>
              </w:rPr>
              <w:t>Add: precise knowledge of right gastric artery origin is critical during vessel ligation and D2 lymphadenectomy.</w:t>
            </w:r>
          </w:p>
          <w:p w:rsidR="00132811" w:rsidRDefault="00243C97">
            <w:pPr>
              <w:spacing w:after="80"/>
              <w:ind w:left="216"/>
            </w:pPr>
            <w:r>
              <w:rPr>
                <w:b/>
                <w:color w:val="1F3864"/>
                <w:sz w:val="17"/>
              </w:rPr>
              <w:t xml:space="preserve">Refs: </w:t>
            </w:r>
            <w:r>
              <w:rPr>
                <w:i/>
                <w:sz w:val="16"/>
              </w:rPr>
              <w:t>(1) Japanese Gastric Cancer Treatment Guidelines (6th ed.). | (2) Sabiston Textbook of Surgery, 21st ed.</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2E75B6"/>
                <w:sz w:val="19"/>
              </w:rPr>
              <w:lastRenderedPageBreak/>
              <w:t>Forwarded</w:t>
            </w:r>
          </w:p>
          <w:p w:rsidR="00132811" w:rsidRDefault="00243C97">
            <w:pPr>
              <w:spacing w:after="40"/>
            </w:pPr>
            <w:r>
              <w:rPr>
                <w:color w:val="333333"/>
                <w:sz w:val="17"/>
              </w:rPr>
              <w:t>Forwarded by the editorial team to the upper-GI chapter authors for the 29th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lastRenderedPageBreak/>
              <w:t>6</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Acute pancreatitis — management, prophylaxis, and revised nomenclature</w:t>
            </w:r>
          </w:p>
          <w:p w:rsidR="00132811" w:rsidRDefault="00243C97">
            <w:pPr>
              <w:spacing w:after="40"/>
            </w:pPr>
            <w:r>
              <w:rPr>
                <w:b/>
                <w:color w:val="2E75B6"/>
                <w:sz w:val="18"/>
              </w:rPr>
              <w:t>7 sub-contributions</w:t>
            </w:r>
          </w:p>
          <w:p w:rsidR="00132811" w:rsidRDefault="00243C97">
            <w:pPr>
              <w:spacing w:after="40"/>
            </w:pPr>
            <w:r>
              <w:rPr>
                <w:color w:val="606060"/>
                <w:sz w:val="17"/>
              </w:rPr>
              <w:t>Type I: 3 · Type III: 3 · Type IV: 1</w:t>
            </w:r>
          </w:p>
          <w:p w:rsidR="00132811" w:rsidRDefault="00243C97">
            <w:pPr>
              <w:spacing w:after="0"/>
            </w:pPr>
            <w:r>
              <w:rPr>
                <w:b/>
                <w:sz w:val="17"/>
              </w:rPr>
              <w:t xml:space="preserve">Source: </w:t>
            </w:r>
            <w:r>
              <w:rPr>
                <w:i/>
                <w:sz w:val="17"/>
              </w:rPr>
              <w:t>Ch 72, p. 1270 — Acute pancreatitis, antibiotic prophylaxis</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III] </w:t>
            </w:r>
          </w:p>
          <w:p w:rsidR="00132811" w:rsidRDefault="00243C97">
            <w:pPr>
              <w:spacing w:after="20"/>
              <w:ind w:left="216"/>
            </w:pPr>
            <w:r>
              <w:rPr>
                <w:b/>
                <w:sz w:val="17"/>
              </w:rPr>
              <w:t xml:space="preserve">Issue: </w:t>
            </w:r>
            <w:r>
              <w:rPr>
                <w:sz w:val="17"/>
              </w:rPr>
              <w:t>Outdated recommendation: modern guidelines advise against routine prophylactic antibiotics in sterile necrotising pancreatitis.</w:t>
            </w:r>
          </w:p>
          <w:p w:rsidR="00132811" w:rsidRDefault="00243C97">
            <w:pPr>
              <w:spacing w:after="20"/>
              <w:ind w:left="216"/>
            </w:pPr>
            <w:r>
              <w:rPr>
                <w:b/>
                <w:sz w:val="17"/>
              </w:rPr>
              <w:t xml:space="preserve">Correction: </w:t>
            </w:r>
            <w:r>
              <w:rPr>
                <w:sz w:val="17"/>
              </w:rPr>
              <w:t>Update: antibiotics only for proven or strongly suspected infected necrosis, or documented extrapancreatic infection.</w:t>
            </w:r>
          </w:p>
          <w:p w:rsidR="00132811" w:rsidRDefault="00243C97">
            <w:pPr>
              <w:spacing w:after="80"/>
              <w:ind w:left="216"/>
            </w:pPr>
            <w:r>
              <w:rPr>
                <w:b/>
                <w:color w:val="1F3864"/>
                <w:sz w:val="17"/>
              </w:rPr>
              <w:t xml:space="preserve">Refs: </w:t>
            </w:r>
            <w:r>
              <w:rPr>
                <w:i/>
                <w:sz w:val="16"/>
              </w:rPr>
              <w:t>(1) IAP/APA Evidence-Based Guidelines for the Management of Acute Pancreatitis. Pancreatology. 2013. | (2) ACG Clinical Guideline: Initial Management of Acute Pancreatitis, 2024 update.</w:t>
            </w:r>
          </w:p>
          <w:p w:rsidR="00132811" w:rsidRDefault="00243C97">
            <w:pPr>
              <w:spacing w:before="40" w:after="20"/>
            </w:pPr>
            <w:r>
              <w:rPr>
                <w:b/>
                <w:color w:val="1F3864"/>
                <w:sz w:val="18"/>
              </w:rPr>
              <w:t xml:space="preserve">2. </w:t>
            </w:r>
            <w:r>
              <w:rPr>
                <w:i/>
                <w:color w:val="2E75B6"/>
                <w:sz w:val="17"/>
              </w:rPr>
              <w:t xml:space="preserve">[Type III] </w:t>
            </w:r>
          </w:p>
          <w:p w:rsidR="00132811" w:rsidRDefault="00243C97">
            <w:pPr>
              <w:spacing w:after="20"/>
              <w:ind w:left="216"/>
            </w:pPr>
            <w:r>
              <w:rPr>
                <w:b/>
                <w:sz w:val="17"/>
              </w:rPr>
              <w:t xml:space="preserve">Issue: </w:t>
            </w:r>
            <w:r>
              <w:rPr>
                <w:sz w:val="17"/>
              </w:rPr>
              <w:t>Outdated clinical recommendation.</w:t>
            </w:r>
          </w:p>
          <w:p w:rsidR="00132811" w:rsidRDefault="00243C97">
            <w:pPr>
              <w:spacing w:after="20"/>
              <w:ind w:left="216"/>
            </w:pPr>
            <w:r>
              <w:rPr>
                <w:b/>
                <w:sz w:val="17"/>
              </w:rPr>
              <w:t xml:space="preserve">Correction: </w:t>
            </w:r>
            <w:r>
              <w:rPr>
                <w:sz w:val="17"/>
              </w:rPr>
              <w:t>Update: early ERCP is now recommended primarily for acute cholangitis or persistent biliary obstruction; severe pancreatitis alone is no longer an urgent ERCP indication.</w:t>
            </w:r>
          </w:p>
          <w:p w:rsidR="00132811" w:rsidRDefault="00243C97">
            <w:pPr>
              <w:spacing w:after="80"/>
              <w:ind w:left="216"/>
            </w:pPr>
            <w:r>
              <w:rPr>
                <w:b/>
                <w:color w:val="1F3864"/>
                <w:sz w:val="17"/>
              </w:rPr>
              <w:t xml:space="preserve">Refs: </w:t>
            </w:r>
            <w:r>
              <w:rPr>
                <w:i/>
                <w:sz w:val="16"/>
              </w:rPr>
              <w:t>(1) ESGE Guideline on ERCP-related Adverse Events, 2020. | (2) ACG Clinical Guideline 2024.</w:t>
            </w:r>
          </w:p>
          <w:p w:rsidR="00132811" w:rsidRDefault="00243C97">
            <w:pPr>
              <w:spacing w:before="40" w:after="20"/>
            </w:pPr>
            <w:r>
              <w:rPr>
                <w:b/>
                <w:color w:val="1F3864"/>
                <w:sz w:val="18"/>
              </w:rPr>
              <w:t xml:space="preserve">3. </w:t>
            </w:r>
            <w:r>
              <w:rPr>
                <w:i/>
                <w:color w:val="2E75B6"/>
                <w:sz w:val="17"/>
              </w:rPr>
              <w:t xml:space="preserve">[Type I] </w:t>
            </w:r>
          </w:p>
          <w:p w:rsidR="00132811" w:rsidRDefault="00243C97">
            <w:pPr>
              <w:spacing w:after="20"/>
              <w:ind w:left="216"/>
            </w:pPr>
            <w:r>
              <w:rPr>
                <w:b/>
                <w:sz w:val="17"/>
              </w:rPr>
              <w:t xml:space="preserve">Issue: </w:t>
            </w:r>
            <w:r>
              <w:rPr>
                <w:sz w:val="17"/>
              </w:rPr>
              <w:t>Omission of evidence-based timing window for necrosis assessment.</w:t>
            </w:r>
          </w:p>
          <w:p w:rsidR="00132811" w:rsidRDefault="00243C97">
            <w:pPr>
              <w:spacing w:after="20"/>
              <w:ind w:left="216"/>
            </w:pPr>
            <w:r>
              <w:rPr>
                <w:b/>
                <w:sz w:val="17"/>
              </w:rPr>
              <w:t xml:space="preserve">Correction: </w:t>
            </w:r>
            <w:r>
              <w:rPr>
                <w:sz w:val="17"/>
              </w:rPr>
              <w:t>Add: contrast-enhanced CT is best delayed to ~72–96 hours after symptom onset for accurate necrosis assessment.</w:t>
            </w:r>
          </w:p>
          <w:p w:rsidR="00132811" w:rsidRDefault="00243C97">
            <w:pPr>
              <w:spacing w:after="80"/>
              <w:ind w:left="216"/>
            </w:pPr>
            <w:r>
              <w:rPr>
                <w:b/>
                <w:color w:val="1F3864"/>
                <w:sz w:val="17"/>
              </w:rPr>
              <w:t xml:space="preserve">Refs: </w:t>
            </w:r>
            <w:r>
              <w:rPr>
                <w:i/>
                <w:sz w:val="16"/>
              </w:rPr>
              <w:t>(1) Banks PA, et al. Revised Atlanta Classification. Gut. 2013;62(1):102–111. | (2) ACR Appropriateness Criteria — Acute Pancreatitis.</w:t>
            </w:r>
          </w:p>
          <w:p w:rsidR="00132811" w:rsidRDefault="00243C97">
            <w:pPr>
              <w:spacing w:before="40" w:after="20"/>
            </w:pPr>
            <w:r>
              <w:rPr>
                <w:b/>
                <w:color w:val="1F3864"/>
                <w:sz w:val="18"/>
              </w:rPr>
              <w:t xml:space="preserve">4. </w:t>
            </w:r>
            <w:r>
              <w:rPr>
                <w:i/>
                <w:color w:val="2E75B6"/>
                <w:sz w:val="17"/>
              </w:rPr>
              <w:t xml:space="preserve">[Type I] </w:t>
            </w:r>
          </w:p>
          <w:p w:rsidR="00132811" w:rsidRDefault="00243C97">
            <w:pPr>
              <w:spacing w:after="20"/>
              <w:ind w:left="216"/>
            </w:pPr>
            <w:r>
              <w:rPr>
                <w:b/>
                <w:sz w:val="17"/>
              </w:rPr>
              <w:t xml:space="preserve">Issue: </w:t>
            </w:r>
            <w:r>
              <w:rPr>
                <w:sz w:val="17"/>
              </w:rPr>
              <w:t>Omission of contemporary goal-directed crystalloid recommendation.</w:t>
            </w:r>
          </w:p>
          <w:p w:rsidR="00132811" w:rsidRDefault="00243C97">
            <w:pPr>
              <w:spacing w:after="20"/>
              <w:ind w:left="216"/>
            </w:pPr>
            <w:r>
              <w:rPr>
                <w:b/>
                <w:sz w:val="17"/>
              </w:rPr>
              <w:t xml:space="preserve">Correction: </w:t>
            </w:r>
            <w:r>
              <w:rPr>
                <w:sz w:val="17"/>
              </w:rPr>
              <w:t>Emphasise early goal-directed isotonic crystalloid resuscitation — preferably Ringer's lactate — within first 6–12 hours.</w:t>
            </w:r>
          </w:p>
          <w:p w:rsidR="00132811" w:rsidRDefault="00243C97">
            <w:pPr>
              <w:spacing w:after="80"/>
              <w:ind w:left="216"/>
            </w:pPr>
            <w:r>
              <w:rPr>
                <w:b/>
                <w:color w:val="1F3864"/>
                <w:sz w:val="17"/>
              </w:rPr>
              <w:t xml:space="preserve">Refs: </w:t>
            </w:r>
            <w:r>
              <w:rPr>
                <w:i/>
                <w:sz w:val="16"/>
              </w:rPr>
              <w:t>(1) ACG Clinical Guideline 2024. | (2) de-Madaria E et al. WATERFALL trial. N Engl J Med. 2022;387:989–1000.</w:t>
            </w:r>
          </w:p>
          <w:p w:rsidR="00132811" w:rsidRDefault="00243C97">
            <w:pPr>
              <w:spacing w:before="40" w:after="20"/>
            </w:pPr>
            <w:r>
              <w:rPr>
                <w:b/>
                <w:color w:val="1F3864"/>
                <w:sz w:val="18"/>
              </w:rPr>
              <w:t xml:space="preserve">5. </w:t>
            </w:r>
            <w:r>
              <w:rPr>
                <w:i/>
                <w:color w:val="2E75B6"/>
                <w:sz w:val="17"/>
              </w:rPr>
              <w:t xml:space="preserve">[Type IV] </w:t>
            </w:r>
          </w:p>
          <w:p w:rsidR="00132811" w:rsidRDefault="00243C97">
            <w:pPr>
              <w:spacing w:after="20"/>
              <w:ind w:left="216"/>
            </w:pPr>
            <w:r>
              <w:rPr>
                <w:b/>
                <w:sz w:val="17"/>
              </w:rPr>
              <w:t xml:space="preserve">Issue: </w:t>
            </w:r>
            <w:r>
              <w:rPr>
                <w:sz w:val="17"/>
              </w:rPr>
              <w:t>Deprecated terminology under Revised Atlanta Classification.</w:t>
            </w:r>
          </w:p>
          <w:p w:rsidR="00132811" w:rsidRDefault="00243C97">
            <w:pPr>
              <w:spacing w:after="20"/>
              <w:ind w:left="216"/>
            </w:pPr>
            <w:r>
              <w:rPr>
                <w:b/>
                <w:sz w:val="17"/>
              </w:rPr>
              <w:lastRenderedPageBreak/>
              <w:t xml:space="preserve">Correction: </w:t>
            </w:r>
            <w:r>
              <w:rPr>
                <w:sz w:val="17"/>
              </w:rPr>
              <w:t>Replace with "infected acute necrotic collection" and "infected walled-off necrosis" per Revised Atlanta Classification.</w:t>
            </w:r>
          </w:p>
          <w:p w:rsidR="00132811" w:rsidRDefault="00243C97">
            <w:pPr>
              <w:spacing w:after="80"/>
              <w:ind w:left="216"/>
            </w:pPr>
            <w:r>
              <w:rPr>
                <w:b/>
                <w:color w:val="1F3864"/>
                <w:sz w:val="17"/>
              </w:rPr>
              <w:t xml:space="preserve">Refs: </w:t>
            </w:r>
            <w:r>
              <w:rPr>
                <w:i/>
                <w:sz w:val="16"/>
              </w:rPr>
              <w:t>(1) Banks PA, et al. Gut. 2013;62(1):102–111. | (2) IAP/APA Guidelines. Pancreatology. 2013.</w:t>
            </w:r>
          </w:p>
          <w:p w:rsidR="00132811" w:rsidRDefault="00243C97">
            <w:pPr>
              <w:spacing w:before="40" w:after="20"/>
            </w:pPr>
            <w:r>
              <w:rPr>
                <w:b/>
                <w:color w:val="1F3864"/>
                <w:sz w:val="18"/>
              </w:rPr>
              <w:t xml:space="preserve">6. </w:t>
            </w:r>
            <w:r>
              <w:rPr>
                <w:i/>
                <w:color w:val="2E75B6"/>
                <w:sz w:val="17"/>
              </w:rPr>
              <w:t xml:space="preserve">[Type III] </w:t>
            </w:r>
          </w:p>
          <w:p w:rsidR="00132811" w:rsidRDefault="00243C97">
            <w:pPr>
              <w:spacing w:after="20"/>
              <w:ind w:left="216"/>
            </w:pPr>
            <w:r>
              <w:rPr>
                <w:b/>
                <w:sz w:val="17"/>
              </w:rPr>
              <w:t xml:space="preserve">Issue: </w:t>
            </w:r>
            <w:r>
              <w:rPr>
                <w:sz w:val="17"/>
              </w:rPr>
              <w:t>Omission of guideline-endorsed prophylactic intervention.</w:t>
            </w:r>
          </w:p>
          <w:p w:rsidR="00132811" w:rsidRDefault="00243C97">
            <w:pPr>
              <w:spacing w:after="20"/>
              <w:ind w:left="216"/>
            </w:pPr>
            <w:r>
              <w:rPr>
                <w:b/>
                <w:sz w:val="17"/>
              </w:rPr>
              <w:t xml:space="preserve">Correction: </w:t>
            </w:r>
            <w:r>
              <w:rPr>
                <w:sz w:val="17"/>
              </w:rPr>
              <w:t>Add: rectal NSAIDs (indomethacin or diclofenac) as routine prophylaxis in absence of contraindications.</w:t>
            </w:r>
          </w:p>
          <w:p w:rsidR="00132811" w:rsidRDefault="00243C97">
            <w:pPr>
              <w:spacing w:after="80"/>
              <w:ind w:left="216"/>
            </w:pPr>
            <w:r>
              <w:rPr>
                <w:b/>
                <w:color w:val="1F3864"/>
                <w:sz w:val="17"/>
              </w:rPr>
              <w:t xml:space="preserve">Refs: </w:t>
            </w:r>
            <w:r>
              <w:rPr>
                <w:i/>
                <w:sz w:val="16"/>
              </w:rPr>
              <w:t>(1) Elmunzer BJ et al. N Engl J Med. 2012;366(15):1414–1422. | (2) ESGE Guidelines on ERCP-related Adverse Events, 2020. | (3) Mukai S et al. Post-ERCP pancreatitis prophylaxis: updated meta-analysis. Dig Dis Sci. 2025.</w:t>
            </w:r>
          </w:p>
          <w:p w:rsidR="00132811" w:rsidRDefault="00243C97">
            <w:pPr>
              <w:spacing w:before="40" w:after="20"/>
            </w:pPr>
            <w:r>
              <w:rPr>
                <w:b/>
                <w:color w:val="1F3864"/>
                <w:sz w:val="18"/>
              </w:rPr>
              <w:t xml:space="preserve">7. </w:t>
            </w:r>
            <w:r>
              <w:rPr>
                <w:i/>
                <w:color w:val="2E75B6"/>
                <w:sz w:val="17"/>
              </w:rPr>
              <w:t xml:space="preserve">[Type I] </w:t>
            </w:r>
          </w:p>
          <w:p w:rsidR="00132811" w:rsidRDefault="00243C97">
            <w:pPr>
              <w:spacing w:after="20"/>
              <w:ind w:left="216"/>
            </w:pPr>
            <w:r>
              <w:rPr>
                <w:b/>
                <w:sz w:val="17"/>
              </w:rPr>
              <w:t xml:space="preserve">Issue: </w:t>
            </w:r>
            <w:r>
              <w:rPr>
                <w:sz w:val="17"/>
              </w:rPr>
              <w:t>Omission of risk thresholds for triglyceride-induced pancreatitis.</w:t>
            </w:r>
          </w:p>
          <w:p w:rsidR="00132811" w:rsidRDefault="00243C97">
            <w:pPr>
              <w:spacing w:after="20"/>
              <w:ind w:left="216"/>
            </w:pPr>
            <w:r>
              <w:rPr>
                <w:b/>
                <w:sz w:val="17"/>
              </w:rPr>
              <w:t xml:space="preserve">Correction: </w:t>
            </w:r>
            <w:r>
              <w:rPr>
                <w:sz w:val="17"/>
              </w:rPr>
              <w:t>Add: risk of pancreatitis increases markedly above ~1000 mg/dL, with rising risk above 500 mg/dL.</w:t>
            </w:r>
          </w:p>
          <w:p w:rsidR="00132811" w:rsidRDefault="00243C97">
            <w:pPr>
              <w:spacing w:after="80"/>
              <w:ind w:left="216"/>
            </w:pPr>
            <w:r>
              <w:rPr>
                <w:b/>
                <w:color w:val="1F3864"/>
                <w:sz w:val="17"/>
              </w:rPr>
              <w:t xml:space="preserve">Refs: </w:t>
            </w:r>
            <w:r>
              <w:rPr>
                <w:i/>
                <w:sz w:val="16"/>
              </w:rPr>
              <w:t>(1) Endocrine Society Clinical Practice Guideline on Hypertriglyceridaemia. | (2) Berglund L et al. J Clin Endocrinol Metab. 2012.</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2E75B6"/>
                <w:sz w:val="19"/>
              </w:rPr>
              <w:lastRenderedPageBreak/>
              <w:t>Forwarded</w:t>
            </w:r>
          </w:p>
          <w:p w:rsidR="00132811" w:rsidRDefault="00243C97">
            <w:pPr>
              <w:spacing w:after="40"/>
            </w:pPr>
            <w:r>
              <w:rPr>
                <w:color w:val="333333"/>
                <w:sz w:val="17"/>
              </w:rPr>
              <w:t>Forwarded by Mrs Miranda Bromage (Taylor &amp; Francis) to the HPB chapter authors for the 29th edition</w:t>
            </w:r>
          </w:p>
        </w:tc>
      </w:tr>
    </w:tbl>
    <w:p w:rsidR="00132811" w:rsidRDefault="00132811"/>
    <w:p w:rsidR="00132811" w:rsidRDefault="00243C97">
      <w:pPr>
        <w:spacing w:before="240" w:after="80"/>
      </w:pPr>
      <w:r>
        <w:rPr>
          <w:b/>
          <w:color w:val="2E75B6"/>
          <w:sz w:val="24"/>
        </w:rPr>
        <w:t>6.2  Essentials of Plastic Surgery</w:t>
      </w:r>
    </w:p>
    <w:p w:rsidR="00132811" w:rsidRDefault="00243C97">
      <w:pPr>
        <w:spacing w:after="40"/>
      </w:pPr>
      <w:r>
        <w:rPr>
          <w:b/>
          <w:sz w:val="20"/>
        </w:rPr>
        <w:t xml:space="preserve">Specialty: </w:t>
      </w:r>
      <w:r>
        <w:rPr>
          <w:sz w:val="20"/>
        </w:rPr>
        <w:t>Plastic Surgery / Hand Surgery</w:t>
      </w:r>
    </w:p>
    <w:p w:rsidR="00132811" w:rsidRDefault="00243C97">
      <w:pPr>
        <w:spacing w:after="40"/>
      </w:pPr>
      <w:r>
        <w:rPr>
          <w:b/>
          <w:sz w:val="20"/>
        </w:rPr>
        <w:t xml:space="preserve">Total sub-contributions: </w:t>
      </w:r>
      <w:r>
        <w:rPr>
          <w:b/>
          <w:color w:val="1F3864"/>
          <w:sz w:val="20"/>
        </w:rPr>
        <w:t xml:space="preserve">8  </w:t>
      </w:r>
      <w:r>
        <w:rPr>
          <w:color w:val="606060"/>
          <w:sz w:val="19"/>
        </w:rPr>
        <w:t>(Type I: 4 · Type II: 3 · Type III: 0 · Type IV: 1 · Type V: 0)</w:t>
      </w:r>
    </w:p>
    <w:tbl>
      <w:tblPr>
        <w:tblW w:w="0" w:type="auto"/>
        <w:jc w:val="center"/>
        <w:tblLayout w:type="fixed"/>
        <w:tblLook w:val="04A0" w:firstRow="1" w:lastRow="0" w:firstColumn="1" w:lastColumn="0" w:noHBand="0" w:noVBand="1"/>
      </w:tblPr>
      <w:tblGrid>
        <w:gridCol w:w="461"/>
        <w:gridCol w:w="2232"/>
        <w:gridCol w:w="6336"/>
        <w:gridCol w:w="2779"/>
      </w:tblGrid>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w:t>
            </w:r>
          </w:p>
        </w:tc>
        <w:tc>
          <w:tcPr>
            <w:tcW w:w="2232"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Email submission topic</w:t>
            </w:r>
          </w:p>
        </w:tc>
        <w:tc>
          <w:tcPr>
            <w:tcW w:w="6336"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Sub-contributions (with two supporting references each)</w:t>
            </w:r>
          </w:p>
        </w:tc>
        <w:tc>
          <w:tcPr>
            <w:tcW w:w="2779"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Editorial response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1</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Deep fascial spaces of the hand — boundary corrections and clinical-relevance refinements</w:t>
            </w:r>
          </w:p>
          <w:p w:rsidR="00132811" w:rsidRDefault="00243C97">
            <w:pPr>
              <w:spacing w:after="40"/>
            </w:pPr>
            <w:r>
              <w:rPr>
                <w:b/>
                <w:color w:val="2E75B6"/>
                <w:sz w:val="18"/>
              </w:rPr>
              <w:t>8 sub-contributions</w:t>
            </w:r>
          </w:p>
          <w:p w:rsidR="00132811" w:rsidRDefault="00243C97">
            <w:pPr>
              <w:spacing w:after="40"/>
            </w:pPr>
            <w:r>
              <w:rPr>
                <w:color w:val="606060"/>
                <w:sz w:val="17"/>
              </w:rPr>
              <w:t>Type I: 4 · Type II: 3 · Type IV: 1</w:t>
            </w:r>
          </w:p>
          <w:p w:rsidR="00132811" w:rsidRDefault="00243C97">
            <w:pPr>
              <w:spacing w:after="0"/>
            </w:pPr>
            <w:r>
              <w:rPr>
                <w:b/>
                <w:sz w:val="17"/>
              </w:rPr>
              <w:t xml:space="preserve">Source: </w:t>
            </w:r>
            <w:r>
              <w:rPr>
                <w:i/>
                <w:sz w:val="17"/>
              </w:rPr>
              <w:t>Hand spaces section — Midpalmar (Deep Palmar) Space, volar boundary</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II] </w:t>
            </w:r>
          </w:p>
          <w:p w:rsidR="00132811" w:rsidRDefault="00243C97">
            <w:pPr>
              <w:spacing w:after="20"/>
              <w:ind w:left="216"/>
            </w:pPr>
            <w:r>
              <w:rPr>
                <w:b/>
                <w:sz w:val="17"/>
              </w:rPr>
              <w:t xml:space="preserve">Issue: </w:t>
            </w:r>
            <w:r>
              <w:rPr>
                <w:sz w:val="17"/>
              </w:rPr>
              <w:t>Anatomically incorrect: the palmar aponeurosis is superficial to the midpalmar space and is not a true boundary.</w:t>
            </w:r>
          </w:p>
          <w:p w:rsidR="00132811" w:rsidRDefault="00243C97">
            <w:pPr>
              <w:spacing w:after="20"/>
              <w:ind w:left="216"/>
            </w:pPr>
            <w:r>
              <w:rPr>
                <w:b/>
                <w:sz w:val="17"/>
              </w:rPr>
              <w:t xml:space="preserve">Correction: </w:t>
            </w:r>
            <w:r>
              <w:rPr>
                <w:sz w:val="17"/>
              </w:rPr>
              <w:t>The volar boundary is formed by the flexor tendon sheaths and lumbrical muscles.</w:t>
            </w:r>
          </w:p>
          <w:p w:rsidR="00132811" w:rsidRDefault="00243C97">
            <w:pPr>
              <w:spacing w:after="80"/>
              <w:ind w:left="216"/>
            </w:pPr>
            <w:r>
              <w:rPr>
                <w:b/>
                <w:color w:val="1F3864"/>
                <w:sz w:val="17"/>
              </w:rPr>
              <w:t xml:space="preserve">Refs: </w:t>
            </w:r>
            <w:r>
              <w:rPr>
                <w:i/>
                <w:sz w:val="16"/>
              </w:rPr>
              <w:t>(1) Green's Operative Hand Surgery, 8th ed. | (2) Netter's Concise Orthopaedic Anatomy, 2nd ed.</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Mischaracterised anatomical boundary.</w:t>
            </w:r>
          </w:p>
          <w:p w:rsidR="00132811" w:rsidRDefault="00243C97">
            <w:pPr>
              <w:spacing w:after="20"/>
              <w:ind w:left="216"/>
            </w:pPr>
            <w:r>
              <w:rPr>
                <w:b/>
                <w:sz w:val="17"/>
              </w:rPr>
              <w:t xml:space="preserve">Correction: </w:t>
            </w:r>
            <w:r>
              <w:rPr>
                <w:sz w:val="17"/>
              </w:rPr>
              <w:t>The radial boundary is defined by the insertion of the thenar muscles and the fascia of the adductor pollicis.</w:t>
            </w:r>
          </w:p>
          <w:p w:rsidR="00132811" w:rsidRDefault="00243C97">
            <w:pPr>
              <w:spacing w:after="80"/>
              <w:ind w:left="216"/>
            </w:pPr>
            <w:r>
              <w:rPr>
                <w:b/>
                <w:color w:val="1F3864"/>
                <w:sz w:val="17"/>
              </w:rPr>
              <w:t xml:space="preserve">Refs: </w:t>
            </w:r>
            <w:r>
              <w:rPr>
                <w:i/>
                <w:sz w:val="16"/>
              </w:rPr>
              <w:t>(1) Green's Operative Hand Surgery, 8th ed. | (2) Gray's Anatomy, 42nd ed., Ch on the upper limb.</w:t>
            </w:r>
          </w:p>
          <w:p w:rsidR="00132811" w:rsidRDefault="00243C97">
            <w:pPr>
              <w:spacing w:before="40" w:after="20"/>
            </w:pPr>
            <w:r>
              <w:rPr>
                <w:b/>
                <w:color w:val="1F3864"/>
                <w:sz w:val="18"/>
              </w:rPr>
              <w:t xml:space="preserve">3. </w:t>
            </w:r>
            <w:r>
              <w:rPr>
                <w:i/>
                <w:color w:val="2E75B6"/>
                <w:sz w:val="17"/>
              </w:rPr>
              <w:t xml:space="preserve">[Type I] </w:t>
            </w:r>
          </w:p>
          <w:p w:rsidR="00132811" w:rsidRDefault="00243C97">
            <w:pPr>
              <w:spacing w:after="20"/>
              <w:ind w:left="216"/>
            </w:pPr>
            <w:r>
              <w:rPr>
                <w:b/>
                <w:sz w:val="17"/>
              </w:rPr>
              <w:t xml:space="preserve">Issue: </w:t>
            </w:r>
            <w:r>
              <w:rPr>
                <w:sz w:val="17"/>
              </w:rPr>
              <w:t>Anatomical error regarding septal orientation.</w:t>
            </w:r>
          </w:p>
          <w:p w:rsidR="00132811" w:rsidRDefault="00243C97">
            <w:pPr>
              <w:spacing w:after="20"/>
              <w:ind w:left="216"/>
            </w:pPr>
            <w:r>
              <w:rPr>
                <w:b/>
                <w:sz w:val="17"/>
              </w:rPr>
              <w:t xml:space="preserve">Correction: </w:t>
            </w:r>
            <w:r>
              <w:rPr>
                <w:sz w:val="17"/>
              </w:rPr>
              <w:t>The midvolar septum is ulnar and separates the thenar from the midpalmar space.</w:t>
            </w:r>
          </w:p>
          <w:p w:rsidR="00132811" w:rsidRDefault="00243C97">
            <w:pPr>
              <w:spacing w:after="80"/>
              <w:ind w:left="216"/>
            </w:pPr>
            <w:r>
              <w:rPr>
                <w:b/>
                <w:color w:val="1F3864"/>
                <w:sz w:val="17"/>
              </w:rPr>
              <w:t xml:space="preserve">Refs: </w:t>
            </w:r>
            <w:r>
              <w:rPr>
                <w:i/>
                <w:sz w:val="16"/>
              </w:rPr>
              <w:t>(1) Green's Operative Hand Surgery, 8th ed. | (2) Standring S, ed. Gray's Anatomy, 42nd ed.</w:t>
            </w:r>
          </w:p>
          <w:p w:rsidR="00132811" w:rsidRDefault="00243C97">
            <w:pPr>
              <w:spacing w:before="40" w:after="20"/>
            </w:pPr>
            <w:r>
              <w:rPr>
                <w:b/>
                <w:color w:val="1F3864"/>
                <w:sz w:val="18"/>
              </w:rPr>
              <w:t xml:space="preserve">4. </w:t>
            </w:r>
            <w:r>
              <w:rPr>
                <w:i/>
                <w:color w:val="2E75B6"/>
                <w:sz w:val="17"/>
              </w:rPr>
              <w:t xml:space="preserve">[Type IV] </w:t>
            </w:r>
          </w:p>
          <w:p w:rsidR="00132811" w:rsidRDefault="00243C97">
            <w:pPr>
              <w:spacing w:after="20"/>
              <w:ind w:left="216"/>
            </w:pPr>
            <w:r>
              <w:rPr>
                <w:b/>
                <w:sz w:val="17"/>
              </w:rPr>
              <w:t xml:space="preserve">Issue: </w:t>
            </w:r>
            <w:r>
              <w:rPr>
                <w:sz w:val="17"/>
              </w:rPr>
              <w:t>Terminological imprecision in anatomical nomenclature.</w:t>
            </w:r>
          </w:p>
          <w:p w:rsidR="00132811" w:rsidRDefault="00243C97">
            <w:pPr>
              <w:spacing w:after="20"/>
              <w:ind w:left="216"/>
            </w:pPr>
            <w:r>
              <w:rPr>
                <w:b/>
                <w:sz w:val="17"/>
              </w:rPr>
              <w:t xml:space="preserve">Correction: </w:t>
            </w:r>
            <w:r>
              <w:rPr>
                <w:sz w:val="17"/>
              </w:rPr>
              <w:t>Use the full anatomical term: adductor pollicis muscle (oblique head), which forms the dorsal boundary.</w:t>
            </w:r>
          </w:p>
          <w:p w:rsidR="00132811" w:rsidRDefault="00243C97">
            <w:pPr>
              <w:spacing w:after="80"/>
              <w:ind w:left="216"/>
            </w:pPr>
            <w:r>
              <w:rPr>
                <w:b/>
                <w:color w:val="1F3864"/>
                <w:sz w:val="17"/>
              </w:rPr>
              <w:t xml:space="preserve">Refs: </w:t>
            </w:r>
            <w:r>
              <w:rPr>
                <w:i/>
                <w:sz w:val="16"/>
              </w:rPr>
              <w:t>(1) Gray's Anatomy, 42nd ed. | (2) Terminologia Anatomica, 2nd ed., FIPAT.</w:t>
            </w:r>
          </w:p>
          <w:p w:rsidR="00132811" w:rsidRDefault="00243C97">
            <w:pPr>
              <w:spacing w:before="40" w:after="20"/>
            </w:pPr>
            <w:r>
              <w:rPr>
                <w:b/>
                <w:color w:val="1F3864"/>
                <w:sz w:val="18"/>
              </w:rPr>
              <w:lastRenderedPageBreak/>
              <w:t xml:space="preserve">5. </w:t>
            </w:r>
            <w:r>
              <w:rPr>
                <w:i/>
                <w:color w:val="2E75B6"/>
                <w:sz w:val="17"/>
              </w:rPr>
              <w:t xml:space="preserve">[Type I] </w:t>
            </w:r>
          </w:p>
          <w:p w:rsidR="00132811" w:rsidRDefault="00243C97">
            <w:pPr>
              <w:spacing w:after="20"/>
              <w:ind w:left="216"/>
            </w:pPr>
            <w:r>
              <w:rPr>
                <w:b/>
                <w:sz w:val="17"/>
              </w:rPr>
              <w:t xml:space="preserve">Issue: </w:t>
            </w:r>
            <w:r>
              <w:rPr>
                <w:sz w:val="17"/>
              </w:rPr>
              <w:t>Incomplete boundary description.</w:t>
            </w:r>
          </w:p>
          <w:p w:rsidR="00132811" w:rsidRDefault="00243C97">
            <w:pPr>
              <w:spacing w:after="20"/>
              <w:ind w:left="216"/>
            </w:pPr>
            <w:r>
              <w:rPr>
                <w:b/>
                <w:sz w:val="17"/>
              </w:rPr>
              <w:t xml:space="preserve">Correction: </w:t>
            </w:r>
            <w:r>
              <w:rPr>
                <w:sz w:val="17"/>
              </w:rPr>
              <w:t>The hypothenar fascia and superficial hypothenar muscles form the true volar boundary.</w:t>
            </w:r>
          </w:p>
          <w:p w:rsidR="00132811" w:rsidRDefault="00243C97">
            <w:pPr>
              <w:spacing w:after="80"/>
              <w:ind w:left="216"/>
            </w:pPr>
            <w:r>
              <w:rPr>
                <w:b/>
                <w:color w:val="1F3864"/>
                <w:sz w:val="17"/>
              </w:rPr>
              <w:t xml:space="preserve">Refs: </w:t>
            </w:r>
            <w:r>
              <w:rPr>
                <w:i/>
                <w:sz w:val="16"/>
              </w:rPr>
              <w:t>(1) Green's Operative Hand Surgery, 8th ed. | (2) Gray's Anatomy, 42nd ed.</w:t>
            </w:r>
          </w:p>
          <w:p w:rsidR="00132811" w:rsidRDefault="00243C97">
            <w:pPr>
              <w:spacing w:before="40" w:after="20"/>
            </w:pPr>
            <w:r>
              <w:rPr>
                <w:b/>
                <w:color w:val="1F3864"/>
                <w:sz w:val="18"/>
              </w:rPr>
              <w:t xml:space="preserve">6. </w:t>
            </w:r>
            <w:r>
              <w:rPr>
                <w:i/>
                <w:color w:val="2E75B6"/>
                <w:sz w:val="17"/>
              </w:rPr>
              <w:t xml:space="preserve">[Type I] </w:t>
            </w:r>
          </w:p>
          <w:p w:rsidR="00132811" w:rsidRDefault="00243C97">
            <w:pPr>
              <w:spacing w:after="20"/>
              <w:ind w:left="216"/>
            </w:pPr>
            <w:r>
              <w:rPr>
                <w:b/>
                <w:sz w:val="17"/>
              </w:rPr>
              <w:t xml:space="preserve">Issue: </w:t>
            </w:r>
            <w:r>
              <w:rPr>
                <w:sz w:val="17"/>
              </w:rPr>
              <w:t>Oversimplified boundary description omits relevant anatomical structures.</w:t>
            </w:r>
          </w:p>
          <w:p w:rsidR="00132811" w:rsidRDefault="00243C97">
            <w:pPr>
              <w:spacing w:after="20"/>
              <w:ind w:left="216"/>
            </w:pPr>
            <w:r>
              <w:rPr>
                <w:b/>
                <w:sz w:val="17"/>
              </w:rPr>
              <w:t xml:space="preserve">Correction: </w:t>
            </w:r>
            <w:r>
              <w:rPr>
                <w:sz w:val="17"/>
              </w:rPr>
              <w:t>Boundaries involve the extensor mechanism, MCP joint capsule, and lateral fibrous septa.</w:t>
            </w:r>
          </w:p>
          <w:p w:rsidR="00132811" w:rsidRDefault="00243C97">
            <w:pPr>
              <w:spacing w:after="80"/>
              <w:ind w:left="216"/>
            </w:pPr>
            <w:r>
              <w:rPr>
                <w:b/>
                <w:color w:val="1F3864"/>
                <w:sz w:val="17"/>
              </w:rPr>
              <w:t xml:space="preserve">Refs: </w:t>
            </w:r>
            <w:r>
              <w:rPr>
                <w:i/>
                <w:sz w:val="16"/>
              </w:rPr>
              <w:t>(1) Standard hand-surgery atlases (e.g., Strickland's The Hand: Master Techniques). | (2) Green's Operative Hand Surgery, 8th ed.</w:t>
            </w:r>
          </w:p>
          <w:p w:rsidR="00132811" w:rsidRDefault="00243C97">
            <w:pPr>
              <w:spacing w:before="40" w:after="20"/>
            </w:pPr>
            <w:r>
              <w:rPr>
                <w:b/>
                <w:color w:val="1F3864"/>
                <w:sz w:val="18"/>
              </w:rPr>
              <w:t xml:space="preserve">7. </w:t>
            </w:r>
            <w:r>
              <w:rPr>
                <w:i/>
                <w:color w:val="2E75B6"/>
                <w:sz w:val="17"/>
              </w:rPr>
              <w:t xml:space="preserve">[Type I] </w:t>
            </w:r>
          </w:p>
          <w:p w:rsidR="00132811" w:rsidRDefault="00243C97">
            <w:pPr>
              <w:spacing w:after="20"/>
              <w:ind w:left="216"/>
            </w:pPr>
            <w:r>
              <w:rPr>
                <w:b/>
                <w:sz w:val="17"/>
              </w:rPr>
              <w:t xml:space="preserve">Issue: </w:t>
            </w:r>
            <w:r>
              <w:rPr>
                <w:sz w:val="17"/>
              </w:rPr>
              <w:t>Anatomical inversion — high patient-safety relevance for deep-forearm infection drainage.</w:t>
            </w:r>
          </w:p>
          <w:p w:rsidR="00132811" w:rsidRDefault="00243C97">
            <w:pPr>
              <w:spacing w:after="20"/>
              <w:ind w:left="216"/>
            </w:pPr>
            <w:r>
              <w:rPr>
                <w:b/>
                <w:sz w:val="17"/>
              </w:rPr>
              <w:t xml:space="preserve">Correction: </w:t>
            </w:r>
            <w:r>
              <w:rPr>
                <w:sz w:val="17"/>
              </w:rPr>
              <w:t>Digital flexor tendons are superficial (volar); pronator quadratus forms the deep (dorsal) boundary.</w:t>
            </w:r>
          </w:p>
          <w:p w:rsidR="00132811" w:rsidRDefault="00243C97">
            <w:pPr>
              <w:spacing w:after="80"/>
              <w:ind w:left="216"/>
            </w:pPr>
            <w:r>
              <w:rPr>
                <w:b/>
                <w:color w:val="1F3864"/>
                <w:sz w:val="17"/>
              </w:rPr>
              <w:t xml:space="preserve">Refs: </w:t>
            </w:r>
            <w:r>
              <w:rPr>
                <w:i/>
                <w:sz w:val="16"/>
              </w:rPr>
              <w:t>(1) Gray's Anatomy, 42nd ed. | (2) Green's Operative Hand Surgery, 8th ed.</w:t>
            </w:r>
          </w:p>
          <w:p w:rsidR="00132811" w:rsidRDefault="00243C97">
            <w:pPr>
              <w:spacing w:before="40" w:after="20"/>
            </w:pPr>
            <w:r>
              <w:rPr>
                <w:b/>
                <w:color w:val="1F3864"/>
                <w:sz w:val="18"/>
              </w:rPr>
              <w:t xml:space="preserve">8. </w:t>
            </w:r>
            <w:r>
              <w:rPr>
                <w:i/>
                <w:color w:val="2E75B6"/>
                <w:sz w:val="17"/>
              </w:rPr>
              <w:t xml:space="preserve">[Type II] </w:t>
            </w:r>
          </w:p>
          <w:p w:rsidR="00132811" w:rsidRDefault="00243C97">
            <w:pPr>
              <w:spacing w:after="20"/>
              <w:ind w:left="216"/>
            </w:pPr>
            <w:r>
              <w:rPr>
                <w:b/>
                <w:sz w:val="17"/>
              </w:rPr>
              <w:t xml:space="preserve">Issue: </w:t>
            </w:r>
            <w:r>
              <w:rPr>
                <w:sz w:val="17"/>
              </w:rPr>
              <w:t>Omission of clinical-relevance framing.</w:t>
            </w:r>
          </w:p>
          <w:p w:rsidR="00132811" w:rsidRDefault="00243C97">
            <w:pPr>
              <w:spacing w:after="20"/>
              <w:ind w:left="216"/>
            </w:pPr>
            <w:r>
              <w:rPr>
                <w:b/>
                <w:sz w:val="17"/>
              </w:rPr>
              <w:t xml:space="preserve">Correction: </w:t>
            </w:r>
            <w:r>
              <w:rPr>
                <w:sz w:val="17"/>
              </w:rPr>
              <w:t>Add: orientation is crucial for understanding spread of deep-space infections from hand to forearm.</w:t>
            </w:r>
          </w:p>
          <w:p w:rsidR="00132811" w:rsidRDefault="00243C97">
            <w:pPr>
              <w:spacing w:after="80"/>
              <w:ind w:left="216"/>
            </w:pPr>
            <w:r>
              <w:rPr>
                <w:b/>
                <w:color w:val="1F3864"/>
                <w:sz w:val="17"/>
              </w:rPr>
              <w:t xml:space="preserve">Refs: </w:t>
            </w:r>
            <w:r>
              <w:rPr>
                <w:i/>
                <w:sz w:val="16"/>
              </w:rPr>
              <w:t>(1) Green's Operative Hand Surgery, 8th ed. | (2) Kanavel's Infections of the Hand (classic reference, principles remain authoritative).</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1F6E1F"/>
                <w:sz w:val="19"/>
              </w:rPr>
              <w:lastRenderedPageBreak/>
              <w:t>Incorporated</w:t>
            </w:r>
          </w:p>
          <w:p w:rsidR="00132811" w:rsidRDefault="00243C97">
            <w:pPr>
              <w:spacing w:after="40"/>
            </w:pPr>
            <w:r>
              <w:rPr>
                <w:color w:val="333333"/>
                <w:sz w:val="17"/>
              </w:rPr>
              <w:t>Incorporated — All eight corrections implemented in the current e-book and online versions by the co-authoring team (confirmed by Karen, co-author)</w:t>
            </w:r>
          </w:p>
        </w:tc>
      </w:tr>
    </w:tbl>
    <w:p w:rsidR="00132811" w:rsidRDefault="00132811"/>
    <w:p w:rsidR="00132811" w:rsidRDefault="00243C97">
      <w:pPr>
        <w:spacing w:before="240" w:after="80"/>
      </w:pPr>
      <w:r>
        <w:rPr>
          <w:b/>
          <w:color w:val="2E75B6"/>
          <w:sz w:val="24"/>
        </w:rPr>
        <w:t>6.3  Macleod's Clinical Examination (15th ed.)</w:t>
      </w:r>
    </w:p>
    <w:p w:rsidR="00132811" w:rsidRDefault="00243C97">
      <w:pPr>
        <w:spacing w:after="40"/>
      </w:pPr>
      <w:r>
        <w:rPr>
          <w:b/>
          <w:sz w:val="20"/>
        </w:rPr>
        <w:t xml:space="preserve">Specialty: </w:t>
      </w:r>
      <w:r>
        <w:rPr>
          <w:sz w:val="20"/>
        </w:rPr>
        <w:t>Clinical Examination / Cardiology</w:t>
      </w:r>
    </w:p>
    <w:p w:rsidR="00132811" w:rsidRDefault="00243C97">
      <w:pPr>
        <w:spacing w:after="40"/>
      </w:pPr>
      <w:r>
        <w:rPr>
          <w:b/>
          <w:sz w:val="20"/>
        </w:rPr>
        <w:t xml:space="preserve">Total sub-contributions: </w:t>
      </w:r>
      <w:r>
        <w:rPr>
          <w:b/>
          <w:color w:val="1F3864"/>
          <w:sz w:val="20"/>
        </w:rPr>
        <w:t xml:space="preserve">3  </w:t>
      </w:r>
      <w:r>
        <w:rPr>
          <w:color w:val="606060"/>
          <w:sz w:val="19"/>
        </w:rPr>
        <w:t>(Type I: 0 · Type II: 1 · Type III: 0 · Type IV: 1 · Type V: 1)</w:t>
      </w:r>
    </w:p>
    <w:tbl>
      <w:tblPr>
        <w:tblW w:w="0" w:type="auto"/>
        <w:jc w:val="center"/>
        <w:tblLayout w:type="fixed"/>
        <w:tblLook w:val="04A0" w:firstRow="1" w:lastRow="0" w:firstColumn="1" w:lastColumn="0" w:noHBand="0" w:noVBand="1"/>
      </w:tblPr>
      <w:tblGrid>
        <w:gridCol w:w="461"/>
        <w:gridCol w:w="2232"/>
        <w:gridCol w:w="6336"/>
        <w:gridCol w:w="2779"/>
      </w:tblGrid>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w:t>
            </w:r>
          </w:p>
        </w:tc>
        <w:tc>
          <w:tcPr>
            <w:tcW w:w="2232"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Email submission topic</w:t>
            </w:r>
          </w:p>
        </w:tc>
        <w:tc>
          <w:tcPr>
            <w:tcW w:w="6336"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Sub-contributions (with two supporting references each)</w:t>
            </w:r>
          </w:p>
        </w:tc>
        <w:tc>
          <w:tcPr>
            <w:tcW w:w="2779"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Editorial response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1</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Cardiac auscultation — Ejection systolic murmurs (Box 4.19)</w:t>
            </w:r>
          </w:p>
          <w:p w:rsidR="00132811" w:rsidRDefault="00243C97">
            <w:pPr>
              <w:spacing w:after="40"/>
            </w:pPr>
            <w:r>
              <w:rPr>
                <w:b/>
                <w:color w:val="2E75B6"/>
                <w:sz w:val="18"/>
              </w:rPr>
              <w:t>3 sub-contributions</w:t>
            </w:r>
          </w:p>
          <w:p w:rsidR="00132811" w:rsidRDefault="00243C97">
            <w:pPr>
              <w:spacing w:after="40"/>
            </w:pPr>
            <w:r>
              <w:rPr>
                <w:color w:val="606060"/>
                <w:sz w:val="17"/>
              </w:rPr>
              <w:t>Type II: 1 · Type IV: 1 · Type V: 1</w:t>
            </w:r>
          </w:p>
          <w:p w:rsidR="00132811" w:rsidRDefault="00243C97">
            <w:pPr>
              <w:spacing w:after="0"/>
            </w:pPr>
            <w:r>
              <w:rPr>
                <w:b/>
                <w:sz w:val="17"/>
              </w:rPr>
              <w:t xml:space="preserve">Source: </w:t>
            </w:r>
            <w:r>
              <w:rPr>
                <w:i/>
                <w:sz w:val="17"/>
              </w:rPr>
              <w:t>Box 4.19, p. 64 — Ejection systolic murmurs</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V] </w:t>
            </w:r>
          </w:p>
          <w:p w:rsidR="00132811" w:rsidRDefault="00243C97">
            <w:pPr>
              <w:spacing w:after="20"/>
              <w:ind w:left="216"/>
            </w:pPr>
            <w:r>
              <w:rPr>
                <w:b/>
                <w:sz w:val="17"/>
              </w:rPr>
              <w:t xml:space="preserve">Issue: </w:t>
            </w:r>
            <w:r>
              <w:rPr>
                <w:sz w:val="17"/>
              </w:rPr>
              <w:t>Misclassification: AR is fundamentally a diastolic murmur.</w:t>
            </w:r>
          </w:p>
          <w:p w:rsidR="00132811" w:rsidRDefault="00243C97">
            <w:pPr>
              <w:spacing w:after="20"/>
              <w:ind w:left="216"/>
            </w:pPr>
            <w:r>
              <w:rPr>
                <w:b/>
                <w:sz w:val="17"/>
              </w:rPr>
              <w:t xml:space="preserve">Correction: </w:t>
            </w:r>
            <w:r>
              <w:rPr>
                <w:sz w:val="17"/>
              </w:rPr>
              <w:t>AR is a diastolic murmur (high-pitched, early diastolic, decrescendo). Any associated systolic murmur is a non-pathognomonic functional flow murmur, not characteristic of the lesion.</w:t>
            </w:r>
          </w:p>
          <w:p w:rsidR="00132811" w:rsidRDefault="00243C97">
            <w:pPr>
              <w:spacing w:after="80"/>
              <w:ind w:left="216"/>
            </w:pPr>
            <w:r>
              <w:rPr>
                <w:b/>
                <w:color w:val="1F3864"/>
                <w:sz w:val="17"/>
              </w:rPr>
              <w:t xml:space="preserve">Refs: </w:t>
            </w:r>
            <w:r>
              <w:rPr>
                <w:i/>
                <w:sz w:val="16"/>
              </w:rPr>
              <w:t>(1) Lilly LS. Pathophysiology of Heart Disease, 6th ed. | (2) Braunwald's Heart Disease, 12th ed. | (3) Kumar &amp; Clark's Clinical Medicine, 10th ed.</w:t>
            </w:r>
          </w:p>
          <w:p w:rsidR="00132811" w:rsidRDefault="00243C97">
            <w:pPr>
              <w:spacing w:before="40" w:after="20"/>
            </w:pPr>
            <w:r>
              <w:rPr>
                <w:b/>
                <w:color w:val="1F3864"/>
                <w:sz w:val="18"/>
              </w:rPr>
              <w:t xml:space="preserve">2. </w:t>
            </w:r>
            <w:r>
              <w:rPr>
                <w:i/>
                <w:color w:val="2E75B6"/>
                <w:sz w:val="17"/>
              </w:rPr>
              <w:t xml:space="preserve">[Type IV] </w:t>
            </w:r>
          </w:p>
          <w:p w:rsidR="00132811" w:rsidRDefault="00243C97">
            <w:pPr>
              <w:spacing w:after="20"/>
              <w:ind w:left="216"/>
            </w:pPr>
            <w:r>
              <w:rPr>
                <w:b/>
                <w:sz w:val="17"/>
              </w:rPr>
              <w:t xml:space="preserve">Issue: </w:t>
            </w:r>
            <w:r>
              <w:rPr>
                <w:sz w:val="17"/>
              </w:rPr>
              <w:t>Misclassification: PR is a diastolic murmur.</w:t>
            </w:r>
          </w:p>
          <w:p w:rsidR="00132811" w:rsidRDefault="00243C97">
            <w:pPr>
              <w:spacing w:after="20"/>
              <w:ind w:left="216"/>
            </w:pPr>
            <w:r>
              <w:rPr>
                <w:b/>
                <w:sz w:val="17"/>
              </w:rPr>
              <w:t xml:space="preserve">Correction: </w:t>
            </w:r>
            <w:r>
              <w:rPr>
                <w:sz w:val="17"/>
              </w:rPr>
              <w:t>PR (especially the Graham Steell murmur in pulmonary hypertension) is diastolic, not ejection systolic.</w:t>
            </w:r>
          </w:p>
          <w:p w:rsidR="00132811" w:rsidRDefault="00243C97">
            <w:pPr>
              <w:spacing w:after="80"/>
              <w:ind w:left="216"/>
            </w:pPr>
            <w:r>
              <w:rPr>
                <w:b/>
                <w:color w:val="1F3864"/>
                <w:sz w:val="17"/>
              </w:rPr>
              <w:t xml:space="preserve">Refs: </w:t>
            </w:r>
            <w:r>
              <w:rPr>
                <w:i/>
                <w:sz w:val="16"/>
              </w:rPr>
              <w:t>(1) Braunwald's Heart Disease, 12th ed. | (2) Lilly LS. Pathophysiology of Heart Disease, 6th ed.</w:t>
            </w:r>
          </w:p>
          <w:p w:rsidR="00132811" w:rsidRDefault="00243C97">
            <w:pPr>
              <w:spacing w:before="40" w:after="20"/>
            </w:pPr>
            <w:r>
              <w:rPr>
                <w:b/>
                <w:color w:val="1F3864"/>
                <w:sz w:val="18"/>
              </w:rPr>
              <w:t xml:space="preserve">3. </w:t>
            </w:r>
            <w:r>
              <w:rPr>
                <w:i/>
                <w:color w:val="2E75B6"/>
                <w:sz w:val="17"/>
              </w:rPr>
              <w:t xml:space="preserve">[Type II] </w:t>
            </w:r>
          </w:p>
          <w:p w:rsidR="00132811" w:rsidRDefault="00243C97">
            <w:pPr>
              <w:spacing w:after="20"/>
              <w:ind w:left="216"/>
            </w:pPr>
            <w:r>
              <w:rPr>
                <w:b/>
                <w:sz w:val="17"/>
              </w:rPr>
              <w:t xml:space="preserve">Issue: </w:t>
            </w:r>
            <w:r>
              <w:rPr>
                <w:sz w:val="17"/>
              </w:rPr>
              <w:t>Omission of clarifying statement to avoid student misclassification.</w:t>
            </w:r>
          </w:p>
          <w:p w:rsidR="00132811" w:rsidRDefault="00243C97">
            <w:pPr>
              <w:spacing w:after="20"/>
              <w:ind w:left="216"/>
            </w:pPr>
            <w:r>
              <w:rPr>
                <w:b/>
                <w:sz w:val="17"/>
              </w:rPr>
              <w:t xml:space="preserve">Correction: </w:t>
            </w:r>
            <w:r>
              <w:rPr>
                <w:sz w:val="17"/>
              </w:rPr>
              <w:t>Add: any associated systolic murmur in AR/PR is a non-pathognomonic functional flow murmur, not characteristic of the lesion itself.</w:t>
            </w:r>
          </w:p>
          <w:p w:rsidR="00132811" w:rsidRDefault="00243C97">
            <w:pPr>
              <w:spacing w:after="80"/>
              <w:ind w:left="216"/>
            </w:pPr>
            <w:r>
              <w:rPr>
                <w:b/>
                <w:color w:val="1F3864"/>
                <w:sz w:val="17"/>
              </w:rPr>
              <w:lastRenderedPageBreak/>
              <w:t xml:space="preserve">Refs: </w:t>
            </w:r>
            <w:r>
              <w:rPr>
                <w:i/>
                <w:sz w:val="16"/>
              </w:rPr>
              <w:t>(1) Kumar &amp; Clark's Clinical Medicine, 10th ed. | (2) Lilly LS. Pathophysiology of Heart Disease, 6th ed.</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1F6E1F"/>
                <w:sz w:val="19"/>
              </w:rPr>
              <w:lastRenderedPageBreak/>
              <w:t>Accepted</w:t>
            </w:r>
          </w:p>
          <w:p w:rsidR="00132811" w:rsidRDefault="00243C97">
            <w:pPr>
              <w:spacing w:after="40"/>
            </w:pPr>
            <w:r>
              <w:rPr>
                <w:color w:val="333333"/>
                <w:sz w:val="17"/>
              </w:rPr>
              <w:t>Accepted — Confirmed by the editorial team for incorporation into the 16th edition</w:t>
            </w:r>
          </w:p>
        </w:tc>
      </w:tr>
    </w:tbl>
    <w:p w:rsidR="00132811" w:rsidRDefault="00132811"/>
    <w:p w:rsidR="00132811" w:rsidRDefault="00243C97">
      <w:pPr>
        <w:spacing w:before="240" w:after="80"/>
      </w:pPr>
      <w:r>
        <w:rPr>
          <w:b/>
          <w:color w:val="2E75B6"/>
          <w:sz w:val="24"/>
        </w:rPr>
        <w:t>6.4  Davidson's Principles and Practice of Medicine (24th ed.)</w:t>
      </w:r>
    </w:p>
    <w:p w:rsidR="00132811" w:rsidRDefault="00243C97">
      <w:pPr>
        <w:spacing w:after="40"/>
      </w:pPr>
      <w:r>
        <w:rPr>
          <w:b/>
          <w:sz w:val="20"/>
        </w:rPr>
        <w:t xml:space="preserve">Specialty: </w:t>
      </w:r>
      <w:r>
        <w:rPr>
          <w:sz w:val="20"/>
        </w:rPr>
        <w:t>Internal Medicine (cross-subspecialty)</w:t>
      </w:r>
    </w:p>
    <w:p w:rsidR="00132811" w:rsidRDefault="00243C97">
      <w:pPr>
        <w:spacing w:after="40"/>
      </w:pPr>
      <w:r>
        <w:rPr>
          <w:b/>
          <w:sz w:val="20"/>
        </w:rPr>
        <w:t xml:space="preserve">Total sub-contributions: </w:t>
      </w:r>
      <w:r>
        <w:rPr>
          <w:b/>
          <w:color w:val="1F3864"/>
          <w:sz w:val="20"/>
        </w:rPr>
        <w:t xml:space="preserve">65  </w:t>
      </w:r>
      <w:r>
        <w:rPr>
          <w:color w:val="606060"/>
          <w:sz w:val="19"/>
        </w:rPr>
        <w:t>(Type I: 28 · Type II: 14 · Type III: 12 · Type IV: 7 · Type V: 4)</w:t>
      </w:r>
    </w:p>
    <w:tbl>
      <w:tblPr>
        <w:tblW w:w="0" w:type="auto"/>
        <w:jc w:val="center"/>
        <w:tblLayout w:type="fixed"/>
        <w:tblLook w:val="04A0" w:firstRow="1" w:lastRow="0" w:firstColumn="1" w:lastColumn="0" w:noHBand="0" w:noVBand="1"/>
      </w:tblPr>
      <w:tblGrid>
        <w:gridCol w:w="461"/>
        <w:gridCol w:w="2232"/>
        <w:gridCol w:w="6336"/>
        <w:gridCol w:w="2779"/>
      </w:tblGrid>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w:t>
            </w:r>
          </w:p>
        </w:tc>
        <w:tc>
          <w:tcPr>
            <w:tcW w:w="2232"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Email submission topic</w:t>
            </w:r>
          </w:p>
        </w:tc>
        <w:tc>
          <w:tcPr>
            <w:tcW w:w="6336"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Sub-contributions (with two supporting references each)</w:t>
            </w:r>
          </w:p>
        </w:tc>
        <w:tc>
          <w:tcPr>
            <w:tcW w:w="2779"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Editorial response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1</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Table 28.74 — False localising signs in intracranial pathology</w:t>
            </w:r>
          </w:p>
          <w:p w:rsidR="00132811" w:rsidRDefault="00243C97">
            <w:pPr>
              <w:spacing w:after="40"/>
            </w:pPr>
            <w:r>
              <w:rPr>
                <w:b/>
                <w:color w:val="2E75B6"/>
                <w:sz w:val="18"/>
              </w:rPr>
              <w:t>2 sub-contributions</w:t>
            </w:r>
          </w:p>
          <w:p w:rsidR="00132811" w:rsidRDefault="00243C97">
            <w:pPr>
              <w:spacing w:after="40"/>
            </w:pPr>
            <w:r>
              <w:rPr>
                <w:color w:val="606060"/>
                <w:sz w:val="17"/>
              </w:rPr>
              <w:t>Type III: 2</w:t>
            </w:r>
          </w:p>
          <w:p w:rsidR="00132811" w:rsidRDefault="00243C97">
            <w:pPr>
              <w:spacing w:after="0"/>
            </w:pPr>
            <w:r>
              <w:rPr>
                <w:b/>
                <w:sz w:val="17"/>
              </w:rPr>
              <w:t xml:space="preserve">Source: </w:t>
            </w:r>
            <w:r>
              <w:rPr>
                <w:i/>
                <w:sz w:val="17"/>
              </w:rPr>
              <w:t>Table 28.74, p. 1182 — False localising signs in intracranial mass lesions</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III] </w:t>
            </w:r>
          </w:p>
          <w:p w:rsidR="00132811" w:rsidRDefault="00243C97">
            <w:pPr>
              <w:spacing w:after="20"/>
              <w:ind w:left="216"/>
            </w:pPr>
            <w:r>
              <w:rPr>
                <w:b/>
                <w:sz w:val="17"/>
              </w:rPr>
              <w:t xml:space="preserve">Issue: </w:t>
            </w:r>
            <w:r>
              <w:rPr>
                <w:sz w:val="17"/>
              </w:rPr>
              <w:t>Standard teaching is that ipsilateral III palsy is the classical sign of uncal herniation; contralateral III is an exceedingly rare paradoxical finding.</w:t>
            </w:r>
          </w:p>
          <w:p w:rsidR="00132811" w:rsidRDefault="00243C97">
            <w:pPr>
              <w:spacing w:after="20"/>
              <w:ind w:left="216"/>
            </w:pPr>
            <w:r>
              <w:rPr>
                <w:b/>
                <w:sz w:val="17"/>
              </w:rPr>
              <w:t xml:space="preserve">Correction: </w:t>
            </w:r>
            <w:r>
              <w:rPr>
                <w:sz w:val="17"/>
              </w:rPr>
              <w:t>Ipsilateral III palsy is the classical localising sign; contralateral III palsy is a rare paradoxical false-localising finding and should be presented as such, not as the standard description.</w:t>
            </w:r>
          </w:p>
          <w:p w:rsidR="00132811" w:rsidRDefault="00243C97">
            <w:pPr>
              <w:spacing w:after="80"/>
              <w:ind w:left="216"/>
            </w:pPr>
            <w:r>
              <w:rPr>
                <w:b/>
                <w:color w:val="1F3864"/>
                <w:sz w:val="17"/>
              </w:rPr>
              <w:t xml:space="preserve">Refs: </w:t>
            </w:r>
            <w:r>
              <w:rPr>
                <w:i/>
                <w:sz w:val="16"/>
              </w:rPr>
              <w:t>(1) StatPearls — Uncal Herniation (2024 update). | (2) Chaudhry NS et al. Contralateral oculomotor nerve palsy in uncal herniation. World Neurosurgery. 2018;115:74–77. | (3) Chen R, et al. Brain 1994 — false-localising signs in raised ICP.</w:t>
            </w:r>
          </w:p>
          <w:p w:rsidR="00132811" w:rsidRDefault="00243C97">
            <w:pPr>
              <w:spacing w:before="40" w:after="20"/>
            </w:pPr>
            <w:r>
              <w:rPr>
                <w:b/>
                <w:color w:val="1F3864"/>
                <w:sz w:val="18"/>
              </w:rPr>
              <w:t xml:space="preserve">2. </w:t>
            </w:r>
            <w:r>
              <w:rPr>
                <w:i/>
                <w:color w:val="2E75B6"/>
                <w:sz w:val="17"/>
              </w:rPr>
              <w:t xml:space="preserve">[Type III] </w:t>
            </w:r>
          </w:p>
          <w:p w:rsidR="00132811" w:rsidRDefault="00243C97">
            <w:pPr>
              <w:spacing w:after="20"/>
              <w:ind w:left="216"/>
            </w:pPr>
            <w:r>
              <w:rPr>
                <w:b/>
                <w:sz w:val="17"/>
              </w:rPr>
              <w:t xml:space="preserve">Issue: </w:t>
            </w:r>
            <w:r>
              <w:rPr>
                <w:sz w:val="17"/>
              </w:rPr>
              <w:t>Omission of explanatory mechanism (midline shift, distant aneurysm).</w:t>
            </w:r>
          </w:p>
          <w:p w:rsidR="00132811" w:rsidRDefault="00243C97">
            <w:pPr>
              <w:spacing w:after="20"/>
              <w:ind w:left="216"/>
            </w:pPr>
            <w:r>
              <w:rPr>
                <w:b/>
                <w:sz w:val="17"/>
              </w:rPr>
              <w:t xml:space="preserve">Correction: </w:t>
            </w:r>
            <w:r>
              <w:rPr>
                <w:sz w:val="17"/>
              </w:rPr>
              <w:t>Add brief discussion of mechanism adjacent to the table entry.</w:t>
            </w:r>
          </w:p>
          <w:p w:rsidR="00132811" w:rsidRDefault="00243C97">
            <w:pPr>
              <w:spacing w:after="80"/>
              <w:ind w:left="216"/>
            </w:pPr>
            <w:r>
              <w:rPr>
                <w:b/>
                <w:color w:val="1F3864"/>
                <w:sz w:val="17"/>
              </w:rPr>
              <w:t xml:space="preserve">Refs: </w:t>
            </w:r>
            <w:r>
              <w:rPr>
                <w:i/>
                <w:sz w:val="16"/>
              </w:rPr>
              <w:t>(1) Chaudhry NS et al. World Neurosurgery. 2018;115:74–77. | (2) Adams and Victor's Principles of Neurology, 12th ed.</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C47C00"/>
                <w:sz w:val="19"/>
              </w:rPr>
              <w:t>Under discussion</w:t>
            </w:r>
          </w:p>
          <w:p w:rsidR="00132811" w:rsidRDefault="00243C97">
            <w:pPr>
              <w:spacing w:after="40"/>
            </w:pPr>
            <w:r>
              <w:rPr>
                <w:color w:val="333333"/>
                <w:sz w:val="17"/>
              </w:rPr>
              <w:t>Rejected — scientific discussion in progress regarding the rejection; the proposed correction is fully defensible per the cited canonical neurology references and follow-up correspondence has been initiated</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t>2</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Table 28.33 — Indications for brain imaging in epilepsy</w:t>
            </w:r>
          </w:p>
          <w:p w:rsidR="00132811" w:rsidRDefault="00243C97">
            <w:pPr>
              <w:spacing w:after="40"/>
            </w:pPr>
            <w:r>
              <w:rPr>
                <w:b/>
                <w:color w:val="2E75B6"/>
                <w:sz w:val="18"/>
              </w:rPr>
              <w:t>21 sub-contributions</w:t>
            </w:r>
          </w:p>
          <w:p w:rsidR="00132811" w:rsidRDefault="00243C97">
            <w:pPr>
              <w:spacing w:after="40"/>
            </w:pPr>
            <w:r>
              <w:rPr>
                <w:color w:val="606060"/>
                <w:sz w:val="17"/>
              </w:rPr>
              <w:t>Type II: 2 · Type III: 9 · Type IV: 6 · Type V: 4</w:t>
            </w:r>
          </w:p>
          <w:p w:rsidR="00132811" w:rsidRDefault="00243C97">
            <w:pPr>
              <w:spacing w:after="0"/>
            </w:pPr>
            <w:r>
              <w:rPr>
                <w:b/>
                <w:sz w:val="17"/>
              </w:rPr>
              <w:t xml:space="preserve">Source: </w:t>
            </w:r>
            <w:r>
              <w:rPr>
                <w:i/>
                <w:sz w:val="17"/>
              </w:rPr>
              <w:t>Table 28.33, p. 1156 — Indications for brain imaging in epilepsy</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III] </w:t>
            </w:r>
          </w:p>
          <w:p w:rsidR="00132811" w:rsidRDefault="00243C97">
            <w:pPr>
              <w:spacing w:after="20"/>
              <w:ind w:left="216"/>
            </w:pPr>
            <w:r>
              <w:rPr>
                <w:b/>
                <w:sz w:val="17"/>
              </w:rPr>
              <w:t xml:space="preserve">Issue: </w:t>
            </w:r>
            <w:r>
              <w:rPr>
                <w:sz w:val="17"/>
              </w:rPr>
              <w:t>Omission of consensus indication for neuroimaging.</w:t>
            </w:r>
          </w:p>
          <w:p w:rsidR="00132811" w:rsidRDefault="00243C97">
            <w:pPr>
              <w:spacing w:after="20"/>
              <w:ind w:left="216"/>
            </w:pPr>
            <w:r>
              <w:rPr>
                <w:b/>
                <w:sz w:val="17"/>
              </w:rPr>
              <w:t xml:space="preserve">Correction: </w:t>
            </w:r>
            <w:r>
              <w:rPr>
                <w:sz w:val="17"/>
              </w:rPr>
              <w:t>Add: First unprovoked seizure — often reflects an underlying structural lesion that changes prognosis and management.</w:t>
            </w:r>
          </w:p>
          <w:p w:rsidR="00132811" w:rsidRDefault="00243C97">
            <w:pPr>
              <w:spacing w:after="80"/>
              <w:ind w:left="216"/>
            </w:pPr>
            <w:r>
              <w:rPr>
                <w:b/>
                <w:color w:val="1F3864"/>
                <w:sz w:val="17"/>
              </w:rPr>
              <w:t xml:space="preserve">Refs: </w:t>
            </w:r>
            <w:r>
              <w:rPr>
                <w:i/>
                <w:sz w:val="16"/>
              </w:rPr>
              <w:t>(1) NICE Guideline NG217 — Epilepsies in children, young people and adults (2022). | (2) Bernasconi A et al. ILAE recommendations for the use of structural MRI in epilepsy. Epilepsia. 2019;60(6):1054–1068. | (3) Krumholz A et al. Evidence-based guideline: management of an unprovoked first seizure. Neurology. 2015;84:1705–1713.</w:t>
            </w:r>
          </w:p>
          <w:p w:rsidR="00132811" w:rsidRDefault="00243C97">
            <w:pPr>
              <w:spacing w:before="40" w:after="20"/>
            </w:pPr>
            <w:r>
              <w:rPr>
                <w:b/>
                <w:color w:val="1F3864"/>
                <w:sz w:val="18"/>
              </w:rPr>
              <w:t xml:space="preserve">2. </w:t>
            </w:r>
            <w:r>
              <w:rPr>
                <w:i/>
                <w:color w:val="2E75B6"/>
                <w:sz w:val="17"/>
              </w:rPr>
              <w:t xml:space="preserve">[Type III] </w:t>
            </w:r>
          </w:p>
          <w:p w:rsidR="00132811" w:rsidRDefault="00243C97">
            <w:pPr>
              <w:spacing w:after="20"/>
              <w:ind w:left="216"/>
            </w:pPr>
            <w:r>
              <w:rPr>
                <w:b/>
                <w:sz w:val="17"/>
              </w:rPr>
              <w:t xml:space="preserve">Issue: </w:t>
            </w:r>
            <w:r>
              <w:rPr>
                <w:sz w:val="17"/>
              </w:rPr>
              <w:t>Omission of pedagogical rationale.</w:t>
            </w:r>
          </w:p>
          <w:p w:rsidR="00132811" w:rsidRDefault="00243C97">
            <w:pPr>
              <w:spacing w:after="20"/>
              <w:ind w:left="216"/>
            </w:pPr>
            <w:r>
              <w:rPr>
                <w:b/>
                <w:sz w:val="17"/>
              </w:rPr>
              <w:t xml:space="preserve">Correction: </w:t>
            </w:r>
            <w:r>
              <w:rPr>
                <w:sz w:val="17"/>
              </w:rPr>
              <w:t>Add: structural lesion identification changes prognosis and treatment strategy.</w:t>
            </w:r>
          </w:p>
          <w:p w:rsidR="00132811" w:rsidRDefault="00243C97">
            <w:pPr>
              <w:spacing w:after="80"/>
              <w:ind w:left="216"/>
            </w:pPr>
            <w:r>
              <w:rPr>
                <w:b/>
                <w:color w:val="1F3864"/>
                <w:sz w:val="17"/>
              </w:rPr>
              <w:t xml:space="preserve">Refs: </w:t>
            </w:r>
            <w:r>
              <w:rPr>
                <w:i/>
                <w:sz w:val="16"/>
              </w:rPr>
              <w:t>(1) Bernasconi A et al. ILAE recommendations for the use of structural MRI in epilepsy. Epilepsia. 2019;60(6):1054–1068. | (2) AAN Practice Parameter: Evaluating a first nonfebrile seizure in adults. Neurology. 2007.</w:t>
            </w:r>
          </w:p>
          <w:p w:rsidR="00132811" w:rsidRDefault="00243C97">
            <w:pPr>
              <w:spacing w:before="40" w:after="20"/>
            </w:pPr>
            <w:r>
              <w:rPr>
                <w:b/>
                <w:color w:val="1F3864"/>
                <w:sz w:val="18"/>
              </w:rPr>
              <w:t xml:space="preserve">3. </w:t>
            </w:r>
            <w:r>
              <w:rPr>
                <w:i/>
                <w:color w:val="2E75B6"/>
                <w:sz w:val="17"/>
              </w:rPr>
              <w:t xml:space="preserve">[Type III] </w:t>
            </w:r>
          </w:p>
          <w:p w:rsidR="00132811" w:rsidRDefault="00243C97">
            <w:pPr>
              <w:spacing w:after="20"/>
              <w:ind w:left="216"/>
            </w:pPr>
            <w:r>
              <w:rPr>
                <w:b/>
                <w:sz w:val="17"/>
              </w:rPr>
              <w:t xml:space="preserve">Issue: </w:t>
            </w:r>
            <w:r>
              <w:rPr>
                <w:sz w:val="17"/>
              </w:rPr>
              <w:t>Omission of emergency-imaging hierarchy.</w:t>
            </w:r>
          </w:p>
          <w:p w:rsidR="00132811" w:rsidRDefault="00243C97">
            <w:pPr>
              <w:spacing w:after="20"/>
              <w:ind w:left="216"/>
            </w:pPr>
            <w:r>
              <w:rPr>
                <w:b/>
                <w:sz w:val="17"/>
              </w:rPr>
              <w:t xml:space="preserve">Correction: </w:t>
            </w:r>
            <w:r>
              <w:rPr>
                <w:sz w:val="17"/>
              </w:rPr>
              <w:t>Add: CT first if emergency or acute features are present.</w:t>
            </w:r>
          </w:p>
          <w:p w:rsidR="00132811" w:rsidRDefault="00243C97">
            <w:pPr>
              <w:spacing w:after="80"/>
              <w:ind w:left="216"/>
            </w:pPr>
            <w:r>
              <w:rPr>
                <w:b/>
                <w:color w:val="1F3864"/>
                <w:sz w:val="17"/>
              </w:rPr>
              <w:t xml:space="preserve">Refs: </w:t>
            </w:r>
            <w:r>
              <w:rPr>
                <w:i/>
                <w:sz w:val="16"/>
              </w:rPr>
              <w:t>(1) ACEP Clinical Policy: Adult Patients Presenting with Seizures. | (2) NICE Guideline NG217 — Epilepsies in children, young people and adults (2022).</w:t>
            </w:r>
          </w:p>
          <w:p w:rsidR="00132811" w:rsidRDefault="00243C97">
            <w:pPr>
              <w:spacing w:before="40" w:after="20"/>
            </w:pPr>
            <w:r>
              <w:rPr>
                <w:b/>
                <w:color w:val="1F3864"/>
                <w:sz w:val="18"/>
              </w:rPr>
              <w:t xml:space="preserve">4. </w:t>
            </w:r>
            <w:r>
              <w:rPr>
                <w:i/>
                <w:color w:val="2E75B6"/>
                <w:sz w:val="17"/>
              </w:rPr>
              <w:t xml:space="preserve">[Type III] </w:t>
            </w:r>
          </w:p>
          <w:p w:rsidR="00132811" w:rsidRDefault="00243C97">
            <w:pPr>
              <w:spacing w:after="20"/>
              <w:ind w:left="216"/>
            </w:pPr>
            <w:r>
              <w:rPr>
                <w:b/>
                <w:sz w:val="17"/>
              </w:rPr>
              <w:t xml:space="preserve">Issue: </w:t>
            </w:r>
            <w:r>
              <w:rPr>
                <w:sz w:val="17"/>
              </w:rPr>
              <w:t>Omission of non-emergency MRI pathway.</w:t>
            </w:r>
          </w:p>
          <w:p w:rsidR="00132811" w:rsidRDefault="00243C97">
            <w:pPr>
              <w:spacing w:after="20"/>
              <w:ind w:left="216"/>
            </w:pPr>
            <w:r>
              <w:rPr>
                <w:b/>
                <w:sz w:val="17"/>
              </w:rPr>
              <w:t xml:space="preserve">Correction: </w:t>
            </w:r>
            <w:r>
              <w:rPr>
                <w:sz w:val="17"/>
              </w:rPr>
              <w:t>Add: MRI as outpatient when no emergency features are present.</w:t>
            </w:r>
          </w:p>
          <w:p w:rsidR="00132811" w:rsidRDefault="00243C97">
            <w:pPr>
              <w:spacing w:after="80"/>
              <w:ind w:left="216"/>
            </w:pPr>
            <w:r>
              <w:rPr>
                <w:b/>
                <w:color w:val="1F3864"/>
                <w:sz w:val="17"/>
              </w:rPr>
              <w:lastRenderedPageBreak/>
              <w:t xml:space="preserve">Refs: </w:t>
            </w:r>
            <w:r>
              <w:rPr>
                <w:i/>
                <w:sz w:val="16"/>
              </w:rPr>
              <w:t>(1) NICE Guideline NG217 — Epilepsies in children, young people and adults (2022). | (2) Bernasconi A et al. ILAE recommendations for the use of structural MRI in epilepsy. Epilepsia. 2019;60(6):1054–1068.</w:t>
            </w:r>
          </w:p>
          <w:p w:rsidR="00132811" w:rsidRDefault="00243C97">
            <w:pPr>
              <w:spacing w:before="40" w:after="20"/>
            </w:pPr>
            <w:r>
              <w:rPr>
                <w:b/>
                <w:color w:val="1F3864"/>
                <w:sz w:val="18"/>
              </w:rPr>
              <w:t xml:space="preserve">5. </w:t>
            </w:r>
            <w:r>
              <w:rPr>
                <w:i/>
                <w:color w:val="2E75B6"/>
                <w:sz w:val="17"/>
              </w:rPr>
              <w:t xml:space="preserve">[Type III] </w:t>
            </w:r>
          </w:p>
          <w:p w:rsidR="00132811" w:rsidRDefault="00243C97">
            <w:pPr>
              <w:spacing w:after="20"/>
              <w:ind w:left="216"/>
            </w:pPr>
            <w:r>
              <w:rPr>
                <w:b/>
                <w:sz w:val="17"/>
              </w:rPr>
              <w:t xml:space="preserve">Issue: </w:t>
            </w:r>
            <w:r>
              <w:rPr>
                <w:sz w:val="17"/>
              </w:rPr>
              <w:t>Omission of indication for re-imaging.</w:t>
            </w:r>
          </w:p>
          <w:p w:rsidR="00132811" w:rsidRDefault="00243C97">
            <w:pPr>
              <w:spacing w:after="20"/>
              <w:ind w:left="216"/>
            </w:pPr>
            <w:r>
              <w:rPr>
                <w:b/>
                <w:sz w:val="17"/>
              </w:rPr>
              <w:t xml:space="preserve">Correction: </w:t>
            </w:r>
            <w:r>
              <w:rPr>
                <w:sz w:val="17"/>
              </w:rPr>
              <w:t>Add: Change in seizure pattern or new seizure semiology — suggests evolving or progressive lesion.</w:t>
            </w:r>
          </w:p>
          <w:p w:rsidR="00132811" w:rsidRDefault="00243C97">
            <w:pPr>
              <w:spacing w:after="80"/>
              <w:ind w:left="216"/>
            </w:pPr>
            <w:r>
              <w:rPr>
                <w:b/>
                <w:color w:val="1F3864"/>
                <w:sz w:val="17"/>
              </w:rPr>
              <w:t xml:space="preserve">Refs: </w:t>
            </w:r>
            <w:r>
              <w:rPr>
                <w:i/>
                <w:sz w:val="16"/>
              </w:rPr>
              <w:t>(1) Bernasconi A et al. ILAE recommendations for the use of structural MRI in epilepsy. Epilepsia. 2019;60(6):1054–1068. | (2) AAN Practice Parameter — Adult Seizure Evaluation.</w:t>
            </w:r>
          </w:p>
          <w:p w:rsidR="00132811" w:rsidRDefault="00243C97">
            <w:pPr>
              <w:spacing w:before="40" w:after="20"/>
            </w:pPr>
            <w:r>
              <w:rPr>
                <w:b/>
                <w:color w:val="1F3864"/>
                <w:sz w:val="18"/>
              </w:rPr>
              <w:t xml:space="preserve">6. </w:t>
            </w:r>
            <w:r>
              <w:rPr>
                <w:i/>
                <w:color w:val="2E75B6"/>
                <w:sz w:val="17"/>
              </w:rPr>
              <w:t xml:space="preserve">[Type III] </w:t>
            </w:r>
          </w:p>
          <w:p w:rsidR="00132811" w:rsidRDefault="00243C97">
            <w:pPr>
              <w:spacing w:after="20"/>
              <w:ind w:left="216"/>
            </w:pPr>
            <w:r>
              <w:rPr>
                <w:b/>
                <w:sz w:val="17"/>
              </w:rPr>
              <w:t xml:space="preserve">Issue: </w:t>
            </w:r>
            <w:r>
              <w:rPr>
                <w:sz w:val="17"/>
              </w:rPr>
              <w:t>Omission of rationale.</w:t>
            </w:r>
          </w:p>
          <w:p w:rsidR="00132811" w:rsidRDefault="00243C97">
            <w:pPr>
              <w:spacing w:after="20"/>
              <w:ind w:left="216"/>
            </w:pPr>
            <w:r>
              <w:rPr>
                <w:b/>
                <w:sz w:val="17"/>
              </w:rPr>
              <w:t xml:space="preserve">Correction: </w:t>
            </w:r>
            <w:r>
              <w:rPr>
                <w:sz w:val="17"/>
              </w:rPr>
              <w:t>Add rationale: evolving structural pathology (tumour, abscess, evolving gliosis) is suggested by change in seizure pattern.</w:t>
            </w:r>
          </w:p>
          <w:p w:rsidR="00132811" w:rsidRDefault="00243C97">
            <w:pPr>
              <w:spacing w:after="80"/>
              <w:ind w:left="216"/>
            </w:pPr>
            <w:r>
              <w:rPr>
                <w:b/>
                <w:color w:val="1F3864"/>
                <w:sz w:val="17"/>
              </w:rPr>
              <w:t xml:space="preserve">Refs: </w:t>
            </w:r>
            <w:r>
              <w:rPr>
                <w:i/>
                <w:sz w:val="16"/>
              </w:rPr>
              <w:t>(1) AAN Practice Parameter. | (2) ACR Appropriateness Criteria — Seizures and Epilepsy.</w:t>
            </w:r>
          </w:p>
          <w:p w:rsidR="00132811" w:rsidRDefault="00243C97">
            <w:pPr>
              <w:spacing w:before="40" w:after="20"/>
            </w:pPr>
            <w:r>
              <w:rPr>
                <w:b/>
                <w:color w:val="1F3864"/>
                <w:sz w:val="18"/>
              </w:rPr>
              <w:t xml:space="preserve">7. </w:t>
            </w:r>
            <w:r>
              <w:rPr>
                <w:i/>
                <w:color w:val="2E75B6"/>
                <w:sz w:val="17"/>
              </w:rPr>
              <w:t xml:space="preserve">[Type III] </w:t>
            </w:r>
          </w:p>
          <w:p w:rsidR="00132811" w:rsidRDefault="00243C97">
            <w:pPr>
              <w:spacing w:after="20"/>
              <w:ind w:left="216"/>
            </w:pPr>
            <w:r>
              <w:rPr>
                <w:b/>
                <w:sz w:val="17"/>
              </w:rPr>
              <w:t xml:space="preserve">Issue: </w:t>
            </w:r>
            <w:r>
              <w:rPr>
                <w:sz w:val="17"/>
              </w:rPr>
              <w:t>Omission of high-yield clinical-deterioration indication.</w:t>
            </w:r>
          </w:p>
          <w:p w:rsidR="00132811" w:rsidRDefault="00243C97">
            <w:pPr>
              <w:spacing w:after="20"/>
              <w:ind w:left="216"/>
            </w:pPr>
            <w:r>
              <w:rPr>
                <w:b/>
                <w:sz w:val="17"/>
              </w:rPr>
              <w:t xml:space="preserve">Correction: </w:t>
            </w:r>
            <w:r>
              <w:rPr>
                <w:sz w:val="17"/>
              </w:rPr>
              <w:t>Add: New focal neurological deficit — strongly indicates focal structural pathology.</w:t>
            </w:r>
          </w:p>
          <w:p w:rsidR="00132811" w:rsidRDefault="00243C97">
            <w:pPr>
              <w:spacing w:after="80"/>
              <w:ind w:left="216"/>
            </w:pPr>
            <w:r>
              <w:rPr>
                <w:b/>
                <w:color w:val="1F3864"/>
                <w:sz w:val="17"/>
              </w:rPr>
              <w:t xml:space="preserve">Refs: </w:t>
            </w:r>
            <w:r>
              <w:rPr>
                <w:i/>
                <w:sz w:val="16"/>
              </w:rPr>
              <w:t>(1) AAN Practice Parameter. | (2) Krumholz A et al. Neurology. 2007.</w:t>
            </w:r>
          </w:p>
          <w:p w:rsidR="00132811" w:rsidRDefault="00243C97">
            <w:pPr>
              <w:spacing w:before="40" w:after="20"/>
            </w:pPr>
            <w:r>
              <w:rPr>
                <w:b/>
                <w:color w:val="1F3864"/>
                <w:sz w:val="18"/>
              </w:rPr>
              <w:t xml:space="preserve">8. </w:t>
            </w:r>
            <w:r>
              <w:rPr>
                <w:i/>
                <w:color w:val="2E75B6"/>
                <w:sz w:val="17"/>
              </w:rPr>
              <w:t xml:space="preserve">[Type III] </w:t>
            </w:r>
          </w:p>
          <w:p w:rsidR="00132811" w:rsidRDefault="00243C97">
            <w:pPr>
              <w:spacing w:after="20"/>
              <w:ind w:left="216"/>
            </w:pPr>
            <w:r>
              <w:rPr>
                <w:b/>
                <w:sz w:val="17"/>
              </w:rPr>
              <w:t xml:space="preserve">Issue: </w:t>
            </w:r>
            <w:r>
              <w:rPr>
                <w:sz w:val="17"/>
              </w:rPr>
              <w:t>Omission of cognitive change as an imaging trigger.</w:t>
            </w:r>
          </w:p>
          <w:p w:rsidR="00132811" w:rsidRDefault="00243C97">
            <w:pPr>
              <w:spacing w:after="20"/>
              <w:ind w:left="216"/>
            </w:pPr>
            <w:r>
              <w:rPr>
                <w:b/>
                <w:sz w:val="17"/>
              </w:rPr>
              <w:t xml:space="preserve">Correction: </w:t>
            </w:r>
            <w:r>
              <w:rPr>
                <w:sz w:val="17"/>
              </w:rPr>
              <w:t>Add: Cognitive decline alongside seizures — points to focal structural pathology.</w:t>
            </w:r>
          </w:p>
          <w:p w:rsidR="00132811" w:rsidRDefault="00243C97">
            <w:pPr>
              <w:spacing w:after="80"/>
              <w:ind w:left="216"/>
            </w:pPr>
            <w:r>
              <w:rPr>
                <w:b/>
                <w:color w:val="1F3864"/>
                <w:sz w:val="17"/>
              </w:rPr>
              <w:t xml:space="preserve">Refs: </w:t>
            </w:r>
            <w:r>
              <w:rPr>
                <w:i/>
                <w:sz w:val="16"/>
              </w:rPr>
              <w:t>(1) AAN Practice Parameter. | (2) NICE Guideline NG217 — Epilepsies in children, young people and adults (2022).</w:t>
            </w:r>
          </w:p>
          <w:p w:rsidR="00132811" w:rsidRDefault="00243C97">
            <w:pPr>
              <w:spacing w:before="40" w:after="20"/>
            </w:pPr>
            <w:r>
              <w:rPr>
                <w:b/>
                <w:color w:val="1F3864"/>
                <w:sz w:val="18"/>
              </w:rPr>
              <w:t xml:space="preserve">9. </w:t>
            </w:r>
            <w:r>
              <w:rPr>
                <w:i/>
                <w:color w:val="2E75B6"/>
                <w:sz w:val="17"/>
              </w:rPr>
              <w:t xml:space="preserve">[Type III] </w:t>
            </w:r>
          </w:p>
          <w:p w:rsidR="00132811" w:rsidRDefault="00243C97">
            <w:pPr>
              <w:spacing w:after="20"/>
              <w:ind w:left="216"/>
            </w:pPr>
            <w:r>
              <w:rPr>
                <w:b/>
                <w:sz w:val="17"/>
              </w:rPr>
              <w:t xml:space="preserve">Issue: </w:t>
            </w:r>
            <w:r>
              <w:rPr>
                <w:sz w:val="17"/>
              </w:rPr>
              <w:t>Omission of trauma indication.</w:t>
            </w:r>
          </w:p>
          <w:p w:rsidR="00132811" w:rsidRDefault="00243C97">
            <w:pPr>
              <w:spacing w:after="20"/>
              <w:ind w:left="216"/>
            </w:pPr>
            <w:r>
              <w:rPr>
                <w:b/>
                <w:sz w:val="17"/>
              </w:rPr>
              <w:t xml:space="preserve">Correction: </w:t>
            </w:r>
            <w:r>
              <w:rPr>
                <w:sz w:val="17"/>
              </w:rPr>
              <w:t>Add: Recent head trauma — urgent imaging (CT first).</w:t>
            </w:r>
          </w:p>
          <w:p w:rsidR="00132811" w:rsidRDefault="00243C97">
            <w:pPr>
              <w:spacing w:after="80"/>
              <w:ind w:left="216"/>
            </w:pPr>
            <w:r>
              <w:rPr>
                <w:b/>
                <w:color w:val="1F3864"/>
                <w:sz w:val="17"/>
              </w:rPr>
              <w:t xml:space="preserve">Refs: </w:t>
            </w:r>
            <w:r>
              <w:rPr>
                <w:i/>
                <w:sz w:val="16"/>
              </w:rPr>
              <w:t>(1) ACEP Clinical Policy. | (2) NICE Head Injury Guideline NG232 (2023).</w:t>
            </w:r>
          </w:p>
          <w:p w:rsidR="00132811" w:rsidRDefault="00243C97">
            <w:pPr>
              <w:spacing w:before="40" w:after="20"/>
            </w:pPr>
            <w:r>
              <w:rPr>
                <w:b/>
                <w:color w:val="1F3864"/>
                <w:sz w:val="18"/>
              </w:rPr>
              <w:t xml:space="preserve">10. </w:t>
            </w:r>
            <w:r>
              <w:rPr>
                <w:i/>
                <w:color w:val="2E75B6"/>
                <w:sz w:val="17"/>
              </w:rPr>
              <w:t xml:space="preserve">[Type IV] </w:t>
            </w:r>
          </w:p>
          <w:p w:rsidR="00132811" w:rsidRDefault="00243C97">
            <w:pPr>
              <w:spacing w:after="20"/>
              <w:ind w:left="216"/>
            </w:pPr>
            <w:r>
              <w:rPr>
                <w:b/>
                <w:sz w:val="17"/>
              </w:rPr>
              <w:t xml:space="preserve">Issue: </w:t>
            </w:r>
            <w:r>
              <w:rPr>
                <w:sz w:val="17"/>
              </w:rPr>
              <w:t>Omission of infection indication.</w:t>
            </w:r>
          </w:p>
          <w:p w:rsidR="00132811" w:rsidRDefault="00243C97">
            <w:pPr>
              <w:spacing w:after="20"/>
              <w:ind w:left="216"/>
            </w:pPr>
            <w:r>
              <w:rPr>
                <w:b/>
                <w:sz w:val="17"/>
              </w:rPr>
              <w:t xml:space="preserve">Correction: </w:t>
            </w:r>
            <w:r>
              <w:rPr>
                <w:sz w:val="17"/>
              </w:rPr>
              <w:t>Add: Fever or possible CNS infection — urgent imaging required.</w:t>
            </w:r>
          </w:p>
          <w:p w:rsidR="00132811" w:rsidRDefault="00243C97">
            <w:pPr>
              <w:spacing w:after="80"/>
              <w:ind w:left="216"/>
            </w:pPr>
            <w:r>
              <w:rPr>
                <w:b/>
                <w:color w:val="1F3864"/>
                <w:sz w:val="17"/>
              </w:rPr>
              <w:t xml:space="preserve">Refs: </w:t>
            </w:r>
            <w:r>
              <w:rPr>
                <w:i/>
                <w:sz w:val="16"/>
              </w:rPr>
              <w:t>(1) IDSA Guidelines on Bacterial Meningitis. | (2) ACEP Clinical Policy.</w:t>
            </w:r>
          </w:p>
          <w:p w:rsidR="00132811" w:rsidRDefault="00243C97">
            <w:pPr>
              <w:spacing w:before="40" w:after="20"/>
            </w:pPr>
            <w:r>
              <w:rPr>
                <w:b/>
                <w:color w:val="1F3864"/>
                <w:sz w:val="18"/>
              </w:rPr>
              <w:t xml:space="preserve">11. </w:t>
            </w:r>
            <w:r>
              <w:rPr>
                <w:i/>
                <w:color w:val="2E75B6"/>
                <w:sz w:val="17"/>
              </w:rPr>
              <w:t xml:space="preserve">[Type IV] </w:t>
            </w:r>
          </w:p>
          <w:p w:rsidR="00132811" w:rsidRDefault="00243C97">
            <w:pPr>
              <w:spacing w:after="20"/>
              <w:ind w:left="216"/>
            </w:pPr>
            <w:r>
              <w:rPr>
                <w:b/>
                <w:sz w:val="17"/>
              </w:rPr>
              <w:t xml:space="preserve">Issue: </w:t>
            </w:r>
            <w:r>
              <w:rPr>
                <w:sz w:val="17"/>
              </w:rPr>
              <w:t>Omission of SE indication.</w:t>
            </w:r>
          </w:p>
          <w:p w:rsidR="00132811" w:rsidRDefault="00243C97">
            <w:pPr>
              <w:spacing w:after="20"/>
              <w:ind w:left="216"/>
            </w:pPr>
            <w:r>
              <w:rPr>
                <w:b/>
                <w:sz w:val="17"/>
              </w:rPr>
              <w:t xml:space="preserve">Correction: </w:t>
            </w:r>
            <w:r>
              <w:rPr>
                <w:sz w:val="17"/>
              </w:rPr>
              <w:t>Add: Status epilepticus — urgent imaging required.</w:t>
            </w:r>
          </w:p>
          <w:p w:rsidR="00132811" w:rsidRDefault="00243C97">
            <w:pPr>
              <w:spacing w:after="80"/>
              <w:ind w:left="216"/>
            </w:pPr>
            <w:r>
              <w:rPr>
                <w:b/>
                <w:color w:val="1F3864"/>
                <w:sz w:val="17"/>
              </w:rPr>
              <w:t xml:space="preserve">Refs: </w:t>
            </w:r>
            <w:r>
              <w:rPr>
                <w:i/>
                <w:sz w:val="16"/>
              </w:rPr>
              <w:t>(1) Neurocritical Care Society Guidelines on Status Epilepticus (2012). | (2) Bernasconi A et al. ILAE recommendations for the use of structural MRI in epilepsy. Epilepsia. 2019;60(6):1054–1068.</w:t>
            </w:r>
          </w:p>
          <w:p w:rsidR="00132811" w:rsidRDefault="00243C97">
            <w:pPr>
              <w:spacing w:before="40" w:after="20"/>
            </w:pPr>
            <w:r>
              <w:rPr>
                <w:b/>
                <w:color w:val="1F3864"/>
                <w:sz w:val="18"/>
              </w:rPr>
              <w:t xml:space="preserve">12. </w:t>
            </w:r>
            <w:r>
              <w:rPr>
                <w:i/>
                <w:color w:val="2E75B6"/>
                <w:sz w:val="17"/>
              </w:rPr>
              <w:t xml:space="preserve">[Type IV] </w:t>
            </w:r>
          </w:p>
          <w:p w:rsidR="00132811" w:rsidRDefault="00243C97">
            <w:pPr>
              <w:spacing w:after="20"/>
              <w:ind w:left="216"/>
            </w:pPr>
            <w:r>
              <w:rPr>
                <w:b/>
                <w:sz w:val="17"/>
              </w:rPr>
              <w:t xml:space="preserve">Issue: </w:t>
            </w:r>
            <w:r>
              <w:rPr>
                <w:sz w:val="17"/>
              </w:rPr>
              <w:t>Omission of cancer-history indication.</w:t>
            </w:r>
          </w:p>
          <w:p w:rsidR="00132811" w:rsidRDefault="00243C97">
            <w:pPr>
              <w:spacing w:after="20"/>
              <w:ind w:left="216"/>
            </w:pPr>
            <w:r>
              <w:rPr>
                <w:b/>
                <w:sz w:val="17"/>
              </w:rPr>
              <w:t xml:space="preserve">Correction: </w:t>
            </w:r>
            <w:r>
              <w:rPr>
                <w:sz w:val="17"/>
              </w:rPr>
              <w:t>Add: History of malignancy — higher pre-test probability of CNS metastasis.</w:t>
            </w:r>
          </w:p>
          <w:p w:rsidR="00132811" w:rsidRDefault="00243C97">
            <w:pPr>
              <w:spacing w:after="80"/>
              <w:ind w:left="216"/>
            </w:pPr>
            <w:r>
              <w:rPr>
                <w:b/>
                <w:color w:val="1F3864"/>
                <w:sz w:val="17"/>
              </w:rPr>
              <w:t xml:space="preserve">Refs: </w:t>
            </w:r>
            <w:r>
              <w:rPr>
                <w:i/>
                <w:sz w:val="16"/>
              </w:rPr>
              <w:t>(1) NICE Guideline NG217 — Epilepsies in children, young people and adults (2022). | (2) NICE Suspected Cancer NG12.</w:t>
            </w:r>
          </w:p>
          <w:p w:rsidR="00132811" w:rsidRDefault="00243C97">
            <w:pPr>
              <w:spacing w:before="40" w:after="20"/>
            </w:pPr>
            <w:r>
              <w:rPr>
                <w:b/>
                <w:color w:val="1F3864"/>
                <w:sz w:val="18"/>
              </w:rPr>
              <w:t xml:space="preserve">13. </w:t>
            </w:r>
            <w:r>
              <w:rPr>
                <w:i/>
                <w:color w:val="2E75B6"/>
                <w:sz w:val="17"/>
              </w:rPr>
              <w:t xml:space="preserve">[Type IV] </w:t>
            </w:r>
          </w:p>
          <w:p w:rsidR="00132811" w:rsidRDefault="00243C97">
            <w:pPr>
              <w:spacing w:after="20"/>
              <w:ind w:left="216"/>
            </w:pPr>
            <w:r>
              <w:rPr>
                <w:b/>
                <w:sz w:val="17"/>
              </w:rPr>
              <w:t xml:space="preserve">Issue: </w:t>
            </w:r>
            <w:r>
              <w:rPr>
                <w:sz w:val="17"/>
              </w:rPr>
              <w:t>Omission of immunosuppression indication.</w:t>
            </w:r>
          </w:p>
          <w:p w:rsidR="00132811" w:rsidRDefault="00243C97">
            <w:pPr>
              <w:spacing w:after="20"/>
              <w:ind w:left="216"/>
            </w:pPr>
            <w:r>
              <w:rPr>
                <w:b/>
                <w:sz w:val="17"/>
              </w:rPr>
              <w:t xml:space="preserve">Correction: </w:t>
            </w:r>
            <w:r>
              <w:rPr>
                <w:sz w:val="17"/>
              </w:rPr>
              <w:t>Add: Immunosuppression — higher pre-test probability of CNS infection or abscess.</w:t>
            </w:r>
          </w:p>
          <w:p w:rsidR="00132811" w:rsidRDefault="00243C97">
            <w:pPr>
              <w:spacing w:after="80"/>
              <w:ind w:left="216"/>
            </w:pPr>
            <w:r>
              <w:rPr>
                <w:b/>
                <w:color w:val="1F3864"/>
                <w:sz w:val="17"/>
              </w:rPr>
              <w:lastRenderedPageBreak/>
              <w:t xml:space="preserve">Refs: </w:t>
            </w:r>
            <w:r>
              <w:rPr>
                <w:i/>
                <w:sz w:val="16"/>
              </w:rPr>
              <w:t>(1) IDSA Guidelines on CNS Infections. | (2) Bernasconi A et al. ILAE recommendations for the use of structural MRI in epilepsy. Epilepsia. 2019;60(6):1054–1068.</w:t>
            </w:r>
          </w:p>
          <w:p w:rsidR="00132811" w:rsidRDefault="00243C97">
            <w:pPr>
              <w:spacing w:before="40" w:after="20"/>
            </w:pPr>
            <w:r>
              <w:rPr>
                <w:b/>
                <w:color w:val="1F3864"/>
                <w:sz w:val="18"/>
              </w:rPr>
              <w:t xml:space="preserve">14. </w:t>
            </w:r>
            <w:r>
              <w:rPr>
                <w:i/>
                <w:color w:val="2E75B6"/>
                <w:sz w:val="17"/>
              </w:rPr>
              <w:t xml:space="preserve">[Type IV] </w:t>
            </w:r>
          </w:p>
          <w:p w:rsidR="00132811" w:rsidRDefault="00243C97">
            <w:pPr>
              <w:spacing w:after="20"/>
              <w:ind w:left="216"/>
            </w:pPr>
            <w:r>
              <w:rPr>
                <w:b/>
                <w:sz w:val="17"/>
              </w:rPr>
              <w:t xml:space="preserve">Issue: </w:t>
            </w:r>
            <w:r>
              <w:rPr>
                <w:sz w:val="17"/>
              </w:rPr>
              <w:t>Omission of contrast-imaging guidance for selected populations.</w:t>
            </w:r>
          </w:p>
          <w:p w:rsidR="00132811" w:rsidRDefault="00243C97">
            <w:pPr>
              <w:spacing w:after="20"/>
              <w:ind w:left="216"/>
            </w:pPr>
            <w:r>
              <w:rPr>
                <w:b/>
                <w:sz w:val="17"/>
              </w:rPr>
              <w:t xml:space="preserve">Correction: </w:t>
            </w:r>
            <w:r>
              <w:rPr>
                <w:sz w:val="17"/>
              </w:rPr>
              <w:t>Add: Lower threshold for contrast-enhanced imaging in malignancy or immunosuppression.</w:t>
            </w:r>
          </w:p>
          <w:p w:rsidR="00132811" w:rsidRDefault="00243C97">
            <w:pPr>
              <w:spacing w:after="80"/>
              <w:ind w:left="216"/>
            </w:pPr>
            <w:r>
              <w:rPr>
                <w:b/>
                <w:color w:val="1F3864"/>
                <w:sz w:val="17"/>
              </w:rPr>
              <w:t xml:space="preserve">Refs: </w:t>
            </w:r>
            <w:r>
              <w:rPr>
                <w:i/>
                <w:sz w:val="16"/>
              </w:rPr>
              <w:t>(1) ACR Appropriateness Criteria — Seizures and Epilepsy. | (2) NICE NG217.</w:t>
            </w:r>
          </w:p>
          <w:p w:rsidR="00132811" w:rsidRDefault="00243C97">
            <w:pPr>
              <w:spacing w:before="40" w:after="20"/>
            </w:pPr>
            <w:r>
              <w:rPr>
                <w:b/>
                <w:color w:val="1F3864"/>
                <w:sz w:val="18"/>
              </w:rPr>
              <w:t xml:space="preserve">15. </w:t>
            </w:r>
            <w:r>
              <w:rPr>
                <w:i/>
                <w:color w:val="2E75B6"/>
                <w:sz w:val="17"/>
              </w:rPr>
              <w:t xml:space="preserve">[Type IV] </w:t>
            </w:r>
          </w:p>
          <w:p w:rsidR="00132811" w:rsidRDefault="00243C97">
            <w:pPr>
              <w:spacing w:after="20"/>
              <w:ind w:left="216"/>
            </w:pPr>
            <w:r>
              <w:rPr>
                <w:b/>
                <w:sz w:val="17"/>
              </w:rPr>
              <w:t xml:space="preserve">Issue: </w:t>
            </w:r>
            <w:r>
              <w:rPr>
                <w:sz w:val="17"/>
              </w:rPr>
              <w:t>Omission of paediatric-specific indication.</w:t>
            </w:r>
          </w:p>
          <w:p w:rsidR="00132811" w:rsidRDefault="00243C97">
            <w:pPr>
              <w:spacing w:after="20"/>
              <w:ind w:left="216"/>
            </w:pPr>
            <w:r>
              <w:rPr>
                <w:b/>
                <w:sz w:val="17"/>
              </w:rPr>
              <w:t xml:space="preserve">Correction: </w:t>
            </w:r>
            <w:r>
              <w:rPr>
                <w:sz w:val="17"/>
              </w:rPr>
              <w:t>Add: Developmental delay or abnormal neurological exam in children — MRI preferred.</w:t>
            </w:r>
          </w:p>
          <w:p w:rsidR="00132811" w:rsidRDefault="00243C97">
            <w:pPr>
              <w:spacing w:after="80"/>
              <w:ind w:left="216"/>
            </w:pPr>
            <w:r>
              <w:rPr>
                <w:b/>
                <w:color w:val="1F3864"/>
                <w:sz w:val="17"/>
              </w:rPr>
              <w:t xml:space="preserve">Refs: </w:t>
            </w:r>
            <w:r>
              <w:rPr>
                <w:i/>
                <w:sz w:val="16"/>
              </w:rPr>
              <w:t>(1) AAP Clinical Reports — Children with Developmental Delay. | (2) AAN/Child Neurology Society Practice Parameter on Neuroimaging in Children.</w:t>
            </w:r>
          </w:p>
          <w:p w:rsidR="00132811" w:rsidRDefault="00243C97">
            <w:pPr>
              <w:spacing w:before="40" w:after="20"/>
            </w:pPr>
            <w:r>
              <w:rPr>
                <w:b/>
                <w:color w:val="1F3864"/>
                <w:sz w:val="18"/>
              </w:rPr>
              <w:t xml:space="preserve">16. </w:t>
            </w:r>
            <w:r>
              <w:rPr>
                <w:i/>
                <w:color w:val="2E75B6"/>
                <w:sz w:val="17"/>
              </w:rPr>
              <w:t xml:space="preserve">[Type V] </w:t>
            </w:r>
          </w:p>
          <w:p w:rsidR="00132811" w:rsidRDefault="00243C97">
            <w:pPr>
              <w:spacing w:after="20"/>
              <w:ind w:left="216"/>
            </w:pPr>
            <w:r>
              <w:rPr>
                <w:b/>
                <w:sz w:val="17"/>
              </w:rPr>
              <w:t xml:space="preserve">Issue: </w:t>
            </w:r>
            <w:r>
              <w:rPr>
                <w:sz w:val="17"/>
              </w:rPr>
              <w:t>Omission of rationale.</w:t>
            </w:r>
          </w:p>
          <w:p w:rsidR="00132811" w:rsidRDefault="00243C97">
            <w:pPr>
              <w:spacing w:after="20"/>
              <w:ind w:left="216"/>
            </w:pPr>
            <w:r>
              <w:rPr>
                <w:b/>
                <w:sz w:val="17"/>
              </w:rPr>
              <w:t xml:space="preserve">Correction: </w:t>
            </w:r>
            <w:r>
              <w:rPr>
                <w:sz w:val="17"/>
              </w:rPr>
              <w:t>Add: high yield for structural / malformative lesions in this paediatric population.</w:t>
            </w:r>
          </w:p>
          <w:p w:rsidR="00132811" w:rsidRDefault="00243C97">
            <w:pPr>
              <w:spacing w:after="80"/>
              <w:ind w:left="216"/>
            </w:pPr>
            <w:r>
              <w:rPr>
                <w:b/>
                <w:color w:val="1F3864"/>
                <w:sz w:val="17"/>
              </w:rPr>
              <w:t xml:space="preserve">Refs: </w:t>
            </w:r>
            <w:r>
              <w:rPr>
                <w:i/>
                <w:sz w:val="16"/>
              </w:rPr>
              <w:t>(1) AAN/Child Neurology Society Practice Parameter. | (2) AAP Clinical Reports.</w:t>
            </w:r>
          </w:p>
          <w:p w:rsidR="00132811" w:rsidRDefault="00243C97">
            <w:pPr>
              <w:spacing w:before="40" w:after="20"/>
            </w:pPr>
            <w:r>
              <w:rPr>
                <w:b/>
                <w:color w:val="1F3864"/>
                <w:sz w:val="18"/>
              </w:rPr>
              <w:t xml:space="preserve">17. </w:t>
            </w:r>
            <w:r>
              <w:rPr>
                <w:i/>
                <w:color w:val="2E75B6"/>
                <w:sz w:val="17"/>
              </w:rPr>
              <w:t xml:space="preserve">[Type V] </w:t>
            </w:r>
          </w:p>
          <w:p w:rsidR="00132811" w:rsidRDefault="00243C97">
            <w:pPr>
              <w:spacing w:after="20"/>
              <w:ind w:left="216"/>
            </w:pPr>
            <w:r>
              <w:rPr>
                <w:b/>
                <w:sz w:val="17"/>
              </w:rPr>
              <w:t xml:space="preserve">Issue: </w:t>
            </w:r>
            <w:r>
              <w:rPr>
                <w:sz w:val="17"/>
              </w:rPr>
              <w:t>Omission of refractory-epilepsy indication.</w:t>
            </w:r>
          </w:p>
          <w:p w:rsidR="00132811" w:rsidRDefault="00243C97">
            <w:pPr>
              <w:spacing w:after="20"/>
              <w:ind w:left="216"/>
            </w:pPr>
            <w:r>
              <w:rPr>
                <w:b/>
                <w:sz w:val="17"/>
              </w:rPr>
              <w:t xml:space="preserve">Correction: </w:t>
            </w:r>
            <w:r>
              <w:rPr>
                <w:sz w:val="17"/>
              </w:rPr>
              <w:t>Add: Refractory epilepsy / pre-surgical evaluation — requires high-resolution MRI (epilepsy protocol).</w:t>
            </w:r>
          </w:p>
          <w:p w:rsidR="00132811" w:rsidRDefault="00243C97">
            <w:pPr>
              <w:spacing w:after="80"/>
              <w:ind w:left="216"/>
            </w:pPr>
            <w:r>
              <w:rPr>
                <w:b/>
                <w:color w:val="1F3864"/>
                <w:sz w:val="17"/>
              </w:rPr>
              <w:t xml:space="preserve">Refs: </w:t>
            </w:r>
            <w:r>
              <w:rPr>
                <w:i/>
                <w:sz w:val="16"/>
              </w:rPr>
              <w:t>(1) ILAE Pre-surgical Evaluation Guidelines (Engel J. ILAE Commission Report). | (2) Bernasconi A et al. ILAE recommendations for the use of structural MRI in epilepsy. Epilepsia. 2019;60(6):1054–1068.</w:t>
            </w:r>
          </w:p>
          <w:p w:rsidR="00132811" w:rsidRDefault="00243C97">
            <w:pPr>
              <w:spacing w:before="40" w:after="20"/>
            </w:pPr>
            <w:r>
              <w:rPr>
                <w:b/>
                <w:color w:val="1F3864"/>
                <w:sz w:val="18"/>
              </w:rPr>
              <w:t xml:space="preserve">18. </w:t>
            </w:r>
            <w:r>
              <w:rPr>
                <w:i/>
                <w:color w:val="2E75B6"/>
                <w:sz w:val="17"/>
              </w:rPr>
              <w:t xml:space="preserve">[Type V] </w:t>
            </w:r>
          </w:p>
          <w:p w:rsidR="00132811" w:rsidRDefault="00243C97">
            <w:pPr>
              <w:spacing w:after="20"/>
              <w:ind w:left="216"/>
            </w:pPr>
            <w:r>
              <w:rPr>
                <w:b/>
                <w:sz w:val="17"/>
              </w:rPr>
              <w:t xml:space="preserve">Issue: </w:t>
            </w:r>
            <w:r>
              <w:rPr>
                <w:sz w:val="17"/>
              </w:rPr>
              <w:t>Omission of specific epileptogenic-lesion class detectable on epilepsy-protocol MRI.</w:t>
            </w:r>
          </w:p>
          <w:p w:rsidR="00132811" w:rsidRDefault="00243C97">
            <w:pPr>
              <w:spacing w:after="20"/>
              <w:ind w:left="216"/>
            </w:pPr>
            <w:r>
              <w:rPr>
                <w:b/>
                <w:sz w:val="17"/>
              </w:rPr>
              <w:t xml:space="preserve">Correction: </w:t>
            </w:r>
            <w:r>
              <w:rPr>
                <w:sz w:val="17"/>
              </w:rPr>
              <w:t>Add: epilepsy-protocol MRI identifies focal cortical dysplasia (FCD).</w:t>
            </w:r>
          </w:p>
          <w:p w:rsidR="00132811" w:rsidRDefault="00243C97">
            <w:pPr>
              <w:spacing w:after="80"/>
              <w:ind w:left="216"/>
            </w:pPr>
            <w:r>
              <w:rPr>
                <w:b/>
                <w:color w:val="1F3864"/>
                <w:sz w:val="17"/>
              </w:rPr>
              <w:t xml:space="preserve">Refs: </w:t>
            </w:r>
            <w:r>
              <w:rPr>
                <w:i/>
                <w:sz w:val="16"/>
              </w:rPr>
              <w:t>(1) ILAE Pre-surgical Evaluation Guidelines. | (2) Bernasconi A et al. ILAE recommendations for the use of structural MRI in epilepsy. Epilepsia. 2019;60(6):1054–1068.</w:t>
            </w:r>
          </w:p>
          <w:p w:rsidR="00132811" w:rsidRDefault="00243C97">
            <w:pPr>
              <w:spacing w:before="40" w:after="20"/>
            </w:pPr>
            <w:r>
              <w:rPr>
                <w:b/>
                <w:color w:val="1F3864"/>
                <w:sz w:val="18"/>
              </w:rPr>
              <w:t xml:space="preserve">19. </w:t>
            </w:r>
            <w:r>
              <w:rPr>
                <w:i/>
                <w:color w:val="2E75B6"/>
                <w:sz w:val="17"/>
              </w:rPr>
              <w:t xml:space="preserve">[Type V] </w:t>
            </w:r>
          </w:p>
          <w:p w:rsidR="00132811" w:rsidRDefault="00243C97">
            <w:pPr>
              <w:spacing w:after="20"/>
              <w:ind w:left="216"/>
            </w:pPr>
            <w:r>
              <w:rPr>
                <w:b/>
                <w:sz w:val="17"/>
              </w:rPr>
              <w:t xml:space="preserve">Issue: </w:t>
            </w:r>
            <w:r>
              <w:rPr>
                <w:sz w:val="17"/>
              </w:rPr>
              <w:t>Omission of specific resectable substrate.</w:t>
            </w:r>
          </w:p>
          <w:p w:rsidR="00132811" w:rsidRDefault="00243C97">
            <w:pPr>
              <w:spacing w:after="20"/>
              <w:ind w:left="216"/>
            </w:pPr>
            <w:r>
              <w:rPr>
                <w:b/>
                <w:sz w:val="17"/>
              </w:rPr>
              <w:t xml:space="preserve">Correction: </w:t>
            </w:r>
            <w:r>
              <w:rPr>
                <w:sz w:val="17"/>
              </w:rPr>
              <w:t>Add: epilepsy-protocol MRI identifies mesial temporal sclerosis.</w:t>
            </w:r>
          </w:p>
          <w:p w:rsidR="00132811" w:rsidRDefault="00243C97">
            <w:pPr>
              <w:spacing w:after="80"/>
              <w:ind w:left="216"/>
            </w:pPr>
            <w:r>
              <w:rPr>
                <w:b/>
                <w:color w:val="1F3864"/>
                <w:sz w:val="17"/>
              </w:rPr>
              <w:t xml:space="preserve">Refs: </w:t>
            </w:r>
            <w:r>
              <w:rPr>
                <w:i/>
                <w:sz w:val="16"/>
              </w:rPr>
              <w:t>(1) Bernasconi A et al. ILAE recommendations for the use of structural MRI in epilepsy. Epilepsia. 2019;60(6):1054–1068. | (2) ILAE Pre-surgical Evaluation Guidelines.</w:t>
            </w:r>
          </w:p>
          <w:p w:rsidR="00132811" w:rsidRDefault="00243C97">
            <w:pPr>
              <w:spacing w:before="40" w:after="20"/>
            </w:pPr>
            <w:r>
              <w:rPr>
                <w:b/>
                <w:color w:val="1F3864"/>
                <w:sz w:val="18"/>
              </w:rPr>
              <w:t xml:space="preserve">20. </w:t>
            </w:r>
            <w:r>
              <w:rPr>
                <w:i/>
                <w:color w:val="2E75B6"/>
                <w:sz w:val="17"/>
              </w:rPr>
              <w:t xml:space="preserve">[Type II] </w:t>
            </w:r>
          </w:p>
          <w:p w:rsidR="00132811" w:rsidRDefault="00243C97">
            <w:pPr>
              <w:spacing w:after="20"/>
              <w:ind w:left="216"/>
            </w:pPr>
            <w:r>
              <w:rPr>
                <w:b/>
                <w:sz w:val="17"/>
              </w:rPr>
              <w:t xml:space="preserve">Issue: </w:t>
            </w:r>
            <w:r>
              <w:rPr>
                <w:sz w:val="17"/>
              </w:rPr>
              <w:t>Omission of age-based imaging-threshold consideration.</w:t>
            </w:r>
          </w:p>
          <w:p w:rsidR="00132811" w:rsidRDefault="00243C97">
            <w:pPr>
              <w:spacing w:after="20"/>
              <w:ind w:left="216"/>
            </w:pPr>
            <w:r>
              <w:rPr>
                <w:b/>
                <w:sz w:val="17"/>
              </w:rPr>
              <w:t xml:space="preserve">Correction: </w:t>
            </w:r>
            <w:r>
              <w:rPr>
                <w:sz w:val="17"/>
              </w:rPr>
              <w:t>Add: Age extremes (infants, elderly) — lower imaging threshold; atypical causes more likely.</w:t>
            </w:r>
          </w:p>
          <w:p w:rsidR="00132811" w:rsidRDefault="00243C97">
            <w:pPr>
              <w:spacing w:after="80"/>
              <w:ind w:left="216"/>
            </w:pPr>
            <w:r>
              <w:rPr>
                <w:b/>
                <w:color w:val="1F3864"/>
                <w:sz w:val="17"/>
              </w:rPr>
              <w:t xml:space="preserve">Refs: </w:t>
            </w:r>
            <w:r>
              <w:rPr>
                <w:i/>
                <w:sz w:val="16"/>
              </w:rPr>
              <w:t>(1) AAN Practice Parameter. | (2) AAP Clinical Reports.</w:t>
            </w:r>
          </w:p>
          <w:p w:rsidR="00132811" w:rsidRDefault="00243C97">
            <w:pPr>
              <w:spacing w:before="40" w:after="20"/>
            </w:pPr>
            <w:r>
              <w:rPr>
                <w:b/>
                <w:color w:val="1F3864"/>
                <w:sz w:val="18"/>
              </w:rPr>
              <w:t xml:space="preserve">21. </w:t>
            </w:r>
            <w:r>
              <w:rPr>
                <w:i/>
                <w:color w:val="2E75B6"/>
                <w:sz w:val="17"/>
              </w:rPr>
              <w:t xml:space="preserve">[Type II] </w:t>
            </w:r>
          </w:p>
          <w:p w:rsidR="00132811" w:rsidRDefault="00243C97">
            <w:pPr>
              <w:spacing w:after="20"/>
              <w:ind w:left="216"/>
            </w:pPr>
            <w:r>
              <w:rPr>
                <w:b/>
                <w:sz w:val="17"/>
              </w:rPr>
              <w:t xml:space="preserve">Issue: </w:t>
            </w:r>
            <w:r>
              <w:rPr>
                <w:sz w:val="17"/>
              </w:rPr>
              <w:t>Omission of negative indication / over-imaging caution.</w:t>
            </w:r>
          </w:p>
          <w:p w:rsidR="00132811" w:rsidRDefault="00243C97">
            <w:pPr>
              <w:spacing w:after="20"/>
              <w:ind w:left="216"/>
            </w:pPr>
            <w:r>
              <w:rPr>
                <w:b/>
                <w:sz w:val="17"/>
              </w:rPr>
              <w:t xml:space="preserve">Correction: </w:t>
            </w:r>
            <w:r>
              <w:rPr>
                <w:sz w:val="17"/>
              </w:rPr>
              <w:t>Add: In well-characterised generalised genetic epilepsy with normal exam and typical EEG, routine MRI has low yield and may produce confounding incidental findings.</w:t>
            </w:r>
          </w:p>
          <w:p w:rsidR="00132811" w:rsidRDefault="00243C97">
            <w:pPr>
              <w:spacing w:after="80"/>
              <w:ind w:left="216"/>
            </w:pPr>
            <w:r>
              <w:rPr>
                <w:b/>
                <w:color w:val="1F3864"/>
                <w:sz w:val="17"/>
              </w:rPr>
              <w:t xml:space="preserve">Refs: </w:t>
            </w:r>
            <w:r>
              <w:rPr>
                <w:i/>
                <w:sz w:val="16"/>
              </w:rPr>
              <w:t>(1) Bernasconi A et al. ILAE recommendations for the use of structural MRI in epilepsy. Epilepsia. 2019;60(6):1054–1068. | (2) NICE Guideline NG217 — Epilepsies in children, young people and adults (2022).</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C47C00"/>
                <w:sz w:val="19"/>
              </w:rPr>
              <w:lastRenderedPageBreak/>
              <w:t>Under discussion</w:t>
            </w:r>
          </w:p>
          <w:p w:rsidR="00132811" w:rsidRDefault="00243C97">
            <w:pPr>
              <w:spacing w:after="40"/>
            </w:pPr>
            <w:r>
              <w:rPr>
                <w:color w:val="333333"/>
                <w:sz w:val="17"/>
              </w:rPr>
              <w:t>Rejected — scientific discussion in progress regarding the rejection; the proposed correction is fully defensible per NICE NG217 (2022), Krumholz et al. (Neurology 2015) and Bernasconi et al. (Epilepsia 2019), and follow-up correspondence has been initiated</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lastRenderedPageBreak/>
              <w:t>3</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Table 28.61 — Complications of meningococcal disease</w:t>
            </w:r>
          </w:p>
          <w:p w:rsidR="00132811" w:rsidRDefault="00243C97">
            <w:pPr>
              <w:spacing w:after="40"/>
            </w:pPr>
            <w:r>
              <w:rPr>
                <w:b/>
                <w:color w:val="2E75B6"/>
                <w:sz w:val="18"/>
              </w:rPr>
              <w:t>9 sub-contributions</w:t>
            </w:r>
          </w:p>
          <w:p w:rsidR="00132811" w:rsidRDefault="00243C97">
            <w:pPr>
              <w:spacing w:after="40"/>
            </w:pPr>
            <w:r>
              <w:rPr>
                <w:color w:val="606060"/>
                <w:sz w:val="17"/>
              </w:rPr>
              <w:t>Type I: 2 · Type II: 7</w:t>
            </w:r>
          </w:p>
          <w:p w:rsidR="00132811" w:rsidRDefault="00243C97">
            <w:pPr>
              <w:spacing w:after="0"/>
            </w:pPr>
            <w:r>
              <w:rPr>
                <w:b/>
                <w:sz w:val="17"/>
              </w:rPr>
              <w:t xml:space="preserve">Source: </w:t>
            </w:r>
            <w:r>
              <w:rPr>
                <w:i/>
                <w:sz w:val="17"/>
              </w:rPr>
              <w:t>Table 28.61, p. 1172 — Complications of meningococcal sepsis</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Conceptual misclassification: meningitis is a primary manifestation, not a complication of sepsis.</w:t>
            </w:r>
          </w:p>
          <w:p w:rsidR="00132811" w:rsidRDefault="00243C97">
            <w:pPr>
              <w:spacing w:after="20"/>
              <w:ind w:left="216"/>
            </w:pPr>
            <w:r>
              <w:rPr>
                <w:b/>
                <w:sz w:val="17"/>
              </w:rPr>
              <w:t xml:space="preserve">Correction: </w:t>
            </w:r>
            <w:r>
              <w:rPr>
                <w:sz w:val="17"/>
              </w:rPr>
              <w:t>Remove: meningitis is a primary manifestation of invasive meningococcal disease.</w:t>
            </w:r>
          </w:p>
          <w:p w:rsidR="00132811" w:rsidRDefault="00243C97">
            <w:pPr>
              <w:spacing w:after="80"/>
              <w:ind w:left="216"/>
            </w:pPr>
            <w:r>
              <w:rPr>
                <w:b/>
                <w:color w:val="1F3864"/>
                <w:sz w:val="17"/>
              </w:rPr>
              <w:t xml:space="preserve">Refs: </w:t>
            </w:r>
            <w:r>
              <w:rPr>
                <w:i/>
                <w:sz w:val="16"/>
              </w:rPr>
              <w:t>(1) Mandell, Douglas, and Bennett's Principles and Practice of Infectious Diseases, 9th ed. | (2) Brandtzaeg P. Pathogenesis and complications of meningococcal disease. Infect Dis Clin North Am. 2015;29(4):629–641.</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clarifying re-framing.</w:t>
            </w:r>
          </w:p>
          <w:p w:rsidR="00132811" w:rsidRDefault="00243C97">
            <w:pPr>
              <w:spacing w:after="20"/>
              <w:ind w:left="216"/>
            </w:pPr>
            <w:r>
              <w:rPr>
                <w:b/>
                <w:sz w:val="17"/>
              </w:rPr>
              <w:t xml:space="preserve">Correction: </w:t>
            </w:r>
            <w:r>
              <w:rPr>
                <w:sz w:val="17"/>
              </w:rPr>
              <w:t>Add: meningitis is a primary manifestation, not a complication.</w:t>
            </w:r>
          </w:p>
          <w:p w:rsidR="00132811" w:rsidRDefault="00243C97">
            <w:pPr>
              <w:spacing w:after="80"/>
              <w:ind w:left="216"/>
            </w:pPr>
            <w:r>
              <w:rPr>
                <w:b/>
                <w:color w:val="1F3864"/>
                <w:sz w:val="17"/>
              </w:rPr>
              <w:t xml:space="preserve">Refs: </w:t>
            </w:r>
            <w:r>
              <w:rPr>
                <w:i/>
                <w:sz w:val="16"/>
              </w:rPr>
              <w:t>(1) Mandell, Douglas, and Bennett's Principles and Practice of Infectious Diseases, 9th ed. | (2) Stephens DS et al. Lancet. 2007;369:2196–2210.</w:t>
            </w:r>
          </w:p>
          <w:p w:rsidR="00132811" w:rsidRDefault="00243C97">
            <w:pPr>
              <w:spacing w:before="40" w:after="20"/>
            </w:pPr>
            <w:r>
              <w:rPr>
                <w:b/>
                <w:color w:val="1F3864"/>
                <w:sz w:val="18"/>
              </w:rPr>
              <w:t xml:space="preserve">3. </w:t>
            </w:r>
            <w:r>
              <w:rPr>
                <w:i/>
                <w:color w:val="2E75B6"/>
                <w:sz w:val="17"/>
              </w:rPr>
              <w:t xml:space="preserve">[Type II] </w:t>
            </w:r>
          </w:p>
          <w:p w:rsidR="00132811" w:rsidRDefault="00243C97">
            <w:pPr>
              <w:spacing w:after="20"/>
              <w:ind w:left="216"/>
            </w:pPr>
            <w:r>
              <w:rPr>
                <w:b/>
                <w:sz w:val="17"/>
              </w:rPr>
              <w:t xml:space="preserve">Issue: </w:t>
            </w:r>
            <w:r>
              <w:rPr>
                <w:sz w:val="17"/>
              </w:rPr>
              <w:t>Omission of classic life-threatening complication.</w:t>
            </w:r>
          </w:p>
          <w:p w:rsidR="00132811" w:rsidRDefault="00243C97">
            <w:pPr>
              <w:spacing w:after="20"/>
              <w:ind w:left="216"/>
            </w:pPr>
            <w:r>
              <w:rPr>
                <w:b/>
                <w:sz w:val="17"/>
              </w:rPr>
              <w:t xml:space="preserve">Correction: </w:t>
            </w:r>
            <w:r>
              <w:rPr>
                <w:sz w:val="17"/>
              </w:rPr>
              <w:t>Add: Waterhouse-Friderichsen syndrome (bilateral adrenal haemorrhage → acute adrenal failure).</w:t>
            </w:r>
          </w:p>
          <w:p w:rsidR="00132811" w:rsidRDefault="00243C97">
            <w:pPr>
              <w:spacing w:after="80"/>
              <w:ind w:left="216"/>
            </w:pPr>
            <w:r>
              <w:rPr>
                <w:b/>
                <w:color w:val="1F3864"/>
                <w:sz w:val="17"/>
              </w:rPr>
              <w:t xml:space="preserve">Refs: </w:t>
            </w:r>
            <w:r>
              <w:rPr>
                <w:i/>
                <w:sz w:val="16"/>
              </w:rPr>
              <w:t>(1) Mandell, Douglas, and Bennett's Principles and Practice of Infectious Diseases, 9th ed. | (2) Brandtzaeg P. Infect Dis Clin North Am. 2015;29(4):629–641. | (3) Stephens DS et al. Lancet. 2007;369:2196–2210.</w:t>
            </w:r>
          </w:p>
          <w:p w:rsidR="00132811" w:rsidRDefault="00243C97">
            <w:pPr>
              <w:spacing w:before="40" w:after="20"/>
            </w:pPr>
            <w:r>
              <w:rPr>
                <w:b/>
                <w:color w:val="1F3864"/>
                <w:sz w:val="18"/>
              </w:rPr>
              <w:t xml:space="preserve">4. </w:t>
            </w:r>
            <w:r>
              <w:rPr>
                <w:i/>
                <w:color w:val="2E75B6"/>
                <w:sz w:val="17"/>
              </w:rPr>
              <w:t xml:space="preserve">[Type II] </w:t>
            </w:r>
          </w:p>
          <w:p w:rsidR="00132811" w:rsidRDefault="00243C97">
            <w:pPr>
              <w:spacing w:after="20"/>
              <w:ind w:left="216"/>
            </w:pPr>
            <w:r>
              <w:rPr>
                <w:b/>
                <w:sz w:val="17"/>
              </w:rPr>
              <w:t xml:space="preserve">Issue: </w:t>
            </w:r>
            <w:r>
              <w:rPr>
                <w:sz w:val="17"/>
              </w:rPr>
              <w:t>Omission of severe-DIC dermal manifestation.</w:t>
            </w:r>
          </w:p>
          <w:p w:rsidR="00132811" w:rsidRDefault="00243C97">
            <w:pPr>
              <w:spacing w:after="20"/>
              <w:ind w:left="216"/>
            </w:pPr>
            <w:r>
              <w:rPr>
                <w:b/>
                <w:sz w:val="17"/>
              </w:rPr>
              <w:t xml:space="preserve">Correction: </w:t>
            </w:r>
            <w:r>
              <w:rPr>
                <w:sz w:val="17"/>
              </w:rPr>
              <w:t>Add: severe DIC with dermal vessel thrombosis leading to necrosis and amputation.</w:t>
            </w:r>
          </w:p>
          <w:p w:rsidR="00132811" w:rsidRDefault="00243C97">
            <w:pPr>
              <w:spacing w:after="80"/>
              <w:ind w:left="216"/>
            </w:pPr>
            <w:r>
              <w:rPr>
                <w:b/>
                <w:color w:val="1F3864"/>
                <w:sz w:val="17"/>
              </w:rPr>
              <w:t xml:space="preserve">Refs: </w:t>
            </w:r>
            <w:r>
              <w:rPr>
                <w:i/>
                <w:sz w:val="16"/>
              </w:rPr>
              <w:t>(1) Mandell, Douglas, and Bennett's Principles and Practice of Infectious Diseases, 9th ed. | (2) Childers BJ et al. Purpura fulminans. Am Surg. 2003;69(5):440–442.</w:t>
            </w:r>
          </w:p>
          <w:p w:rsidR="00132811" w:rsidRDefault="00243C97">
            <w:pPr>
              <w:spacing w:before="40" w:after="20"/>
            </w:pPr>
            <w:r>
              <w:rPr>
                <w:b/>
                <w:color w:val="1F3864"/>
                <w:sz w:val="18"/>
              </w:rPr>
              <w:t xml:space="preserve">5. </w:t>
            </w:r>
            <w:r>
              <w:rPr>
                <w:i/>
                <w:color w:val="2E75B6"/>
                <w:sz w:val="17"/>
              </w:rPr>
              <w:t xml:space="preserve">[Type II] </w:t>
            </w:r>
          </w:p>
          <w:p w:rsidR="00132811" w:rsidRDefault="00243C97">
            <w:pPr>
              <w:spacing w:after="20"/>
              <w:ind w:left="216"/>
            </w:pPr>
            <w:r>
              <w:rPr>
                <w:b/>
                <w:sz w:val="17"/>
              </w:rPr>
              <w:t xml:space="preserve">Issue: </w:t>
            </w:r>
            <w:r>
              <w:rPr>
                <w:sz w:val="17"/>
              </w:rPr>
              <w:t>Omission of pulmonary complication.</w:t>
            </w:r>
          </w:p>
          <w:p w:rsidR="00132811" w:rsidRDefault="00243C97">
            <w:pPr>
              <w:spacing w:after="20"/>
              <w:ind w:left="216"/>
            </w:pPr>
            <w:r>
              <w:rPr>
                <w:b/>
                <w:sz w:val="17"/>
              </w:rPr>
              <w:t xml:space="preserve">Correction: </w:t>
            </w:r>
            <w:r>
              <w:rPr>
                <w:sz w:val="17"/>
              </w:rPr>
              <w:t>Add: ARDS — systemic inflammatory response leading to capillary leak and respiratory failure.</w:t>
            </w:r>
          </w:p>
          <w:p w:rsidR="00132811" w:rsidRDefault="00243C97">
            <w:pPr>
              <w:spacing w:after="80"/>
              <w:ind w:left="216"/>
            </w:pPr>
            <w:r>
              <w:rPr>
                <w:b/>
                <w:color w:val="1F3864"/>
                <w:sz w:val="17"/>
              </w:rPr>
              <w:t xml:space="preserve">Refs: </w:t>
            </w:r>
            <w:r>
              <w:rPr>
                <w:i/>
                <w:sz w:val="16"/>
              </w:rPr>
              <w:t>(1) Mandell, Douglas, and Bennett's Principles and Practice of Infectious Diseases, 9th ed. | (2) Van Deuren M et al. Clin Microbiol Rev. 2000;13(1):144–166.</w:t>
            </w:r>
          </w:p>
          <w:p w:rsidR="00132811" w:rsidRDefault="00243C97">
            <w:pPr>
              <w:spacing w:before="40" w:after="20"/>
            </w:pPr>
            <w:r>
              <w:rPr>
                <w:b/>
                <w:color w:val="1F3864"/>
                <w:sz w:val="18"/>
              </w:rPr>
              <w:t xml:space="preserve">6. </w:t>
            </w:r>
            <w:r>
              <w:rPr>
                <w:i/>
                <w:color w:val="2E75B6"/>
                <w:sz w:val="17"/>
              </w:rPr>
              <w:t xml:space="preserve">[Type II] </w:t>
            </w:r>
          </w:p>
          <w:p w:rsidR="00132811" w:rsidRDefault="00243C97">
            <w:pPr>
              <w:spacing w:after="20"/>
              <w:ind w:left="216"/>
            </w:pPr>
            <w:r>
              <w:rPr>
                <w:b/>
                <w:sz w:val="17"/>
              </w:rPr>
              <w:t xml:space="preserve">Issue: </w:t>
            </w:r>
            <w:r>
              <w:rPr>
                <w:sz w:val="17"/>
              </w:rPr>
              <w:t>Omission of cardiac complication contributing to refractory shock.</w:t>
            </w:r>
          </w:p>
          <w:p w:rsidR="00132811" w:rsidRDefault="00243C97">
            <w:pPr>
              <w:spacing w:after="20"/>
              <w:ind w:left="216"/>
            </w:pPr>
            <w:r>
              <w:rPr>
                <w:b/>
                <w:sz w:val="17"/>
              </w:rPr>
              <w:t xml:space="preserve">Correction: </w:t>
            </w:r>
            <w:r>
              <w:rPr>
                <w:sz w:val="17"/>
              </w:rPr>
              <w:t>Add: myocarditis or myocardial depression — endotoxin- and cytokine-mediated — contributes to refractory shock.</w:t>
            </w:r>
          </w:p>
          <w:p w:rsidR="00132811" w:rsidRDefault="00243C97">
            <w:pPr>
              <w:spacing w:after="80"/>
              <w:ind w:left="216"/>
            </w:pPr>
            <w:r>
              <w:rPr>
                <w:b/>
                <w:color w:val="1F3864"/>
                <w:sz w:val="17"/>
              </w:rPr>
              <w:t xml:space="preserve">Refs: </w:t>
            </w:r>
            <w:r>
              <w:rPr>
                <w:i/>
                <w:sz w:val="16"/>
              </w:rPr>
              <w:t>(1) Mandell, Douglas, and Bennett's Principles and Practice of Infectious Diseases, 9th ed. | (2) Tilford H et al. — meningococcal myocarditis literature.</w:t>
            </w:r>
          </w:p>
          <w:p w:rsidR="00132811" w:rsidRDefault="00243C97">
            <w:pPr>
              <w:spacing w:before="40" w:after="20"/>
            </w:pPr>
            <w:r>
              <w:rPr>
                <w:b/>
                <w:color w:val="1F3864"/>
                <w:sz w:val="18"/>
              </w:rPr>
              <w:t xml:space="preserve">7. </w:t>
            </w:r>
            <w:r>
              <w:rPr>
                <w:i/>
                <w:color w:val="2E75B6"/>
                <w:sz w:val="17"/>
              </w:rPr>
              <w:t xml:space="preserve">[Type II] </w:t>
            </w:r>
          </w:p>
          <w:p w:rsidR="00132811" w:rsidRDefault="00243C97">
            <w:pPr>
              <w:spacing w:after="20"/>
              <w:ind w:left="216"/>
            </w:pPr>
            <w:r>
              <w:rPr>
                <w:b/>
                <w:sz w:val="17"/>
              </w:rPr>
              <w:t xml:space="preserve">Issue: </w:t>
            </w:r>
            <w:r>
              <w:rPr>
                <w:sz w:val="17"/>
              </w:rPr>
              <w:t>Omission of common long-term sequela.</w:t>
            </w:r>
          </w:p>
          <w:p w:rsidR="00132811" w:rsidRDefault="00243C97">
            <w:pPr>
              <w:spacing w:after="20"/>
              <w:ind w:left="216"/>
            </w:pPr>
            <w:r>
              <w:rPr>
                <w:b/>
                <w:sz w:val="17"/>
              </w:rPr>
              <w:t xml:space="preserve">Correction: </w:t>
            </w:r>
            <w:r>
              <w:rPr>
                <w:sz w:val="17"/>
              </w:rPr>
              <w:t>Add: cochlear damage following meningitic inflammation — a common long-term sequela.</w:t>
            </w:r>
          </w:p>
          <w:p w:rsidR="00132811" w:rsidRDefault="00243C97">
            <w:pPr>
              <w:spacing w:after="80"/>
              <w:ind w:left="216"/>
            </w:pPr>
            <w:r>
              <w:rPr>
                <w:b/>
                <w:color w:val="1F3864"/>
                <w:sz w:val="17"/>
              </w:rPr>
              <w:t xml:space="preserve">Refs: </w:t>
            </w:r>
            <w:r>
              <w:rPr>
                <w:i/>
                <w:sz w:val="16"/>
              </w:rPr>
              <w:t>(1) Mandell, Douglas, and Bennett's Principles and Practice of Infectious Diseases, 9th ed. | (2) Worsøe L et al. Clin Infect Dis. 2010 — hearing loss after bacterial meningitis.</w:t>
            </w:r>
          </w:p>
          <w:p w:rsidR="00132811" w:rsidRDefault="00243C97">
            <w:pPr>
              <w:spacing w:before="40" w:after="20"/>
            </w:pPr>
            <w:r>
              <w:rPr>
                <w:b/>
                <w:color w:val="1F3864"/>
                <w:sz w:val="18"/>
              </w:rPr>
              <w:t xml:space="preserve">8. </w:t>
            </w:r>
            <w:r>
              <w:rPr>
                <w:i/>
                <w:color w:val="2E75B6"/>
                <w:sz w:val="17"/>
              </w:rPr>
              <w:t xml:space="preserve">[Type II] </w:t>
            </w:r>
          </w:p>
          <w:p w:rsidR="00132811" w:rsidRDefault="00243C97">
            <w:pPr>
              <w:spacing w:after="20"/>
              <w:ind w:left="216"/>
            </w:pPr>
            <w:r>
              <w:rPr>
                <w:b/>
                <w:sz w:val="17"/>
              </w:rPr>
              <w:t xml:space="preserve">Issue: </w:t>
            </w:r>
            <w:r>
              <w:rPr>
                <w:sz w:val="17"/>
              </w:rPr>
              <w:t>Omission of broader neurological-sequelae category.</w:t>
            </w:r>
          </w:p>
          <w:p w:rsidR="00132811" w:rsidRDefault="00243C97">
            <w:pPr>
              <w:spacing w:after="20"/>
              <w:ind w:left="216"/>
            </w:pPr>
            <w:r>
              <w:rPr>
                <w:b/>
                <w:sz w:val="17"/>
              </w:rPr>
              <w:t xml:space="preserve">Correction: </w:t>
            </w:r>
            <w:r>
              <w:rPr>
                <w:sz w:val="17"/>
              </w:rPr>
              <w:t>Add: ischaemic or inflammatory CNS damage in survivors.</w:t>
            </w:r>
          </w:p>
          <w:p w:rsidR="00132811" w:rsidRDefault="00243C97">
            <w:pPr>
              <w:spacing w:after="80"/>
              <w:ind w:left="216"/>
            </w:pPr>
            <w:r>
              <w:rPr>
                <w:b/>
                <w:color w:val="1F3864"/>
                <w:sz w:val="17"/>
              </w:rPr>
              <w:t xml:space="preserve">Refs: </w:t>
            </w:r>
            <w:r>
              <w:rPr>
                <w:i/>
                <w:sz w:val="16"/>
              </w:rPr>
              <w:t>(1) Mandell, Douglas, and Bennett's Principles and Practice of Infectious Diseases, 9th ed. | (2) Van Deuren M et al. Clin Microbiol Rev. 2000;13(1):144–166.</w:t>
            </w:r>
          </w:p>
          <w:p w:rsidR="00132811" w:rsidRDefault="00243C97">
            <w:pPr>
              <w:spacing w:before="40" w:after="20"/>
            </w:pPr>
            <w:r>
              <w:rPr>
                <w:b/>
                <w:color w:val="1F3864"/>
                <w:sz w:val="18"/>
              </w:rPr>
              <w:lastRenderedPageBreak/>
              <w:t xml:space="preserve">9. </w:t>
            </w:r>
            <w:r>
              <w:rPr>
                <w:i/>
                <w:color w:val="2E75B6"/>
                <w:sz w:val="17"/>
              </w:rPr>
              <w:t xml:space="preserve">[Type I] </w:t>
            </w:r>
          </w:p>
          <w:p w:rsidR="00132811" w:rsidRDefault="00243C97">
            <w:pPr>
              <w:spacing w:after="20"/>
              <w:ind w:left="216"/>
            </w:pPr>
            <w:r>
              <w:rPr>
                <w:b/>
                <w:sz w:val="17"/>
              </w:rPr>
              <w:t xml:space="preserve">Issue: </w:t>
            </w:r>
            <w:r>
              <w:rPr>
                <w:sz w:val="17"/>
              </w:rPr>
              <w:t>Typographical error.</w:t>
            </w:r>
          </w:p>
          <w:p w:rsidR="00132811" w:rsidRDefault="00243C97">
            <w:pPr>
              <w:spacing w:after="20"/>
              <w:ind w:left="216"/>
            </w:pPr>
            <w:r>
              <w:rPr>
                <w:b/>
                <w:sz w:val="17"/>
              </w:rPr>
              <w:t xml:space="preserve">Correction: </w:t>
            </w:r>
            <w:r>
              <w:rPr>
                <w:sz w:val="17"/>
              </w:rPr>
              <w:t>Correct to "renal failure."</w:t>
            </w:r>
          </w:p>
          <w:p w:rsidR="00132811" w:rsidRDefault="00243C97">
            <w:pPr>
              <w:spacing w:after="80"/>
              <w:ind w:left="216"/>
            </w:pPr>
            <w:r>
              <w:rPr>
                <w:b/>
                <w:color w:val="1F3864"/>
                <w:sz w:val="17"/>
              </w:rPr>
              <w:t xml:space="preserve">Refs: </w:t>
            </w:r>
            <w:r>
              <w:rPr>
                <w:i/>
                <w:sz w:val="16"/>
              </w:rPr>
              <w:t>(1) Editorial / typographical correction. | (2) Standard English-language editorial reference.</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1F6E1F"/>
                <w:sz w:val="19"/>
              </w:rPr>
              <w:lastRenderedPageBreak/>
              <w:t>Accepted</w:t>
            </w:r>
          </w:p>
          <w:p w:rsidR="00132811" w:rsidRDefault="00243C97">
            <w:pPr>
              <w:spacing w:after="40"/>
            </w:pPr>
            <w:r>
              <w:rPr>
                <w:color w:val="333333"/>
                <w:sz w:val="17"/>
              </w:rPr>
              <w:t>Accepted — Confirmed by the Elsevier editorial team for the 25th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lastRenderedPageBreak/>
              <w:t>4</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Table 28.52 — Physical signs in Parkinson's disease</w:t>
            </w:r>
          </w:p>
          <w:p w:rsidR="00132811" w:rsidRDefault="00243C97">
            <w:pPr>
              <w:spacing w:after="40"/>
            </w:pPr>
            <w:r>
              <w:rPr>
                <w:b/>
                <w:color w:val="2E75B6"/>
                <w:sz w:val="18"/>
              </w:rPr>
              <w:t>6 sub-contributions</w:t>
            </w:r>
          </w:p>
          <w:p w:rsidR="00132811" w:rsidRDefault="00243C97">
            <w:pPr>
              <w:spacing w:after="40"/>
            </w:pPr>
            <w:r>
              <w:rPr>
                <w:color w:val="606060"/>
                <w:sz w:val="17"/>
              </w:rPr>
              <w:t>Type I: 3 · Type II: 3</w:t>
            </w:r>
          </w:p>
          <w:p w:rsidR="00132811" w:rsidRDefault="00243C97">
            <w:pPr>
              <w:spacing w:after="0"/>
            </w:pPr>
            <w:r>
              <w:rPr>
                <w:b/>
                <w:sz w:val="17"/>
              </w:rPr>
              <w:t xml:space="preserve">Source: </w:t>
            </w:r>
            <w:r>
              <w:rPr>
                <w:i/>
                <w:sz w:val="17"/>
              </w:rPr>
              <w:t>Table 28.52, p. 1166 — Physical signs in Parkinson's disease</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Parkinsonian resting tremor typically decreases with voluntary movement, including walking.</w:t>
            </w:r>
          </w:p>
          <w:p w:rsidR="00132811" w:rsidRDefault="00243C97">
            <w:pPr>
              <w:spacing w:after="20"/>
              <w:ind w:left="216"/>
            </w:pPr>
            <w:r>
              <w:rPr>
                <w:b/>
                <w:sz w:val="17"/>
              </w:rPr>
              <w:t xml:space="preserve">Correction: </w:t>
            </w:r>
            <w:r>
              <w:rPr>
                <w:sz w:val="17"/>
              </w:rPr>
              <w:t>Correct: Parkinsonian resting tremor typically decreases with voluntary movement (including walking).</w:t>
            </w:r>
          </w:p>
          <w:p w:rsidR="00132811" w:rsidRDefault="00243C97">
            <w:pPr>
              <w:spacing w:after="80"/>
              <w:ind w:left="216"/>
            </w:pPr>
            <w:r>
              <w:rPr>
                <w:b/>
                <w:color w:val="1F3864"/>
                <w:sz w:val="17"/>
              </w:rPr>
              <w:t xml:space="preserve">Refs: </w:t>
            </w:r>
            <w:r>
              <w:rPr>
                <w:i/>
                <w:sz w:val="16"/>
              </w:rPr>
              <w:t>(1) Bradley's Neurology in Clinical Practice, 8th ed. | (2) Postuma RB et al. MDS Clinical Diagnostic Criteria for Parkinson's Disease. Mov Disord. 2015;30:1591–1601. | (3) Jankovic J. Parkinson's disease: clinical features and diagnosis. J Neurol Neurosurg Psychiatry. 2008;79:368–376.</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characteristic re-emergent phenomenon.</w:t>
            </w:r>
          </w:p>
          <w:p w:rsidR="00132811" w:rsidRDefault="00243C97">
            <w:pPr>
              <w:spacing w:after="20"/>
              <w:ind w:left="216"/>
            </w:pPr>
            <w:r>
              <w:rPr>
                <w:b/>
                <w:sz w:val="17"/>
              </w:rPr>
              <w:t xml:space="preserve">Correction: </w:t>
            </w:r>
            <w:r>
              <w:rPr>
                <w:sz w:val="17"/>
              </w:rPr>
              <w:t>Add: Resting tremor may re-emerge after a latency period when the limb is held still ("re-emergent tremor").</w:t>
            </w:r>
          </w:p>
          <w:p w:rsidR="00132811" w:rsidRDefault="00243C97">
            <w:pPr>
              <w:spacing w:after="80"/>
              <w:ind w:left="216"/>
            </w:pPr>
            <w:r>
              <w:rPr>
                <w:b/>
                <w:color w:val="1F3864"/>
                <w:sz w:val="17"/>
              </w:rPr>
              <w:t xml:space="preserve">Refs: </w:t>
            </w:r>
            <w:r>
              <w:rPr>
                <w:i/>
                <w:sz w:val="16"/>
              </w:rPr>
              <w:t>(1) Jankovic J. J Neurol Neurosurg Psychiatry. 2008;79:368–376. | (2) Postuma RB et al. MDS Clinical Diagnostic Criteria for Parkinson's Disease. Mov Disord. 2015;30:1591–1601.</w:t>
            </w:r>
          </w:p>
          <w:p w:rsidR="00132811" w:rsidRDefault="00243C97">
            <w:pPr>
              <w:spacing w:before="40" w:after="20"/>
            </w:pPr>
            <w:r>
              <w:rPr>
                <w:b/>
                <w:color w:val="1F3864"/>
                <w:sz w:val="18"/>
              </w:rPr>
              <w:t xml:space="preserve">3. </w:t>
            </w:r>
            <w:r>
              <w:rPr>
                <w:i/>
                <w:color w:val="2E75B6"/>
                <w:sz w:val="17"/>
              </w:rPr>
              <w:t xml:space="preserve">[Type II] </w:t>
            </w:r>
          </w:p>
          <w:p w:rsidR="00132811" w:rsidRDefault="00243C97">
            <w:pPr>
              <w:spacing w:after="20"/>
              <w:ind w:left="216"/>
            </w:pPr>
            <w:r>
              <w:rPr>
                <w:b/>
                <w:sz w:val="17"/>
              </w:rPr>
              <w:t xml:space="preserve">Issue: </w:t>
            </w:r>
            <w:r>
              <w:rPr>
                <w:sz w:val="17"/>
              </w:rPr>
              <w:t>Omission of clarifying note.</w:t>
            </w:r>
          </w:p>
          <w:p w:rsidR="00132811" w:rsidRDefault="00243C97">
            <w:pPr>
              <w:spacing w:after="20"/>
              <w:ind w:left="216"/>
            </w:pPr>
            <w:r>
              <w:rPr>
                <w:b/>
                <w:sz w:val="17"/>
              </w:rPr>
              <w:t xml:space="preserve">Correction: </w:t>
            </w:r>
            <w:r>
              <w:rPr>
                <w:sz w:val="17"/>
              </w:rPr>
              <w:t>Clarify: apparent tremor worsening during walking may reflect reduced arm swing rather than true exacerbation.</w:t>
            </w:r>
          </w:p>
          <w:p w:rsidR="00132811" w:rsidRDefault="00243C97">
            <w:pPr>
              <w:spacing w:after="80"/>
              <w:ind w:left="216"/>
            </w:pPr>
            <w:r>
              <w:rPr>
                <w:b/>
                <w:color w:val="1F3864"/>
                <w:sz w:val="17"/>
              </w:rPr>
              <w:t xml:space="preserve">Refs: </w:t>
            </w:r>
            <w:r>
              <w:rPr>
                <w:i/>
                <w:sz w:val="16"/>
              </w:rPr>
              <w:t>(1) Jankovic J. J Neurol Neurosurg Psychiatry. 2008;79:368–376. | (2) Bradley's Neurology in Clinical Practice, 8th ed.</w:t>
            </w:r>
          </w:p>
          <w:p w:rsidR="00132811" w:rsidRDefault="00243C97">
            <w:pPr>
              <w:spacing w:before="40" w:after="20"/>
            </w:pPr>
            <w:r>
              <w:rPr>
                <w:b/>
                <w:color w:val="1F3864"/>
                <w:sz w:val="18"/>
              </w:rPr>
              <w:t xml:space="preserve">4. </w:t>
            </w:r>
            <w:r>
              <w:rPr>
                <w:i/>
                <w:color w:val="2E75B6"/>
                <w:sz w:val="17"/>
              </w:rPr>
              <w:t xml:space="preserve">[Type I] </w:t>
            </w:r>
          </w:p>
          <w:p w:rsidR="00132811" w:rsidRDefault="00243C97">
            <w:pPr>
              <w:spacing w:after="20"/>
              <w:ind w:left="216"/>
            </w:pPr>
            <w:r>
              <w:rPr>
                <w:b/>
                <w:sz w:val="17"/>
              </w:rPr>
              <w:t xml:space="preserve">Issue: </w:t>
            </w:r>
            <w:r>
              <w:rPr>
                <w:sz w:val="17"/>
              </w:rPr>
              <w:t>Inaccurate: Parkinsonian postural tremor is characteristically re-emergent (delayed).</w:t>
            </w:r>
          </w:p>
          <w:p w:rsidR="00132811" w:rsidRDefault="00243C97">
            <w:pPr>
              <w:spacing w:after="20"/>
              <w:ind w:left="216"/>
            </w:pPr>
            <w:r>
              <w:rPr>
                <w:b/>
                <w:sz w:val="17"/>
              </w:rPr>
              <w:t xml:space="preserve">Correction: </w:t>
            </w:r>
            <w:r>
              <w:rPr>
                <w:sz w:val="17"/>
              </w:rPr>
              <w:t>Remove "immediately" — Parkinsonian postural tremor appears after a delay.</w:t>
            </w:r>
          </w:p>
          <w:p w:rsidR="00132811" w:rsidRDefault="00243C97">
            <w:pPr>
              <w:spacing w:after="80"/>
              <w:ind w:left="216"/>
            </w:pPr>
            <w:r>
              <w:rPr>
                <w:b/>
                <w:color w:val="1F3864"/>
                <w:sz w:val="17"/>
              </w:rPr>
              <w:t xml:space="preserve">Refs: </w:t>
            </w:r>
            <w:r>
              <w:rPr>
                <w:i/>
                <w:sz w:val="16"/>
              </w:rPr>
              <w:t>(1) Postuma RB et al. MDS Clinical Diagnostic Criteria for Parkinson's Disease. Mov Disord. 2015;30:1591–1601. | (2) Thenganatt MA, Louis ED. Curr Neurol Neurosci Rep. 2012;12(4):372–379.</w:t>
            </w:r>
          </w:p>
          <w:p w:rsidR="00132811" w:rsidRDefault="00243C97">
            <w:pPr>
              <w:spacing w:before="40" w:after="20"/>
            </w:pPr>
            <w:r>
              <w:rPr>
                <w:b/>
                <w:color w:val="1F3864"/>
                <w:sz w:val="18"/>
              </w:rPr>
              <w:t xml:space="preserve">5. </w:t>
            </w:r>
            <w:r>
              <w:rPr>
                <w:i/>
                <w:color w:val="2E75B6"/>
                <w:sz w:val="17"/>
              </w:rPr>
              <w:t xml:space="preserve">[Type II] </w:t>
            </w:r>
          </w:p>
          <w:p w:rsidR="00132811" w:rsidRDefault="00243C97">
            <w:pPr>
              <w:spacing w:after="20"/>
              <w:ind w:left="216"/>
            </w:pPr>
            <w:r>
              <w:rPr>
                <w:b/>
                <w:sz w:val="17"/>
              </w:rPr>
              <w:t xml:space="preserve">Issue: </w:t>
            </w:r>
            <w:r>
              <w:rPr>
                <w:sz w:val="17"/>
              </w:rPr>
              <w:t>Omission of clinically important distinguishing note.</w:t>
            </w:r>
          </w:p>
          <w:p w:rsidR="00132811" w:rsidRDefault="00243C97">
            <w:pPr>
              <w:spacing w:after="20"/>
              <w:ind w:left="216"/>
            </w:pPr>
            <w:r>
              <w:rPr>
                <w:b/>
                <w:sz w:val="17"/>
              </w:rPr>
              <w:t xml:space="preserve">Correction: </w:t>
            </w:r>
            <w:r>
              <w:rPr>
                <w:sz w:val="17"/>
              </w:rPr>
              <w:t>Add: immediate postural tremor is more typical of essential tremor — clinically important distinction.</w:t>
            </w:r>
          </w:p>
          <w:p w:rsidR="00132811" w:rsidRDefault="00243C97">
            <w:pPr>
              <w:spacing w:after="80"/>
              <w:ind w:left="216"/>
            </w:pPr>
            <w:r>
              <w:rPr>
                <w:b/>
                <w:color w:val="1F3864"/>
                <w:sz w:val="17"/>
              </w:rPr>
              <w:t xml:space="preserve">Refs: </w:t>
            </w:r>
            <w:r>
              <w:rPr>
                <w:i/>
                <w:sz w:val="16"/>
              </w:rPr>
              <w:t>(1) Bhatia KP et al. Consensus Statement on the classification of tremors. Mov Disord. 2018;33:75–87. | (2) Thenganatt MA, Louis ED. Curr Neurol Neurosci Rep. 2012;12(4):372–379.</w:t>
            </w:r>
          </w:p>
          <w:p w:rsidR="00132811" w:rsidRDefault="00243C97">
            <w:pPr>
              <w:spacing w:before="40" w:after="20"/>
            </w:pPr>
            <w:r>
              <w:rPr>
                <w:b/>
                <w:color w:val="1F3864"/>
                <w:sz w:val="18"/>
              </w:rPr>
              <w:t xml:space="preserve">6. </w:t>
            </w:r>
            <w:r>
              <w:rPr>
                <w:i/>
                <w:color w:val="2E75B6"/>
                <w:sz w:val="17"/>
              </w:rPr>
              <w:t xml:space="preserve">[Type I] </w:t>
            </w:r>
          </w:p>
          <w:p w:rsidR="00132811" w:rsidRDefault="00243C97">
            <w:pPr>
              <w:spacing w:after="20"/>
              <w:ind w:left="216"/>
            </w:pPr>
            <w:r>
              <w:rPr>
                <w:b/>
                <w:sz w:val="17"/>
              </w:rPr>
              <w:t xml:space="preserve">Issue: </w:t>
            </w:r>
            <w:r>
              <w:rPr>
                <w:sz w:val="17"/>
              </w:rPr>
              <w:t>Statement too absolute; head/neck involvement occasionally occurs.</w:t>
            </w:r>
          </w:p>
          <w:p w:rsidR="00132811" w:rsidRDefault="00243C97">
            <w:pPr>
              <w:spacing w:after="20"/>
              <w:ind w:left="216"/>
            </w:pPr>
            <w:r>
              <w:rPr>
                <w:b/>
                <w:sz w:val="17"/>
              </w:rPr>
              <w:t xml:space="preserve">Correction: </w:t>
            </w:r>
            <w:r>
              <w:rPr>
                <w:sz w:val="17"/>
              </w:rPr>
              <w:t>Remove "but not the head" — occasional head/neck involvement can occur in Parkinson's disease.</w:t>
            </w:r>
          </w:p>
          <w:p w:rsidR="00132811" w:rsidRDefault="00243C97">
            <w:pPr>
              <w:spacing w:after="80"/>
              <w:ind w:left="216"/>
            </w:pPr>
            <w:r>
              <w:rPr>
                <w:b/>
                <w:color w:val="1F3864"/>
                <w:sz w:val="17"/>
              </w:rPr>
              <w:t xml:space="preserve">Refs: </w:t>
            </w:r>
            <w:r>
              <w:rPr>
                <w:i/>
                <w:sz w:val="16"/>
              </w:rPr>
              <w:t>(1) Postuma RB et al. MDS Clinical Diagnostic Criteria for Parkinson's Disease. Mov Disord. 2015;30:1591–1601. | (2) Bhatia KP et al. Mov Disord. 2018;33:75–87.</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1F6E1F"/>
                <w:sz w:val="19"/>
              </w:rPr>
              <w:t>Accepted</w:t>
            </w:r>
          </w:p>
          <w:p w:rsidR="00132811" w:rsidRDefault="00243C97">
            <w:pPr>
              <w:spacing w:after="40"/>
            </w:pPr>
            <w:r>
              <w:rPr>
                <w:color w:val="333333"/>
                <w:sz w:val="17"/>
              </w:rPr>
              <w:t>Accepted — Confirmed by the Elsevier editorial team for the 25th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lastRenderedPageBreak/>
              <w:t>5</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Table 26.73 — Adverse effects of bisphosphonates</w:t>
            </w:r>
          </w:p>
          <w:p w:rsidR="00132811" w:rsidRDefault="00243C97">
            <w:pPr>
              <w:spacing w:after="40"/>
            </w:pPr>
            <w:r>
              <w:rPr>
                <w:b/>
                <w:color w:val="2E75B6"/>
                <w:sz w:val="18"/>
              </w:rPr>
              <w:t>7 sub-contributions</w:t>
            </w:r>
          </w:p>
          <w:p w:rsidR="00132811" w:rsidRDefault="00243C97">
            <w:pPr>
              <w:spacing w:after="40"/>
            </w:pPr>
            <w:r>
              <w:rPr>
                <w:color w:val="606060"/>
                <w:sz w:val="17"/>
              </w:rPr>
              <w:t>Type I: 5 · Type II: 2</w:t>
            </w:r>
          </w:p>
          <w:p w:rsidR="00132811" w:rsidRDefault="00243C97">
            <w:pPr>
              <w:spacing w:after="0"/>
            </w:pPr>
            <w:r>
              <w:rPr>
                <w:b/>
                <w:sz w:val="17"/>
              </w:rPr>
              <w:t xml:space="preserve">Source: </w:t>
            </w:r>
            <w:r>
              <w:rPr>
                <w:i/>
                <w:sz w:val="17"/>
              </w:rPr>
              <w:t>Table 26.73, p. 1052 — Adverse effects of bisphosphonates</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II] </w:t>
            </w:r>
          </w:p>
          <w:p w:rsidR="00132811" w:rsidRDefault="00243C97">
            <w:pPr>
              <w:spacing w:after="20"/>
              <w:ind w:left="216"/>
            </w:pPr>
            <w:r>
              <w:rPr>
                <w:b/>
                <w:sz w:val="17"/>
              </w:rPr>
              <w:t xml:space="preserve">Issue: </w:t>
            </w:r>
            <w:r>
              <w:rPr>
                <w:sz w:val="17"/>
              </w:rPr>
              <w:t>Omission of documented adverse effect.</w:t>
            </w:r>
          </w:p>
          <w:p w:rsidR="00132811" w:rsidRDefault="00243C97">
            <w:pPr>
              <w:spacing w:after="20"/>
              <w:ind w:left="216"/>
            </w:pPr>
            <w:r>
              <w:rPr>
                <w:b/>
                <w:sz w:val="17"/>
              </w:rPr>
              <w:t xml:space="preserve">Correction: </w:t>
            </w:r>
            <w:r>
              <w:rPr>
                <w:sz w:val="17"/>
              </w:rPr>
              <w:t>Add: AKI, especially with IV bisphosphonates (notably zoledronic acid).</w:t>
            </w:r>
          </w:p>
          <w:p w:rsidR="00132811" w:rsidRDefault="00243C97">
            <w:pPr>
              <w:spacing w:after="80"/>
              <w:ind w:left="216"/>
            </w:pPr>
            <w:r>
              <w:rPr>
                <w:b/>
                <w:color w:val="1F3864"/>
                <w:sz w:val="17"/>
              </w:rPr>
              <w:t xml:space="preserve">Refs: </w:t>
            </w:r>
            <w:r>
              <w:rPr>
                <w:i/>
                <w:sz w:val="16"/>
              </w:rPr>
              <w:t>(1) FDA Drug Safety Communication on Zoledronic Acid (2011). | (2) Perazella MA. Clin J Am Soc Nephrol. 2008. | (3) MHRA Drug Safety Update. 2011;4(9).</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disabling adverse effect.</w:t>
            </w:r>
          </w:p>
          <w:p w:rsidR="00132811" w:rsidRDefault="00243C97">
            <w:pPr>
              <w:spacing w:after="20"/>
              <w:ind w:left="216"/>
            </w:pPr>
            <w:r>
              <w:rPr>
                <w:b/>
                <w:sz w:val="17"/>
              </w:rPr>
              <w:t xml:space="preserve">Correction: </w:t>
            </w:r>
            <w:r>
              <w:rPr>
                <w:sz w:val="17"/>
              </w:rPr>
              <w:t>Add: severe musculoskeletal pain as a recognised adverse effect.</w:t>
            </w:r>
          </w:p>
          <w:p w:rsidR="00132811" w:rsidRDefault="00243C97">
            <w:pPr>
              <w:spacing w:after="80"/>
              <w:ind w:left="216"/>
            </w:pPr>
            <w:r>
              <w:rPr>
                <w:b/>
                <w:color w:val="1F3864"/>
                <w:sz w:val="17"/>
              </w:rPr>
              <w:t xml:space="preserve">Refs: </w:t>
            </w:r>
            <w:r>
              <w:rPr>
                <w:i/>
                <w:sz w:val="16"/>
              </w:rPr>
              <w:t>(1) FDA 2008 Safety Alert on Bisphosphonates and Musculoskeletal Pain. | (2) MHRA Drug Safety Update.</w:t>
            </w:r>
          </w:p>
          <w:p w:rsidR="00132811" w:rsidRDefault="00243C97">
            <w:pPr>
              <w:spacing w:before="40" w:after="20"/>
            </w:pPr>
            <w:r>
              <w:rPr>
                <w:b/>
                <w:color w:val="1F3864"/>
                <w:sz w:val="18"/>
              </w:rPr>
              <w:t xml:space="preserve">3. </w:t>
            </w:r>
            <w:r>
              <w:rPr>
                <w:i/>
                <w:color w:val="2E75B6"/>
                <w:sz w:val="17"/>
              </w:rPr>
              <w:t xml:space="preserve">[Type I] </w:t>
            </w:r>
          </w:p>
          <w:p w:rsidR="00132811" w:rsidRDefault="00243C97">
            <w:pPr>
              <w:spacing w:after="20"/>
              <w:ind w:left="216"/>
            </w:pPr>
            <w:r>
              <w:rPr>
                <w:b/>
                <w:sz w:val="17"/>
              </w:rPr>
              <w:t xml:space="preserve">Issue: </w:t>
            </w:r>
            <w:r>
              <w:rPr>
                <w:sz w:val="17"/>
              </w:rPr>
              <w:t>Omission of administration-related risk factor.</w:t>
            </w:r>
          </w:p>
          <w:p w:rsidR="00132811" w:rsidRDefault="00243C97">
            <w:pPr>
              <w:spacing w:after="20"/>
              <w:ind w:left="216"/>
            </w:pPr>
            <w:r>
              <w:rPr>
                <w:b/>
                <w:sz w:val="17"/>
              </w:rPr>
              <w:t xml:space="preserve">Correction: </w:t>
            </w:r>
            <w:r>
              <w:rPr>
                <w:sz w:val="17"/>
              </w:rPr>
              <w:t>Add: AKI risk is increased with rapid infusion.</w:t>
            </w:r>
          </w:p>
          <w:p w:rsidR="00132811" w:rsidRDefault="00243C97">
            <w:pPr>
              <w:spacing w:after="80"/>
              <w:ind w:left="216"/>
            </w:pPr>
            <w:r>
              <w:rPr>
                <w:b/>
                <w:color w:val="1F3864"/>
                <w:sz w:val="17"/>
              </w:rPr>
              <w:t xml:space="preserve">Refs: </w:t>
            </w:r>
            <w:r>
              <w:rPr>
                <w:i/>
                <w:sz w:val="16"/>
              </w:rPr>
              <w:t>(1) Manufacturer Prescribing Information — Zoledronic Acid. | (2) FDA Drug Safety Communication.</w:t>
            </w:r>
          </w:p>
          <w:p w:rsidR="00132811" w:rsidRDefault="00243C97">
            <w:pPr>
              <w:spacing w:before="40" w:after="20"/>
            </w:pPr>
            <w:r>
              <w:rPr>
                <w:b/>
                <w:color w:val="1F3864"/>
                <w:sz w:val="18"/>
              </w:rPr>
              <w:t xml:space="preserve">4. </w:t>
            </w:r>
            <w:r>
              <w:rPr>
                <w:i/>
                <w:color w:val="2E75B6"/>
                <w:sz w:val="17"/>
              </w:rPr>
              <w:t xml:space="preserve">[Type I] </w:t>
            </w:r>
          </w:p>
          <w:p w:rsidR="00132811" w:rsidRDefault="00243C97">
            <w:pPr>
              <w:spacing w:after="20"/>
              <w:ind w:left="216"/>
            </w:pPr>
            <w:r>
              <w:rPr>
                <w:b/>
                <w:sz w:val="17"/>
              </w:rPr>
              <w:t xml:space="preserve">Issue: </w:t>
            </w:r>
            <w:r>
              <w:rPr>
                <w:sz w:val="17"/>
              </w:rPr>
              <w:t>Omission of baseline-renal-function risk factor.</w:t>
            </w:r>
          </w:p>
          <w:p w:rsidR="00132811" w:rsidRDefault="00243C97">
            <w:pPr>
              <w:spacing w:after="20"/>
              <w:ind w:left="216"/>
            </w:pPr>
            <w:r>
              <w:rPr>
                <w:b/>
                <w:sz w:val="17"/>
              </w:rPr>
              <w:t xml:space="preserve">Correction: </w:t>
            </w:r>
            <w:r>
              <w:rPr>
                <w:sz w:val="17"/>
              </w:rPr>
              <w:t>Add: risk is increased with pre-existing renal impairment / reduced baseline eGFR.</w:t>
            </w:r>
          </w:p>
          <w:p w:rsidR="00132811" w:rsidRDefault="00243C97">
            <w:pPr>
              <w:spacing w:after="80"/>
              <w:ind w:left="216"/>
            </w:pPr>
            <w:r>
              <w:rPr>
                <w:b/>
                <w:color w:val="1F3864"/>
                <w:sz w:val="17"/>
              </w:rPr>
              <w:t xml:space="preserve">Refs: </w:t>
            </w:r>
            <w:r>
              <w:rPr>
                <w:i/>
                <w:sz w:val="16"/>
              </w:rPr>
              <w:t>(1) FDA Drug Safety Communication. | (2) UpToDate — Bisphosphonate Therapy (Drug-induced Nephrotoxicity).</w:t>
            </w:r>
          </w:p>
          <w:p w:rsidR="00132811" w:rsidRDefault="00243C97">
            <w:pPr>
              <w:spacing w:before="40" w:after="20"/>
            </w:pPr>
            <w:r>
              <w:rPr>
                <w:b/>
                <w:color w:val="1F3864"/>
                <w:sz w:val="18"/>
              </w:rPr>
              <w:t xml:space="preserve">5. </w:t>
            </w:r>
            <w:r>
              <w:rPr>
                <w:i/>
                <w:color w:val="2E75B6"/>
                <w:sz w:val="17"/>
              </w:rPr>
              <w:t xml:space="preserve">[Type I] </w:t>
            </w:r>
          </w:p>
          <w:p w:rsidR="00132811" w:rsidRDefault="00243C97">
            <w:pPr>
              <w:spacing w:after="20"/>
              <w:ind w:left="216"/>
            </w:pPr>
            <w:r>
              <w:rPr>
                <w:b/>
                <w:sz w:val="17"/>
              </w:rPr>
              <w:t xml:space="preserve">Issue: </w:t>
            </w:r>
            <w:r>
              <w:rPr>
                <w:sz w:val="17"/>
              </w:rPr>
              <w:t>Omission of explicit eGFR-based contraindication.</w:t>
            </w:r>
          </w:p>
          <w:p w:rsidR="00132811" w:rsidRDefault="00243C97">
            <w:pPr>
              <w:spacing w:after="20"/>
              <w:ind w:left="216"/>
            </w:pPr>
            <w:r>
              <w:rPr>
                <w:b/>
                <w:sz w:val="17"/>
              </w:rPr>
              <w:t xml:space="preserve">Correction: </w:t>
            </w:r>
            <w:r>
              <w:rPr>
                <w:sz w:val="17"/>
              </w:rPr>
              <w:t>Add explicit contraindication threshold sentence at end of bisphosphonates paragraph.</w:t>
            </w:r>
          </w:p>
          <w:p w:rsidR="00132811" w:rsidRDefault="00243C97">
            <w:pPr>
              <w:spacing w:after="80"/>
              <w:ind w:left="216"/>
            </w:pPr>
            <w:r>
              <w:rPr>
                <w:b/>
                <w:color w:val="1F3864"/>
                <w:sz w:val="17"/>
              </w:rPr>
              <w:t xml:space="preserve">Refs: </w:t>
            </w:r>
            <w:r>
              <w:rPr>
                <w:i/>
                <w:sz w:val="16"/>
              </w:rPr>
              <w:t>(1) BNF — Bisphosphonates entry. | (2) Manufacturer Prescribing Information.</w:t>
            </w:r>
          </w:p>
          <w:p w:rsidR="00132811" w:rsidRDefault="00243C97">
            <w:pPr>
              <w:spacing w:before="40" w:after="20"/>
            </w:pPr>
            <w:r>
              <w:rPr>
                <w:b/>
                <w:color w:val="1F3864"/>
                <w:sz w:val="18"/>
              </w:rPr>
              <w:t xml:space="preserve">6. </w:t>
            </w:r>
            <w:r>
              <w:rPr>
                <w:i/>
                <w:color w:val="2E75B6"/>
                <w:sz w:val="17"/>
              </w:rPr>
              <w:t xml:space="preserve">[Type I] </w:t>
            </w:r>
          </w:p>
          <w:p w:rsidR="00132811" w:rsidRDefault="00243C97">
            <w:pPr>
              <w:spacing w:after="20"/>
              <w:ind w:left="216"/>
            </w:pPr>
            <w:r>
              <w:rPr>
                <w:b/>
                <w:sz w:val="17"/>
              </w:rPr>
              <w:t xml:space="preserve">Issue: </w:t>
            </w:r>
            <w:r>
              <w:rPr>
                <w:sz w:val="17"/>
              </w:rPr>
              <w:t>Omission of drug-specific renal cutoff.</w:t>
            </w:r>
          </w:p>
          <w:p w:rsidR="00132811" w:rsidRDefault="00243C97">
            <w:pPr>
              <w:spacing w:after="20"/>
              <w:ind w:left="216"/>
            </w:pPr>
            <w:r>
              <w:rPr>
                <w:b/>
                <w:sz w:val="17"/>
              </w:rPr>
              <w:t xml:space="preserve">Correction: </w:t>
            </w:r>
            <w:r>
              <w:rPr>
                <w:sz w:val="17"/>
              </w:rPr>
              <w:t>Add: contraindicated when eGFR &lt; 30 mL/min/1.73 m² for risedronate.</w:t>
            </w:r>
          </w:p>
          <w:p w:rsidR="00132811" w:rsidRDefault="00243C97">
            <w:pPr>
              <w:spacing w:after="80"/>
              <w:ind w:left="216"/>
            </w:pPr>
            <w:r>
              <w:rPr>
                <w:b/>
                <w:color w:val="1F3864"/>
                <w:sz w:val="17"/>
              </w:rPr>
              <w:t xml:space="preserve">Refs: </w:t>
            </w:r>
            <w:r>
              <w:rPr>
                <w:i/>
                <w:sz w:val="16"/>
              </w:rPr>
              <w:t>(1) Risedronate Prescribing Information. | (2) BNF.</w:t>
            </w:r>
          </w:p>
          <w:p w:rsidR="00132811" w:rsidRDefault="00243C97">
            <w:pPr>
              <w:spacing w:before="40" w:after="20"/>
            </w:pPr>
            <w:r>
              <w:rPr>
                <w:b/>
                <w:color w:val="1F3864"/>
                <w:sz w:val="18"/>
              </w:rPr>
              <w:t xml:space="preserve">7. </w:t>
            </w:r>
            <w:r>
              <w:rPr>
                <w:i/>
                <w:color w:val="2E75B6"/>
                <w:sz w:val="17"/>
              </w:rPr>
              <w:t xml:space="preserve">[Type I] </w:t>
            </w:r>
          </w:p>
          <w:p w:rsidR="00132811" w:rsidRDefault="00243C97">
            <w:pPr>
              <w:spacing w:after="20"/>
              <w:ind w:left="216"/>
            </w:pPr>
            <w:r>
              <w:rPr>
                <w:b/>
                <w:sz w:val="17"/>
              </w:rPr>
              <w:t xml:space="preserve">Issue: </w:t>
            </w:r>
            <w:r>
              <w:rPr>
                <w:sz w:val="17"/>
              </w:rPr>
              <w:t>Omission of broader-class renal cutoff.</w:t>
            </w:r>
          </w:p>
          <w:p w:rsidR="00132811" w:rsidRDefault="00243C97">
            <w:pPr>
              <w:spacing w:after="20"/>
              <w:ind w:left="216"/>
            </w:pPr>
            <w:r>
              <w:rPr>
                <w:b/>
                <w:sz w:val="17"/>
              </w:rPr>
              <w:t xml:space="preserve">Correction: </w:t>
            </w:r>
            <w:r>
              <w:rPr>
                <w:sz w:val="17"/>
              </w:rPr>
              <w:t>Add: contraindicated when eGFR &lt; 35 mL/min/1.73 m² for other bisphosphonates.</w:t>
            </w:r>
          </w:p>
          <w:p w:rsidR="00132811" w:rsidRDefault="00243C97">
            <w:pPr>
              <w:spacing w:after="80"/>
              <w:ind w:left="216"/>
            </w:pPr>
            <w:r>
              <w:rPr>
                <w:b/>
                <w:color w:val="1F3864"/>
                <w:sz w:val="17"/>
              </w:rPr>
              <w:t xml:space="preserve">Refs: </w:t>
            </w:r>
            <w:r>
              <w:rPr>
                <w:i/>
                <w:sz w:val="16"/>
              </w:rPr>
              <w:t>(1) Manufacturer Prescribing Information. | (2) BNF.</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1F6E1F"/>
                <w:sz w:val="19"/>
              </w:rPr>
              <w:t>Accepted</w:t>
            </w:r>
          </w:p>
          <w:p w:rsidR="00132811" w:rsidRDefault="00243C97">
            <w:pPr>
              <w:spacing w:after="40"/>
            </w:pPr>
            <w:r>
              <w:rPr>
                <w:color w:val="333333"/>
                <w:sz w:val="17"/>
              </w:rPr>
              <w:t>Accepted — Confirmed by the Elsevier editorial team for the 25th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t>6</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Mycobacterial infections — paragraph and clinical detail</w:t>
            </w:r>
          </w:p>
          <w:p w:rsidR="00132811" w:rsidRDefault="00243C97">
            <w:pPr>
              <w:spacing w:after="40"/>
            </w:pPr>
            <w:r>
              <w:rPr>
                <w:b/>
                <w:color w:val="2E75B6"/>
                <w:sz w:val="18"/>
              </w:rPr>
              <w:t>12 sub-contributions</w:t>
            </w:r>
          </w:p>
          <w:p w:rsidR="00132811" w:rsidRDefault="00243C97">
            <w:pPr>
              <w:spacing w:after="40"/>
            </w:pPr>
            <w:r>
              <w:rPr>
                <w:color w:val="606060"/>
                <w:sz w:val="17"/>
              </w:rPr>
              <w:t>Type I: 11 · Type III: 1</w:t>
            </w:r>
          </w:p>
          <w:p w:rsidR="00132811" w:rsidRDefault="00243C97">
            <w:pPr>
              <w:spacing w:after="0"/>
            </w:pPr>
            <w:r>
              <w:rPr>
                <w:b/>
                <w:sz w:val="17"/>
              </w:rPr>
              <w:t xml:space="preserve">Source: </w:t>
            </w:r>
            <w:r>
              <w:rPr>
                <w:i/>
                <w:sz w:val="17"/>
              </w:rPr>
              <w:t>Mycobacterial infections paragraph, p. 1190</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III] </w:t>
            </w:r>
          </w:p>
          <w:p w:rsidR="00132811" w:rsidRDefault="00243C97">
            <w:pPr>
              <w:spacing w:after="20"/>
              <w:ind w:left="216"/>
            </w:pPr>
            <w:r>
              <w:rPr>
                <w:b/>
                <w:sz w:val="17"/>
              </w:rPr>
              <w:t xml:space="preserve">Issue: </w:t>
            </w:r>
            <w:r>
              <w:rPr>
                <w:sz w:val="17"/>
              </w:rPr>
              <w:t>Outdated/incorrect first-line recommendation.</w:t>
            </w:r>
          </w:p>
          <w:p w:rsidR="00132811" w:rsidRDefault="00243C97">
            <w:pPr>
              <w:spacing w:after="20"/>
              <w:ind w:left="216"/>
            </w:pPr>
            <w:r>
              <w:rPr>
                <w:b/>
                <w:sz w:val="17"/>
              </w:rPr>
              <w:t xml:space="preserve">Correction: </w:t>
            </w:r>
            <w:r>
              <w:rPr>
                <w:sz w:val="17"/>
              </w:rPr>
              <w:t>Replace with appropriate antimycobacterial therapy; doxycycline/minocycline are less preferred.</w:t>
            </w:r>
          </w:p>
          <w:p w:rsidR="00132811" w:rsidRDefault="00243C97">
            <w:pPr>
              <w:spacing w:after="80"/>
              <w:ind w:left="216"/>
            </w:pPr>
            <w:r>
              <w:rPr>
                <w:b/>
                <w:color w:val="1F3864"/>
                <w:sz w:val="17"/>
              </w:rPr>
              <w:t xml:space="preserve">Refs: </w:t>
            </w:r>
            <w:r>
              <w:rPr>
                <w:i/>
                <w:sz w:val="16"/>
              </w:rPr>
              <w:t>(1) Daley CL et al. ATS/IDSA Guideline on treatment of NTM pulmonary disease. Eur Respir J. 2020;56(1):2000535. | (2) Griffith DE et al. ATS/IDSA Statement on NTM diseases. Am J Respir Crit Care Med. 2007;175:367–416.</w:t>
            </w:r>
          </w:p>
          <w:p w:rsidR="00132811" w:rsidRDefault="00243C97">
            <w:pPr>
              <w:spacing w:before="40" w:after="20"/>
            </w:pPr>
            <w:r>
              <w:rPr>
                <w:b/>
                <w:color w:val="1F3864"/>
                <w:sz w:val="18"/>
              </w:rPr>
              <w:t xml:space="preserve">2. </w:t>
            </w:r>
            <w:r>
              <w:rPr>
                <w:i/>
                <w:color w:val="2E75B6"/>
                <w:sz w:val="17"/>
              </w:rPr>
              <w:t xml:space="preserve">[Type I] </w:t>
            </w:r>
          </w:p>
          <w:p w:rsidR="00132811" w:rsidRDefault="00243C97">
            <w:pPr>
              <w:spacing w:after="20"/>
              <w:ind w:left="216"/>
            </w:pPr>
            <w:r>
              <w:rPr>
                <w:b/>
                <w:sz w:val="17"/>
              </w:rPr>
              <w:t xml:space="preserve">Issue: </w:t>
            </w:r>
            <w:r>
              <w:rPr>
                <w:sz w:val="17"/>
              </w:rPr>
              <w:t>Omission of standard macrolide regimen.</w:t>
            </w:r>
          </w:p>
          <w:p w:rsidR="00132811" w:rsidRDefault="00243C97">
            <w:pPr>
              <w:spacing w:after="20"/>
              <w:ind w:left="216"/>
            </w:pPr>
            <w:r>
              <w:rPr>
                <w:b/>
                <w:sz w:val="17"/>
              </w:rPr>
              <w:t xml:space="preserve">Correction: </w:t>
            </w:r>
            <w:r>
              <w:rPr>
                <w:sz w:val="17"/>
              </w:rPr>
              <w:t>Add clarithromycin as a commonly used macrolide regimen.</w:t>
            </w:r>
          </w:p>
          <w:p w:rsidR="00132811" w:rsidRDefault="00243C97">
            <w:pPr>
              <w:spacing w:after="80"/>
              <w:ind w:left="216"/>
            </w:pPr>
            <w:r>
              <w:rPr>
                <w:b/>
                <w:color w:val="1F3864"/>
                <w:sz w:val="17"/>
              </w:rPr>
              <w:t xml:space="preserve">Refs: </w:t>
            </w:r>
            <w:r>
              <w:rPr>
                <w:i/>
                <w:sz w:val="16"/>
              </w:rPr>
              <w:t>(1) Daley CL et al. Eur Respir J. 2020;56:2000535. | (2) Griffith DE et al. Am J Respir Crit Care Med. 2007;175:367–416.</w:t>
            </w:r>
          </w:p>
          <w:p w:rsidR="00132811" w:rsidRDefault="00243C97">
            <w:pPr>
              <w:spacing w:before="40" w:after="20"/>
            </w:pPr>
            <w:r>
              <w:rPr>
                <w:b/>
                <w:color w:val="1F3864"/>
                <w:sz w:val="18"/>
              </w:rPr>
              <w:lastRenderedPageBreak/>
              <w:t xml:space="preserve">3. </w:t>
            </w:r>
            <w:r>
              <w:rPr>
                <w:i/>
                <w:color w:val="2E75B6"/>
                <w:sz w:val="17"/>
              </w:rPr>
              <w:t xml:space="preserve">[Type I] </w:t>
            </w:r>
          </w:p>
          <w:p w:rsidR="00132811" w:rsidRDefault="00243C97">
            <w:pPr>
              <w:spacing w:after="20"/>
              <w:ind w:left="216"/>
            </w:pPr>
            <w:r>
              <w:rPr>
                <w:b/>
                <w:sz w:val="17"/>
              </w:rPr>
              <w:t xml:space="preserve">Issue: </w:t>
            </w:r>
            <w:r>
              <w:rPr>
                <w:sz w:val="17"/>
              </w:rPr>
              <w:t>Omission of combination regimen for select species.</w:t>
            </w:r>
          </w:p>
          <w:p w:rsidR="00132811" w:rsidRDefault="00243C97">
            <w:pPr>
              <w:spacing w:after="20"/>
              <w:ind w:left="216"/>
            </w:pPr>
            <w:r>
              <w:rPr>
                <w:b/>
                <w:sz w:val="17"/>
              </w:rPr>
              <w:t xml:space="preserve">Correction: </w:t>
            </w:r>
            <w:r>
              <w:rPr>
                <w:sz w:val="17"/>
              </w:rPr>
              <w:t>Add rifampicin + ethambutol combination regimen for select species (e.g., M. marinum, M. ulcerans).</w:t>
            </w:r>
          </w:p>
          <w:p w:rsidR="00132811" w:rsidRDefault="00243C97">
            <w:pPr>
              <w:spacing w:after="80"/>
              <w:ind w:left="216"/>
            </w:pPr>
            <w:r>
              <w:rPr>
                <w:b/>
                <w:color w:val="1F3864"/>
                <w:sz w:val="17"/>
              </w:rPr>
              <w:t xml:space="preserve">Refs: </w:t>
            </w:r>
            <w:r>
              <w:rPr>
                <w:i/>
                <w:sz w:val="16"/>
              </w:rPr>
              <w:t>(1) Daley CL et al. Eur Respir J. 2020;56:2000535. | (2) Griffith DE et al. ATS/IDSA Statement.</w:t>
            </w:r>
          </w:p>
          <w:p w:rsidR="00132811" w:rsidRDefault="00243C97">
            <w:pPr>
              <w:spacing w:before="40" w:after="20"/>
            </w:pPr>
            <w:r>
              <w:rPr>
                <w:b/>
                <w:color w:val="1F3864"/>
                <w:sz w:val="18"/>
              </w:rPr>
              <w:t xml:space="preserve">4. </w:t>
            </w:r>
            <w:r>
              <w:rPr>
                <w:i/>
                <w:color w:val="2E75B6"/>
                <w:sz w:val="17"/>
              </w:rPr>
              <w:t xml:space="preserve">[Type I] </w:t>
            </w:r>
          </w:p>
          <w:p w:rsidR="00132811" w:rsidRDefault="00243C97">
            <w:pPr>
              <w:spacing w:after="20"/>
              <w:ind w:left="216"/>
            </w:pPr>
            <w:r>
              <w:rPr>
                <w:b/>
                <w:sz w:val="17"/>
              </w:rPr>
              <w:t xml:space="preserve">Issue: </w:t>
            </w:r>
            <w:r>
              <w:rPr>
                <w:sz w:val="17"/>
              </w:rPr>
              <w:t>Omission of foundational treatment-selection principle.</w:t>
            </w:r>
          </w:p>
          <w:p w:rsidR="00132811" w:rsidRDefault="00243C97">
            <w:pPr>
              <w:spacing w:after="20"/>
              <w:ind w:left="216"/>
            </w:pPr>
            <w:r>
              <w:rPr>
                <w:b/>
                <w:sz w:val="17"/>
              </w:rPr>
              <w:t xml:space="preserve">Correction: </w:t>
            </w:r>
            <w:r>
              <w:rPr>
                <w:sz w:val="17"/>
              </w:rPr>
              <w:t>Add: antimycobacterial choice depends on species and susceptibility testing.</w:t>
            </w:r>
          </w:p>
          <w:p w:rsidR="00132811" w:rsidRDefault="00243C97">
            <w:pPr>
              <w:spacing w:after="80"/>
              <w:ind w:left="216"/>
            </w:pPr>
            <w:r>
              <w:rPr>
                <w:b/>
                <w:color w:val="1F3864"/>
                <w:sz w:val="17"/>
              </w:rPr>
              <w:t xml:space="preserve">Refs: </w:t>
            </w:r>
            <w:r>
              <w:rPr>
                <w:i/>
                <w:sz w:val="16"/>
              </w:rPr>
              <w:t>(1) Daley CL et al. Eur Respir J. 2020;56:2000535. | (2) Mandell, Douglas, and Bennett, 9th ed.</w:t>
            </w:r>
          </w:p>
          <w:p w:rsidR="00132811" w:rsidRDefault="00243C97">
            <w:pPr>
              <w:spacing w:before="40" w:after="20"/>
            </w:pPr>
            <w:r>
              <w:rPr>
                <w:b/>
                <w:color w:val="1F3864"/>
                <w:sz w:val="18"/>
              </w:rPr>
              <w:t xml:space="preserve">5. </w:t>
            </w:r>
            <w:r>
              <w:rPr>
                <w:i/>
                <w:color w:val="2E75B6"/>
                <w:sz w:val="17"/>
              </w:rPr>
              <w:t xml:space="preserve">[Type I] </w:t>
            </w:r>
          </w:p>
          <w:p w:rsidR="00132811" w:rsidRDefault="00243C97">
            <w:pPr>
              <w:spacing w:after="20"/>
              <w:ind w:left="216"/>
            </w:pPr>
            <w:r>
              <w:rPr>
                <w:b/>
                <w:sz w:val="17"/>
              </w:rPr>
              <w:t xml:space="preserve">Issue: </w:t>
            </w:r>
            <w:r>
              <w:rPr>
                <w:sz w:val="17"/>
              </w:rPr>
              <w:t>Overstatement of natural-history likelihood.</w:t>
            </w:r>
          </w:p>
          <w:p w:rsidR="00132811" w:rsidRDefault="00243C97">
            <w:pPr>
              <w:spacing w:after="20"/>
              <w:ind w:left="216"/>
            </w:pPr>
            <w:r>
              <w:rPr>
                <w:b/>
                <w:sz w:val="17"/>
              </w:rPr>
              <w:t xml:space="preserve">Correction: </w:t>
            </w:r>
            <w:r>
              <w:rPr>
                <w:sz w:val="17"/>
              </w:rPr>
              <w:t>Clarify: spontaneous resolution is uncommon in clinically significant infections.</w:t>
            </w:r>
          </w:p>
          <w:p w:rsidR="00132811" w:rsidRDefault="00243C97">
            <w:pPr>
              <w:spacing w:after="80"/>
              <w:ind w:left="216"/>
            </w:pPr>
            <w:r>
              <w:rPr>
                <w:b/>
                <w:color w:val="1F3864"/>
                <w:sz w:val="17"/>
              </w:rPr>
              <w:t xml:space="preserve">Refs: </w:t>
            </w:r>
            <w:r>
              <w:rPr>
                <w:i/>
                <w:sz w:val="16"/>
              </w:rPr>
              <w:t>(1) Daley CL et al. Eur Respir J. 2020;56:2000535. | (2) Mandell, Douglas, and Bennett, 9th ed.</w:t>
            </w:r>
          </w:p>
          <w:p w:rsidR="00132811" w:rsidRDefault="00243C97">
            <w:pPr>
              <w:spacing w:before="40" w:after="20"/>
            </w:pPr>
            <w:r>
              <w:rPr>
                <w:b/>
                <w:color w:val="1F3864"/>
                <w:sz w:val="18"/>
              </w:rPr>
              <w:t xml:space="preserve">6. </w:t>
            </w:r>
            <w:r>
              <w:rPr>
                <w:i/>
                <w:color w:val="2E75B6"/>
                <w:sz w:val="17"/>
              </w:rPr>
              <w:t xml:space="preserve">[Type I] </w:t>
            </w:r>
          </w:p>
          <w:p w:rsidR="00132811" w:rsidRDefault="00243C97">
            <w:pPr>
              <w:spacing w:after="20"/>
              <w:ind w:left="216"/>
            </w:pPr>
            <w:r>
              <w:rPr>
                <w:b/>
                <w:sz w:val="17"/>
              </w:rPr>
              <w:t xml:space="preserve">Issue: </w:t>
            </w:r>
            <w:r>
              <w:rPr>
                <w:sz w:val="17"/>
              </w:rPr>
              <w:t>Overstated evidence base for destructive therapy.</w:t>
            </w:r>
          </w:p>
          <w:p w:rsidR="00132811" w:rsidRDefault="00243C97">
            <w:pPr>
              <w:spacing w:after="20"/>
              <w:ind w:left="216"/>
            </w:pPr>
            <w:r>
              <w:rPr>
                <w:b/>
                <w:sz w:val="17"/>
              </w:rPr>
              <w:t xml:space="preserve">Correction: </w:t>
            </w:r>
            <w:r>
              <w:rPr>
                <w:sz w:val="17"/>
              </w:rPr>
              <w:t>Destructive therapies (e.g., cryotherapy) are not standard and have limited evidence.</w:t>
            </w:r>
          </w:p>
          <w:p w:rsidR="00132811" w:rsidRDefault="00243C97">
            <w:pPr>
              <w:spacing w:after="80"/>
              <w:ind w:left="216"/>
            </w:pPr>
            <w:r>
              <w:rPr>
                <w:b/>
                <w:color w:val="1F3864"/>
                <w:sz w:val="17"/>
              </w:rPr>
              <w:t xml:space="preserve">Refs: </w:t>
            </w:r>
            <w:r>
              <w:rPr>
                <w:i/>
                <w:sz w:val="16"/>
              </w:rPr>
              <w:t>(1) Daley CL et al. Eur Respir J. 2020;56:2000535. | (2) Rook's Textbook of Dermatology, 10th ed.</w:t>
            </w:r>
          </w:p>
          <w:p w:rsidR="00132811" w:rsidRDefault="00243C97">
            <w:pPr>
              <w:spacing w:before="40" w:after="20"/>
            </w:pPr>
            <w:r>
              <w:rPr>
                <w:b/>
                <w:color w:val="1F3864"/>
                <w:sz w:val="18"/>
              </w:rPr>
              <w:t xml:space="preserve">7. </w:t>
            </w:r>
            <w:r>
              <w:rPr>
                <w:i/>
                <w:color w:val="2E75B6"/>
                <w:sz w:val="17"/>
              </w:rPr>
              <w:t xml:space="preserve">[Type I] </w:t>
            </w:r>
          </w:p>
          <w:p w:rsidR="00132811" w:rsidRDefault="00243C97">
            <w:pPr>
              <w:spacing w:after="20"/>
              <w:ind w:left="216"/>
            </w:pPr>
            <w:r>
              <w:rPr>
                <w:b/>
                <w:sz w:val="17"/>
              </w:rPr>
              <w:t xml:space="preserve">Issue: </w:t>
            </w:r>
            <w:r>
              <w:rPr>
                <w:sz w:val="17"/>
              </w:rPr>
              <w:t>Confused two pathophysiologically distinct entities.</w:t>
            </w:r>
          </w:p>
          <w:p w:rsidR="00132811" w:rsidRDefault="00243C97">
            <w:pPr>
              <w:spacing w:after="20"/>
              <w:ind w:left="216"/>
            </w:pPr>
            <w:r>
              <w:rPr>
                <w:b/>
                <w:sz w:val="17"/>
              </w:rPr>
              <w:t xml:space="preserve">Correction: </w:t>
            </w:r>
            <w:r>
              <w:rPr>
                <w:sz w:val="17"/>
              </w:rPr>
              <w:t>Tuberculids are hypersensitivity reactions to tuberculous antigens; erythema induratum (Bazin's disease) is a nodular vasculitis — pathophysiologically distinct.</w:t>
            </w:r>
          </w:p>
          <w:p w:rsidR="00132811" w:rsidRDefault="00243C97">
            <w:pPr>
              <w:spacing w:after="80"/>
              <w:ind w:left="216"/>
            </w:pPr>
            <w:r>
              <w:rPr>
                <w:b/>
                <w:color w:val="1F3864"/>
                <w:sz w:val="17"/>
              </w:rPr>
              <w:t xml:space="preserve">Refs: </w:t>
            </w:r>
            <w:r>
              <w:rPr>
                <w:i/>
                <w:sz w:val="16"/>
              </w:rPr>
              <w:t>(1) Rook's Textbook of Dermatology, 10th ed. | (2) Bolognia Dermatology, 5th ed.</w:t>
            </w:r>
          </w:p>
          <w:p w:rsidR="00132811" w:rsidRDefault="00243C97">
            <w:pPr>
              <w:spacing w:before="40" w:after="20"/>
            </w:pPr>
            <w:r>
              <w:rPr>
                <w:b/>
                <w:color w:val="1F3864"/>
                <w:sz w:val="18"/>
              </w:rPr>
              <w:t xml:space="preserve">8. </w:t>
            </w:r>
            <w:r>
              <w:rPr>
                <w:i/>
                <w:color w:val="2E75B6"/>
                <w:sz w:val="17"/>
              </w:rPr>
              <w:t xml:space="preserve">[Type I] </w:t>
            </w:r>
          </w:p>
          <w:p w:rsidR="00132811" w:rsidRDefault="00243C97">
            <w:pPr>
              <w:spacing w:after="20"/>
              <w:ind w:left="216"/>
            </w:pPr>
            <w:r>
              <w:rPr>
                <w:b/>
                <w:sz w:val="17"/>
              </w:rPr>
              <w:t xml:space="preserve">Issue: </w:t>
            </w:r>
            <w:r>
              <w:rPr>
                <w:sz w:val="17"/>
              </w:rPr>
              <w:t>Omission of mechanism.</w:t>
            </w:r>
          </w:p>
          <w:p w:rsidR="00132811" w:rsidRDefault="00243C97">
            <w:pPr>
              <w:spacing w:after="20"/>
              <w:ind w:left="216"/>
            </w:pPr>
            <w:r>
              <w:rPr>
                <w:b/>
                <w:sz w:val="17"/>
              </w:rPr>
              <w:t xml:space="preserve">Correction: </w:t>
            </w:r>
            <w:r>
              <w:rPr>
                <w:sz w:val="17"/>
              </w:rPr>
              <w:t>Add: tuberculids represent hypersensitivity reactions to tuberculid antigens.</w:t>
            </w:r>
          </w:p>
          <w:p w:rsidR="00132811" w:rsidRDefault="00243C97">
            <w:pPr>
              <w:spacing w:after="80"/>
              <w:ind w:left="216"/>
            </w:pPr>
            <w:r>
              <w:rPr>
                <w:b/>
                <w:color w:val="1F3864"/>
                <w:sz w:val="17"/>
              </w:rPr>
              <w:t xml:space="preserve">Refs: </w:t>
            </w:r>
            <w:r>
              <w:rPr>
                <w:i/>
                <w:sz w:val="16"/>
              </w:rPr>
              <w:t>(1) Rook's Textbook of Dermatology, 10th ed. | (2) Bolognia Dermatology, 5th ed.</w:t>
            </w:r>
          </w:p>
          <w:p w:rsidR="00132811" w:rsidRDefault="00243C97">
            <w:pPr>
              <w:spacing w:before="40" w:after="20"/>
            </w:pPr>
            <w:r>
              <w:rPr>
                <w:b/>
                <w:color w:val="1F3864"/>
                <w:sz w:val="18"/>
              </w:rPr>
              <w:t xml:space="preserve">9. </w:t>
            </w:r>
            <w:r>
              <w:rPr>
                <w:i/>
                <w:color w:val="2E75B6"/>
                <w:sz w:val="17"/>
              </w:rPr>
              <w:t xml:space="preserve">[Type I] </w:t>
            </w:r>
          </w:p>
          <w:p w:rsidR="00132811" w:rsidRDefault="00243C97">
            <w:pPr>
              <w:spacing w:after="20"/>
              <w:ind w:left="216"/>
            </w:pPr>
            <w:r>
              <w:rPr>
                <w:b/>
                <w:sz w:val="17"/>
              </w:rPr>
              <w:t xml:space="preserve">Issue: </w:t>
            </w:r>
            <w:r>
              <w:rPr>
                <w:sz w:val="17"/>
              </w:rPr>
              <w:t>Omission.</w:t>
            </w:r>
          </w:p>
          <w:p w:rsidR="00132811" w:rsidRDefault="00243C97">
            <w:pPr>
              <w:spacing w:after="20"/>
              <w:ind w:left="216"/>
            </w:pPr>
            <w:r>
              <w:rPr>
                <w:b/>
                <w:sz w:val="17"/>
              </w:rPr>
              <w:t xml:space="preserve">Correction: </w:t>
            </w:r>
            <w:r>
              <w:rPr>
                <w:sz w:val="17"/>
              </w:rPr>
              <w:t>Add: erythema induratum (Bazin's disease) is a nodular vasculitis.</w:t>
            </w:r>
          </w:p>
          <w:p w:rsidR="00132811" w:rsidRDefault="00243C97">
            <w:pPr>
              <w:spacing w:after="80"/>
              <w:ind w:left="216"/>
            </w:pPr>
            <w:r>
              <w:rPr>
                <w:b/>
                <w:color w:val="1F3864"/>
                <w:sz w:val="17"/>
              </w:rPr>
              <w:t xml:space="preserve">Refs: </w:t>
            </w:r>
            <w:r>
              <w:rPr>
                <w:i/>
                <w:sz w:val="16"/>
              </w:rPr>
              <w:t>(1) Rook's Textbook of Dermatology, 10th ed. | (2) Bolognia Dermatology, 5th ed.</w:t>
            </w:r>
          </w:p>
          <w:p w:rsidR="00132811" w:rsidRDefault="00243C97">
            <w:pPr>
              <w:spacing w:before="40" w:after="20"/>
            </w:pPr>
            <w:r>
              <w:rPr>
                <w:b/>
                <w:color w:val="1F3864"/>
                <w:sz w:val="18"/>
              </w:rPr>
              <w:t xml:space="preserve">10. </w:t>
            </w:r>
            <w:r>
              <w:rPr>
                <w:i/>
                <w:color w:val="2E75B6"/>
                <w:sz w:val="17"/>
              </w:rPr>
              <w:t xml:space="preserve">[Type I] </w:t>
            </w:r>
          </w:p>
          <w:p w:rsidR="00132811" w:rsidRDefault="00243C97">
            <w:pPr>
              <w:spacing w:after="20"/>
              <w:ind w:left="216"/>
            </w:pPr>
            <w:r>
              <w:rPr>
                <w:b/>
                <w:sz w:val="17"/>
              </w:rPr>
              <w:t xml:space="preserve">Issue: </w:t>
            </w:r>
            <w:r>
              <w:rPr>
                <w:sz w:val="17"/>
              </w:rPr>
              <w:t>Omission of contemporary diagnostic modality.</w:t>
            </w:r>
          </w:p>
          <w:p w:rsidR="00132811" w:rsidRDefault="00243C97">
            <w:pPr>
              <w:spacing w:after="20"/>
              <w:ind w:left="216"/>
            </w:pPr>
            <w:r>
              <w:rPr>
                <w:b/>
                <w:sz w:val="17"/>
              </w:rPr>
              <w:t xml:space="preserve">Correction: </w:t>
            </w:r>
            <w:r>
              <w:rPr>
                <w:sz w:val="17"/>
              </w:rPr>
              <w:t>Add: PCR can assist diagnosis when culture is difficult.</w:t>
            </w:r>
          </w:p>
          <w:p w:rsidR="00132811" w:rsidRDefault="00243C97">
            <w:pPr>
              <w:spacing w:after="80"/>
              <w:ind w:left="216"/>
            </w:pPr>
            <w:r>
              <w:rPr>
                <w:b/>
                <w:color w:val="1F3864"/>
                <w:sz w:val="17"/>
              </w:rPr>
              <w:t xml:space="preserve">Refs: </w:t>
            </w:r>
            <w:r>
              <w:rPr>
                <w:i/>
                <w:sz w:val="16"/>
              </w:rPr>
              <w:t>(1) Daley CL et al. Eur Respir J. 2020;56:2000535. | (2) ATS/IDSA Diagnostic Recommendations.</w:t>
            </w:r>
          </w:p>
          <w:p w:rsidR="00132811" w:rsidRDefault="00243C97">
            <w:pPr>
              <w:spacing w:before="40" w:after="20"/>
            </w:pPr>
            <w:r>
              <w:rPr>
                <w:b/>
                <w:color w:val="1F3864"/>
                <w:sz w:val="18"/>
              </w:rPr>
              <w:t xml:space="preserve">11. </w:t>
            </w:r>
            <w:r>
              <w:rPr>
                <w:i/>
                <w:color w:val="2E75B6"/>
                <w:sz w:val="17"/>
              </w:rPr>
              <w:t xml:space="preserve">[Type I] </w:t>
            </w:r>
          </w:p>
          <w:p w:rsidR="00132811" w:rsidRDefault="00243C97">
            <w:pPr>
              <w:spacing w:after="20"/>
              <w:ind w:left="216"/>
            </w:pPr>
            <w:r>
              <w:rPr>
                <w:b/>
                <w:sz w:val="17"/>
              </w:rPr>
              <w:t xml:space="preserve">Issue: </w:t>
            </w:r>
            <w:r>
              <w:rPr>
                <w:sz w:val="17"/>
              </w:rPr>
              <w:t>Omission of biologic-related TB-reactivation risk.</w:t>
            </w:r>
          </w:p>
          <w:p w:rsidR="00132811" w:rsidRDefault="00243C97">
            <w:pPr>
              <w:spacing w:after="20"/>
              <w:ind w:left="216"/>
            </w:pPr>
            <w:r>
              <w:rPr>
                <w:b/>
                <w:sz w:val="17"/>
              </w:rPr>
              <w:t xml:space="preserve">Correction: </w:t>
            </w:r>
            <w:r>
              <w:rPr>
                <w:sz w:val="17"/>
              </w:rPr>
              <w:t>Add: latent TB reactivation risk with biologics, particularly TNF-α antagonists.</w:t>
            </w:r>
          </w:p>
          <w:p w:rsidR="00132811" w:rsidRDefault="00243C97">
            <w:pPr>
              <w:spacing w:after="80"/>
              <w:ind w:left="216"/>
            </w:pPr>
            <w:r>
              <w:rPr>
                <w:b/>
                <w:color w:val="1F3864"/>
                <w:sz w:val="17"/>
              </w:rPr>
              <w:t xml:space="preserve">Refs: </w:t>
            </w:r>
            <w:r>
              <w:rPr>
                <w:i/>
                <w:sz w:val="16"/>
              </w:rPr>
              <w:t>(1) BSR Biologics Guidelines. | (2) NICE TA Guidance on Biologics.</w:t>
            </w:r>
          </w:p>
          <w:p w:rsidR="00132811" w:rsidRDefault="00243C97">
            <w:pPr>
              <w:spacing w:before="40" w:after="20"/>
            </w:pPr>
            <w:r>
              <w:rPr>
                <w:b/>
                <w:color w:val="1F3864"/>
                <w:sz w:val="18"/>
              </w:rPr>
              <w:t xml:space="preserve">12. </w:t>
            </w:r>
            <w:r>
              <w:rPr>
                <w:i/>
                <w:color w:val="2E75B6"/>
                <w:sz w:val="17"/>
              </w:rPr>
              <w:t xml:space="preserve">[Type I] </w:t>
            </w:r>
          </w:p>
          <w:p w:rsidR="00132811" w:rsidRDefault="00243C97">
            <w:pPr>
              <w:spacing w:after="20"/>
              <w:ind w:left="216"/>
            </w:pPr>
            <w:r>
              <w:rPr>
                <w:b/>
                <w:sz w:val="17"/>
              </w:rPr>
              <w:t xml:space="preserve">Issue: </w:t>
            </w:r>
            <w:r>
              <w:rPr>
                <w:sz w:val="17"/>
              </w:rPr>
              <w:t>Omission of standard pre-biologic screening recommendation.</w:t>
            </w:r>
          </w:p>
          <w:p w:rsidR="00132811" w:rsidRDefault="00243C97">
            <w:pPr>
              <w:spacing w:after="20"/>
              <w:ind w:left="216"/>
            </w:pPr>
            <w:r>
              <w:rPr>
                <w:b/>
                <w:sz w:val="17"/>
              </w:rPr>
              <w:lastRenderedPageBreak/>
              <w:t xml:space="preserve">Correction: </w:t>
            </w:r>
            <w:r>
              <w:rPr>
                <w:sz w:val="17"/>
              </w:rPr>
              <w:t>Add: vigilance/screening before initiation of biologic agents.</w:t>
            </w:r>
          </w:p>
          <w:p w:rsidR="00132811" w:rsidRDefault="00243C97">
            <w:pPr>
              <w:spacing w:after="80"/>
              <w:ind w:left="216"/>
            </w:pPr>
            <w:r>
              <w:rPr>
                <w:b/>
                <w:color w:val="1F3864"/>
                <w:sz w:val="17"/>
              </w:rPr>
              <w:t xml:space="preserve">Refs: </w:t>
            </w:r>
            <w:r>
              <w:rPr>
                <w:i/>
                <w:sz w:val="16"/>
              </w:rPr>
              <w:t>(1) BSR Biologics Guidelines. | (2) CDC LTBI Guidelines.</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1F6E1F"/>
                <w:sz w:val="19"/>
              </w:rPr>
              <w:lastRenderedPageBreak/>
              <w:t>Accepted</w:t>
            </w:r>
          </w:p>
          <w:p w:rsidR="00132811" w:rsidRDefault="00243C97">
            <w:pPr>
              <w:spacing w:after="40"/>
            </w:pPr>
            <w:r>
              <w:rPr>
                <w:color w:val="333333"/>
                <w:sz w:val="17"/>
              </w:rPr>
              <w:t>Accepted — Confirmed by the Elsevier editorial team for the 25th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lastRenderedPageBreak/>
              <w:t>7</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Multiple sclerosis — pathogenesis</w:t>
            </w:r>
          </w:p>
          <w:p w:rsidR="00132811" w:rsidRDefault="00243C97">
            <w:pPr>
              <w:spacing w:after="40"/>
            </w:pPr>
            <w:r>
              <w:rPr>
                <w:b/>
                <w:color w:val="2E75B6"/>
                <w:sz w:val="18"/>
              </w:rPr>
              <w:t>1 sub-contributions</w:t>
            </w:r>
          </w:p>
          <w:p w:rsidR="00132811" w:rsidRDefault="00243C97">
            <w:pPr>
              <w:spacing w:after="40"/>
            </w:pPr>
            <w:r>
              <w:rPr>
                <w:color w:val="606060"/>
                <w:sz w:val="17"/>
              </w:rPr>
              <w:t>Type I: 1</w:t>
            </w:r>
          </w:p>
          <w:p w:rsidR="00132811" w:rsidRDefault="00243C97">
            <w:pPr>
              <w:spacing w:after="0"/>
            </w:pPr>
            <w:r>
              <w:rPr>
                <w:b/>
                <w:sz w:val="17"/>
              </w:rPr>
              <w:t xml:space="preserve">Source: </w:t>
            </w:r>
            <w:r>
              <w:rPr>
                <w:i/>
                <w:sz w:val="17"/>
              </w:rPr>
              <w:t>MS pathogenesis section</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Omission of emerging "inside-out" hypothesis. (Note: this remains a debated topic in the literature; both paradigms are actively discussed.)</w:t>
            </w:r>
          </w:p>
          <w:p w:rsidR="00132811" w:rsidRDefault="00243C97">
            <w:pPr>
              <w:spacing w:after="20"/>
              <w:ind w:left="216"/>
            </w:pPr>
            <w:r>
              <w:rPr>
                <w:b/>
                <w:sz w:val="17"/>
              </w:rPr>
              <w:t xml:space="preserve">Correction: </w:t>
            </w:r>
            <w:r>
              <w:rPr>
                <w:sz w:val="17"/>
              </w:rPr>
              <w:t>Acknowledge emerging "inside-out" hypothesis — primary neurodegeneration preceding immune activation — relevant to limited efficacy of immune-depleting therapies in PPMS.</w:t>
            </w:r>
          </w:p>
          <w:p w:rsidR="00132811" w:rsidRDefault="00243C97">
            <w:pPr>
              <w:spacing w:after="80"/>
              <w:ind w:left="216"/>
            </w:pPr>
            <w:r>
              <w:rPr>
                <w:b/>
                <w:color w:val="1F3864"/>
                <w:sz w:val="17"/>
              </w:rPr>
              <w:t xml:space="preserve">Refs: </w:t>
            </w:r>
            <w:r>
              <w:rPr>
                <w:i/>
                <w:sz w:val="16"/>
              </w:rPr>
              <w:t>(1) Stys PK et al. Will the real multiple sclerosis please stand up? Nat Rev Neurosci. 2012;13:507–514. | (2) Lassmann H. Multiple sclerosis pathology. Cold Spring Harb Perspect Med. 2018.</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C47C00"/>
                <w:sz w:val="19"/>
              </w:rPr>
              <w:t>Under discussion</w:t>
            </w:r>
          </w:p>
          <w:p w:rsidR="00132811" w:rsidRDefault="00243C97">
            <w:pPr>
              <w:spacing w:after="40"/>
            </w:pPr>
            <w:r>
              <w:rPr>
                <w:color w:val="333333"/>
                <w:sz w:val="17"/>
              </w:rPr>
              <w:t>Rejected — scientific discussion in progress regarding the rejection; the proposed correction is supported by Stys et al. (Nat Rev Neurosci 2012) and current consensus on neurodegeneration in MS</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t>8</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Diabetes mellitus — neurodegeneration association</w:t>
            </w:r>
          </w:p>
          <w:p w:rsidR="00132811" w:rsidRDefault="00243C97">
            <w:pPr>
              <w:spacing w:after="40"/>
            </w:pPr>
            <w:r>
              <w:rPr>
                <w:b/>
                <w:color w:val="2E75B6"/>
                <w:sz w:val="18"/>
              </w:rPr>
              <w:t>1 sub-contributions</w:t>
            </w:r>
          </w:p>
          <w:p w:rsidR="00132811" w:rsidRDefault="00243C97">
            <w:pPr>
              <w:spacing w:after="40"/>
            </w:pPr>
            <w:r>
              <w:rPr>
                <w:color w:val="606060"/>
                <w:sz w:val="17"/>
              </w:rPr>
              <w:t>Type IV: 1</w:t>
            </w:r>
          </w:p>
          <w:p w:rsidR="00132811" w:rsidRDefault="00243C97">
            <w:pPr>
              <w:spacing w:after="0"/>
            </w:pPr>
            <w:r>
              <w:rPr>
                <w:b/>
                <w:sz w:val="17"/>
              </w:rPr>
              <w:t xml:space="preserve">Source: </w:t>
            </w:r>
            <w:r>
              <w:rPr>
                <w:i/>
                <w:sz w:val="17"/>
              </w:rPr>
              <w:t>Diabetes chapter — neurodegeneration</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IV] </w:t>
            </w:r>
          </w:p>
          <w:p w:rsidR="00132811" w:rsidRDefault="00243C97">
            <w:pPr>
              <w:spacing w:after="20"/>
              <w:ind w:left="216"/>
            </w:pPr>
            <w:r>
              <w:rPr>
                <w:b/>
                <w:sz w:val="17"/>
              </w:rPr>
              <w:t xml:space="preserve">Issue: </w:t>
            </w:r>
            <w:r>
              <w:rPr>
                <w:sz w:val="17"/>
              </w:rPr>
              <w:t>Omission of emerging "Type 3 Diabetes" concept. (Note: this terminology and the underlying concept remain controversial; supportive and critical evidence exists.)</w:t>
            </w:r>
          </w:p>
          <w:p w:rsidR="00132811" w:rsidRDefault="00243C97">
            <w:pPr>
              <w:spacing w:after="20"/>
              <w:ind w:left="216"/>
            </w:pPr>
            <w:r>
              <w:rPr>
                <w:b/>
                <w:sz w:val="17"/>
              </w:rPr>
              <w:t xml:space="preserve">Correction: </w:t>
            </w:r>
            <w:r>
              <w:rPr>
                <w:sz w:val="17"/>
              </w:rPr>
              <w:t>Acknowledge "Type 3 Diabetes" concept — brain-specific insulin resistance and its proposed role in Alzheimer pathology.</w:t>
            </w:r>
          </w:p>
          <w:p w:rsidR="00132811" w:rsidRDefault="00243C97">
            <w:pPr>
              <w:spacing w:after="80"/>
              <w:ind w:left="216"/>
            </w:pPr>
            <w:r>
              <w:rPr>
                <w:b/>
                <w:color w:val="1F3864"/>
                <w:sz w:val="17"/>
              </w:rPr>
              <w:t xml:space="preserve">Refs: </w:t>
            </w:r>
            <w:r>
              <w:rPr>
                <w:i/>
                <w:sz w:val="16"/>
              </w:rPr>
              <w:t>(1) de la Monte SM, Wands JR. Alzheimer's disease is type 3 diabetes — evidence reviewed. J Alzheimers Dis. 2008. | (2) Arnold SE et al. Brain insulin resistance in type 2 diabetes and Alzheimer disease. Nat Rev Neurol. 2018.</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C47C00"/>
                <w:sz w:val="19"/>
              </w:rPr>
              <w:t>Under discussion</w:t>
            </w:r>
          </w:p>
          <w:p w:rsidR="00132811" w:rsidRDefault="00243C97">
            <w:pPr>
              <w:spacing w:after="40"/>
            </w:pPr>
            <w:r>
              <w:rPr>
                <w:color w:val="333333"/>
                <w:sz w:val="17"/>
              </w:rPr>
              <w:t>Rejected — scientific discussion in progress regarding the rejection; the proposed correction is supported by de la Monte &amp; Wands (J Alzheimers Dis 2008) and subsequent insulin-CNS signalling literature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9</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Table 23.31 — Oesophageal SCC aetiology (Plummer-Vinson)</w:t>
            </w:r>
          </w:p>
          <w:p w:rsidR="00132811" w:rsidRDefault="00243C97">
            <w:pPr>
              <w:spacing w:after="40"/>
            </w:pPr>
            <w:r>
              <w:rPr>
                <w:b/>
                <w:color w:val="2E75B6"/>
                <w:sz w:val="18"/>
              </w:rPr>
              <w:t>6 sub-contributions</w:t>
            </w:r>
          </w:p>
          <w:p w:rsidR="00132811" w:rsidRDefault="00243C97">
            <w:pPr>
              <w:spacing w:after="40"/>
            </w:pPr>
            <w:r>
              <w:rPr>
                <w:color w:val="606060"/>
                <w:sz w:val="17"/>
              </w:rPr>
              <w:t>Type I: 6</w:t>
            </w:r>
          </w:p>
          <w:p w:rsidR="00132811" w:rsidRDefault="00243C97">
            <w:pPr>
              <w:spacing w:after="0"/>
            </w:pPr>
            <w:r>
              <w:rPr>
                <w:b/>
                <w:sz w:val="17"/>
              </w:rPr>
              <w:t xml:space="preserve">Source: </w:t>
            </w:r>
            <w:r>
              <w:rPr>
                <w:i/>
                <w:sz w:val="17"/>
              </w:rPr>
              <w:t>Table 23.31, p. 810 — Aetiological factors for oesophageal SCC</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The full risk entity is Plummer–Vinson syndrome (triad), not isolated post-cricoid webs.</w:t>
            </w:r>
          </w:p>
          <w:p w:rsidR="00132811" w:rsidRDefault="00243C97">
            <w:pPr>
              <w:spacing w:after="20"/>
              <w:ind w:left="216"/>
            </w:pPr>
            <w:r>
              <w:rPr>
                <w:b/>
                <w:sz w:val="17"/>
              </w:rPr>
              <w:t xml:space="preserve">Correction: </w:t>
            </w:r>
            <w:r>
              <w:rPr>
                <w:sz w:val="17"/>
              </w:rPr>
              <w:t>Replace with Plummer–Vinson syndrome.</w:t>
            </w:r>
          </w:p>
          <w:p w:rsidR="00132811" w:rsidRDefault="00243C97">
            <w:pPr>
              <w:spacing w:after="80"/>
              <w:ind w:left="216"/>
            </w:pPr>
            <w:r>
              <w:rPr>
                <w:b/>
                <w:color w:val="1F3864"/>
                <w:sz w:val="17"/>
              </w:rPr>
              <w:t xml:space="preserve">Refs: </w:t>
            </w:r>
            <w:r>
              <w:rPr>
                <w:i/>
                <w:sz w:val="16"/>
              </w:rPr>
              <w:t>(1) Bailey &amp; Love's Short Practice of Surgery, 28th ed. | (2) Sabiston Textbook of Surgery, 21st ed. | (3) Robbins and Cotran Pathologic Basis of Disease, 10th ed.</w:t>
            </w:r>
          </w:p>
          <w:p w:rsidR="00132811" w:rsidRDefault="00243C97">
            <w:pPr>
              <w:spacing w:before="40" w:after="20"/>
            </w:pPr>
            <w:r>
              <w:rPr>
                <w:b/>
                <w:color w:val="1F3864"/>
                <w:sz w:val="18"/>
              </w:rPr>
              <w:t xml:space="preserve">2. </w:t>
            </w:r>
            <w:r>
              <w:rPr>
                <w:i/>
                <w:color w:val="2E75B6"/>
                <w:sz w:val="17"/>
              </w:rPr>
              <w:t xml:space="preserve">[Type I] </w:t>
            </w:r>
          </w:p>
          <w:p w:rsidR="00132811" w:rsidRDefault="00243C97">
            <w:pPr>
              <w:spacing w:after="20"/>
              <w:ind w:left="216"/>
            </w:pPr>
            <w:r>
              <w:rPr>
                <w:b/>
                <w:sz w:val="17"/>
              </w:rPr>
              <w:t xml:space="preserve">Issue: </w:t>
            </w:r>
            <w:r>
              <w:rPr>
                <w:sz w:val="17"/>
              </w:rPr>
              <w:t>Omission of correct syndromic term.</w:t>
            </w:r>
          </w:p>
          <w:p w:rsidR="00132811" w:rsidRDefault="00243C97">
            <w:pPr>
              <w:spacing w:after="20"/>
              <w:ind w:left="216"/>
            </w:pPr>
            <w:r>
              <w:rPr>
                <w:b/>
                <w:sz w:val="17"/>
              </w:rPr>
              <w:t xml:space="preserve">Correction: </w:t>
            </w:r>
            <w:r>
              <w:rPr>
                <w:sz w:val="17"/>
              </w:rPr>
              <w:t>Add Plummer–Vinson syndrome (triad: dysphagia, iron-deficiency anaemia, oesophageal web).</w:t>
            </w:r>
          </w:p>
          <w:p w:rsidR="00132811" w:rsidRDefault="00243C97">
            <w:pPr>
              <w:spacing w:after="80"/>
              <w:ind w:left="216"/>
            </w:pPr>
            <w:r>
              <w:rPr>
                <w:b/>
                <w:color w:val="1F3864"/>
                <w:sz w:val="17"/>
              </w:rPr>
              <w:t xml:space="preserve">Refs: </w:t>
            </w:r>
            <w:r>
              <w:rPr>
                <w:i/>
                <w:sz w:val="16"/>
              </w:rPr>
              <w:t>(1) Sabiston Textbook of Surgery, 21st ed. | (2) Bailey &amp; Love, 28th ed.</w:t>
            </w:r>
          </w:p>
          <w:p w:rsidR="00132811" w:rsidRDefault="00243C97">
            <w:pPr>
              <w:spacing w:before="40" w:after="20"/>
            </w:pPr>
            <w:r>
              <w:rPr>
                <w:b/>
                <w:color w:val="1F3864"/>
                <w:sz w:val="18"/>
              </w:rPr>
              <w:t xml:space="preserve">3. </w:t>
            </w:r>
            <w:r>
              <w:rPr>
                <w:i/>
                <w:color w:val="2E75B6"/>
                <w:sz w:val="17"/>
              </w:rPr>
              <w:t xml:space="preserve">[Type I] </w:t>
            </w:r>
          </w:p>
          <w:p w:rsidR="00132811" w:rsidRDefault="00243C97">
            <w:pPr>
              <w:spacing w:after="20"/>
              <w:ind w:left="216"/>
            </w:pPr>
            <w:r>
              <w:rPr>
                <w:b/>
                <w:sz w:val="17"/>
              </w:rPr>
              <w:t xml:space="preserve">Issue: </w:t>
            </w:r>
            <w:r>
              <w:rPr>
                <w:sz w:val="17"/>
              </w:rPr>
              <w:t>Omission of triad component.</w:t>
            </w:r>
          </w:p>
          <w:p w:rsidR="00132811" w:rsidRDefault="00243C97">
            <w:pPr>
              <w:spacing w:after="20"/>
              <w:ind w:left="216"/>
            </w:pPr>
            <w:r>
              <w:rPr>
                <w:b/>
                <w:sz w:val="17"/>
              </w:rPr>
              <w:t xml:space="preserve">Correction: </w:t>
            </w:r>
            <w:r>
              <w:rPr>
                <w:sz w:val="17"/>
              </w:rPr>
              <w:t>Add: iron-deficiency anaemia is a defining feature of Plummer–Vinson syndrome.</w:t>
            </w:r>
          </w:p>
          <w:p w:rsidR="00132811" w:rsidRDefault="00243C97">
            <w:pPr>
              <w:spacing w:after="80"/>
              <w:ind w:left="216"/>
            </w:pPr>
            <w:r>
              <w:rPr>
                <w:b/>
                <w:color w:val="1F3864"/>
                <w:sz w:val="17"/>
              </w:rPr>
              <w:t xml:space="preserve">Refs: </w:t>
            </w:r>
            <w:r>
              <w:rPr>
                <w:i/>
                <w:sz w:val="16"/>
              </w:rPr>
              <w:t>(1) Robbins and Cotran Pathologic Basis of Disease, 10th ed. | (2) Sabiston Textbook of Surgery, 21st ed.</w:t>
            </w:r>
          </w:p>
          <w:p w:rsidR="00132811" w:rsidRDefault="00243C97">
            <w:pPr>
              <w:spacing w:before="40" w:after="20"/>
            </w:pPr>
            <w:r>
              <w:rPr>
                <w:b/>
                <w:color w:val="1F3864"/>
                <w:sz w:val="18"/>
              </w:rPr>
              <w:t xml:space="preserve">4. </w:t>
            </w:r>
            <w:r>
              <w:rPr>
                <w:i/>
                <w:color w:val="2E75B6"/>
                <w:sz w:val="17"/>
              </w:rPr>
              <w:t xml:space="preserve">[Type I] </w:t>
            </w:r>
          </w:p>
          <w:p w:rsidR="00132811" w:rsidRDefault="00243C97">
            <w:pPr>
              <w:spacing w:after="20"/>
              <w:ind w:left="216"/>
            </w:pPr>
            <w:r>
              <w:rPr>
                <w:b/>
                <w:sz w:val="17"/>
              </w:rPr>
              <w:t xml:space="preserve">Issue: </w:t>
            </w:r>
            <w:r>
              <w:rPr>
                <w:sz w:val="17"/>
              </w:rPr>
              <w:t>Omission of associated finding.</w:t>
            </w:r>
          </w:p>
          <w:p w:rsidR="00132811" w:rsidRDefault="00243C97">
            <w:pPr>
              <w:spacing w:after="20"/>
              <w:ind w:left="216"/>
            </w:pPr>
            <w:r>
              <w:rPr>
                <w:b/>
                <w:sz w:val="17"/>
              </w:rPr>
              <w:t xml:space="preserve">Correction: </w:t>
            </w:r>
            <w:r>
              <w:rPr>
                <w:sz w:val="17"/>
              </w:rPr>
              <w:t>Add: glossitis is a defining feature of Plummer–Vinson syndrome.</w:t>
            </w:r>
          </w:p>
          <w:p w:rsidR="00132811" w:rsidRDefault="00243C97">
            <w:pPr>
              <w:spacing w:after="80"/>
              <w:ind w:left="216"/>
            </w:pPr>
            <w:r>
              <w:rPr>
                <w:b/>
                <w:color w:val="1F3864"/>
                <w:sz w:val="17"/>
              </w:rPr>
              <w:t xml:space="preserve">Refs: </w:t>
            </w:r>
            <w:r>
              <w:rPr>
                <w:i/>
                <w:sz w:val="16"/>
              </w:rPr>
              <w:t>(1) Robbins and Cotran Pathologic Basis of Disease, 10th ed. | (2) Bailey &amp; Love, 28th ed.</w:t>
            </w:r>
          </w:p>
          <w:p w:rsidR="00132811" w:rsidRDefault="00243C97">
            <w:pPr>
              <w:spacing w:before="40" w:after="20"/>
            </w:pPr>
            <w:r>
              <w:rPr>
                <w:b/>
                <w:color w:val="1F3864"/>
                <w:sz w:val="18"/>
              </w:rPr>
              <w:t xml:space="preserve">5. </w:t>
            </w:r>
            <w:r>
              <w:rPr>
                <w:i/>
                <w:color w:val="2E75B6"/>
                <w:sz w:val="17"/>
              </w:rPr>
              <w:t xml:space="preserve">[Type I] </w:t>
            </w:r>
          </w:p>
          <w:p w:rsidR="00132811" w:rsidRDefault="00243C97">
            <w:pPr>
              <w:spacing w:after="20"/>
              <w:ind w:left="216"/>
            </w:pPr>
            <w:r>
              <w:rPr>
                <w:b/>
                <w:sz w:val="17"/>
              </w:rPr>
              <w:t xml:space="preserve">Issue: </w:t>
            </w:r>
            <w:r>
              <w:rPr>
                <w:sz w:val="17"/>
              </w:rPr>
              <w:t>Coeliac disease is associated with small-bowel malignancies (EATL, small-bowel adenocarcinoma), not oesophageal SCC.</w:t>
            </w:r>
          </w:p>
          <w:p w:rsidR="00132811" w:rsidRDefault="00243C97">
            <w:pPr>
              <w:spacing w:after="20"/>
              <w:ind w:left="216"/>
            </w:pPr>
            <w:r>
              <w:rPr>
                <w:b/>
                <w:sz w:val="17"/>
              </w:rPr>
              <w:t xml:space="preserve">Correction: </w:t>
            </w:r>
            <w:r>
              <w:rPr>
                <w:sz w:val="17"/>
              </w:rPr>
              <w:t>Remove coeliac disease from the oesophageal-SCC risk-factor list.</w:t>
            </w:r>
          </w:p>
          <w:p w:rsidR="00132811" w:rsidRDefault="00243C97">
            <w:pPr>
              <w:spacing w:after="80"/>
              <w:ind w:left="216"/>
            </w:pPr>
            <w:r>
              <w:rPr>
                <w:b/>
                <w:color w:val="1F3864"/>
                <w:sz w:val="17"/>
              </w:rPr>
              <w:lastRenderedPageBreak/>
              <w:t xml:space="preserve">Refs: </w:t>
            </w:r>
            <w:r>
              <w:rPr>
                <w:i/>
                <w:sz w:val="16"/>
              </w:rPr>
              <w:t>(1) WHO World Cancer Report 2020 (IARC). | (2) Han Y et al. Aliment Pharmacol Ther. 2014 — coeliac disease and malignancy risk.</w:t>
            </w:r>
          </w:p>
          <w:p w:rsidR="00132811" w:rsidRDefault="00243C97">
            <w:pPr>
              <w:spacing w:before="40" w:after="20"/>
            </w:pPr>
            <w:r>
              <w:rPr>
                <w:b/>
                <w:color w:val="1F3864"/>
                <w:sz w:val="18"/>
              </w:rPr>
              <w:t xml:space="preserve">6. </w:t>
            </w:r>
            <w:r>
              <w:rPr>
                <w:i/>
                <w:color w:val="2E75B6"/>
                <w:sz w:val="17"/>
              </w:rPr>
              <w:t xml:space="preserve">[Type I] </w:t>
            </w:r>
          </w:p>
          <w:p w:rsidR="00132811" w:rsidRDefault="00243C97">
            <w:pPr>
              <w:spacing w:after="20"/>
              <w:ind w:left="216"/>
            </w:pPr>
            <w:r>
              <w:rPr>
                <w:b/>
                <w:sz w:val="17"/>
              </w:rPr>
              <w:t xml:space="preserve">Issue: </w:t>
            </w:r>
            <w:r>
              <w:rPr>
                <w:sz w:val="17"/>
              </w:rPr>
              <w:t>Omission of pathophysiological note.</w:t>
            </w:r>
          </w:p>
          <w:p w:rsidR="00132811" w:rsidRDefault="00243C97">
            <w:pPr>
              <w:spacing w:after="20"/>
              <w:ind w:left="216"/>
            </w:pPr>
            <w:r>
              <w:rPr>
                <w:b/>
                <w:sz w:val="17"/>
              </w:rPr>
              <w:t xml:space="preserve">Correction: </w:t>
            </w:r>
            <w:r>
              <w:rPr>
                <w:sz w:val="17"/>
              </w:rPr>
              <w:t>Clarify: it is the full PV triad — not isolated webs — that drives the upper-oesophageal/pharyngeal SCC risk.</w:t>
            </w:r>
          </w:p>
          <w:p w:rsidR="00132811" w:rsidRDefault="00243C97">
            <w:pPr>
              <w:spacing w:after="80"/>
              <w:ind w:left="216"/>
            </w:pPr>
            <w:r>
              <w:rPr>
                <w:b/>
                <w:color w:val="1F3864"/>
                <w:sz w:val="17"/>
              </w:rPr>
              <w:t xml:space="preserve">Refs: </w:t>
            </w:r>
            <w:r>
              <w:rPr>
                <w:i/>
                <w:sz w:val="16"/>
              </w:rPr>
              <w:t>(1) Bailey &amp; Love, 28th ed. | (2) Sabiston Textbook of Surgery, 21st ed.</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1F6E1F"/>
                <w:sz w:val="19"/>
              </w:rPr>
              <w:lastRenderedPageBreak/>
              <w:t>Accepted</w:t>
            </w:r>
          </w:p>
          <w:p w:rsidR="00132811" w:rsidRDefault="00243C97">
            <w:pPr>
              <w:spacing w:after="40"/>
            </w:pPr>
            <w:r>
              <w:rPr>
                <w:color w:val="333333"/>
                <w:sz w:val="17"/>
              </w:rPr>
              <w:t>Accepted — Confirmed by the Elsevier editorial team for the 25th edition</w:t>
            </w:r>
          </w:p>
        </w:tc>
      </w:tr>
    </w:tbl>
    <w:p w:rsidR="00132811" w:rsidRDefault="00132811"/>
    <w:p w:rsidR="00132811" w:rsidRDefault="00243C97">
      <w:pPr>
        <w:spacing w:before="240" w:after="80"/>
      </w:pPr>
      <w:r>
        <w:rPr>
          <w:b/>
          <w:color w:val="2E75B6"/>
          <w:sz w:val="24"/>
        </w:rPr>
        <w:t>6.5  Nelson Textbook of Pediatrics</w:t>
      </w:r>
    </w:p>
    <w:p w:rsidR="00132811" w:rsidRDefault="00243C97">
      <w:pPr>
        <w:spacing w:after="40"/>
      </w:pPr>
      <w:r>
        <w:rPr>
          <w:b/>
          <w:sz w:val="20"/>
        </w:rPr>
        <w:t xml:space="preserve">Specialty: </w:t>
      </w:r>
      <w:r>
        <w:rPr>
          <w:sz w:val="20"/>
        </w:rPr>
        <w:t>Paediatrics (cross-subspecialty)</w:t>
      </w:r>
    </w:p>
    <w:p w:rsidR="00132811" w:rsidRDefault="00243C97">
      <w:pPr>
        <w:spacing w:after="40"/>
      </w:pPr>
      <w:r>
        <w:rPr>
          <w:b/>
          <w:sz w:val="20"/>
        </w:rPr>
        <w:t xml:space="preserve">Total sub-contributions: </w:t>
      </w:r>
      <w:r>
        <w:rPr>
          <w:b/>
          <w:color w:val="1F3864"/>
          <w:sz w:val="20"/>
        </w:rPr>
        <w:t xml:space="preserve">43  </w:t>
      </w:r>
      <w:r>
        <w:rPr>
          <w:color w:val="606060"/>
          <w:sz w:val="19"/>
        </w:rPr>
        <w:t>(Type I: 17 · Type II: 13 · Type III: 6 · Type IV: 4 · Type V: 3)</w:t>
      </w:r>
    </w:p>
    <w:tbl>
      <w:tblPr>
        <w:tblW w:w="0" w:type="auto"/>
        <w:jc w:val="center"/>
        <w:tblLayout w:type="fixed"/>
        <w:tblLook w:val="04A0" w:firstRow="1" w:lastRow="0" w:firstColumn="1" w:lastColumn="0" w:noHBand="0" w:noVBand="1"/>
      </w:tblPr>
      <w:tblGrid>
        <w:gridCol w:w="461"/>
        <w:gridCol w:w="2232"/>
        <w:gridCol w:w="6336"/>
        <w:gridCol w:w="2779"/>
      </w:tblGrid>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w:t>
            </w:r>
          </w:p>
        </w:tc>
        <w:tc>
          <w:tcPr>
            <w:tcW w:w="2232"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Email submission topic</w:t>
            </w:r>
          </w:p>
        </w:tc>
        <w:tc>
          <w:tcPr>
            <w:tcW w:w="6336"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Sub-contributions (with two supporting references each)</w:t>
            </w:r>
          </w:p>
        </w:tc>
        <w:tc>
          <w:tcPr>
            <w:tcW w:w="2779"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Editorial response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1</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Chapter 743 (Marfan &amp; Related) — Table 743.4: genetic aortopathies (Loeys-Dietz, BAV, Shprintzen-Goldberg, MASA)</w:t>
            </w:r>
          </w:p>
          <w:p w:rsidR="00132811" w:rsidRDefault="00243C97">
            <w:pPr>
              <w:spacing w:after="40"/>
            </w:pPr>
            <w:r>
              <w:rPr>
                <w:b/>
                <w:color w:val="2E75B6"/>
                <w:sz w:val="18"/>
              </w:rPr>
              <w:t>14 sub-contributions</w:t>
            </w:r>
          </w:p>
          <w:p w:rsidR="00132811" w:rsidRDefault="00243C97">
            <w:pPr>
              <w:spacing w:after="40"/>
            </w:pPr>
            <w:r>
              <w:rPr>
                <w:color w:val="606060"/>
                <w:sz w:val="17"/>
              </w:rPr>
              <w:t>Type II: 1 · Type III: 6 · Type IV: 4 · Type V: 3</w:t>
            </w:r>
          </w:p>
          <w:p w:rsidR="00132811" w:rsidRDefault="00243C97">
            <w:pPr>
              <w:spacing w:after="0"/>
            </w:pPr>
            <w:r>
              <w:rPr>
                <w:b/>
                <w:sz w:val="17"/>
              </w:rPr>
              <w:t xml:space="preserve">Source: </w:t>
            </w:r>
            <w:r>
              <w:rPr>
                <w:i/>
                <w:sz w:val="17"/>
              </w:rPr>
              <w:t>Ch 743 (Marfan &amp; Related), Table 743.4, p. 4367 — Loeys–Dietz row</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III] </w:t>
            </w:r>
          </w:p>
          <w:p w:rsidR="00132811" w:rsidRDefault="00243C97">
            <w:pPr>
              <w:spacing w:after="20"/>
              <w:ind w:left="216"/>
            </w:pPr>
            <w:r>
              <w:rPr>
                <w:b/>
                <w:sz w:val="17"/>
              </w:rPr>
              <w:t xml:space="preserve">Issue: </w:t>
            </w:r>
            <w:r>
              <w:rPr>
                <w:sz w:val="17"/>
              </w:rPr>
              <w:t>TGFBR3 is not an established LDS-associated gene.</w:t>
            </w:r>
          </w:p>
          <w:p w:rsidR="00132811" w:rsidRDefault="00243C97">
            <w:pPr>
              <w:spacing w:after="20"/>
              <w:ind w:left="216"/>
            </w:pPr>
            <w:r>
              <w:rPr>
                <w:b/>
                <w:sz w:val="17"/>
              </w:rPr>
              <w:t xml:space="preserve">Correction: </w:t>
            </w:r>
            <w:r>
              <w:rPr>
                <w:sz w:val="17"/>
              </w:rPr>
              <w:t>Remove TGFBR3 from the Loeys–Dietz gene list.</w:t>
            </w:r>
          </w:p>
          <w:p w:rsidR="00132811" w:rsidRDefault="00243C97">
            <w:pPr>
              <w:spacing w:after="80"/>
              <w:ind w:left="216"/>
            </w:pPr>
            <w:r>
              <w:rPr>
                <w:b/>
                <w:color w:val="1F3864"/>
                <w:sz w:val="17"/>
              </w:rPr>
              <w:t xml:space="preserve">Refs: </w:t>
            </w:r>
            <w:r>
              <w:rPr>
                <w:i/>
                <w:sz w:val="16"/>
              </w:rPr>
              <w:t>(1) Loeys BL et al. A syndrome of altered cardiovascular, craniofacial, neurocognitive and skeletal development. Nat Genet. 2005;37:275–281. | (2) MacCarrick G et al. Loeys-Dietz syndrome: a primer for diagnosis and management. Genet Med. 2014;16(8):576–587. | (3) OMIM #609192 — Loeys-Dietz Syndrome.</w:t>
            </w:r>
          </w:p>
          <w:p w:rsidR="00132811" w:rsidRDefault="00243C97">
            <w:pPr>
              <w:spacing w:before="40" w:after="20"/>
            </w:pPr>
            <w:r>
              <w:rPr>
                <w:b/>
                <w:color w:val="1F3864"/>
                <w:sz w:val="18"/>
              </w:rPr>
              <w:t xml:space="preserve">2. </w:t>
            </w:r>
            <w:r>
              <w:rPr>
                <w:i/>
                <w:color w:val="2E75B6"/>
                <w:sz w:val="17"/>
              </w:rPr>
              <w:t xml:space="preserve">[Type III] </w:t>
            </w:r>
          </w:p>
          <w:p w:rsidR="00132811" w:rsidRDefault="00243C97">
            <w:pPr>
              <w:spacing w:after="20"/>
              <w:ind w:left="216"/>
            </w:pPr>
            <w:r>
              <w:rPr>
                <w:b/>
                <w:sz w:val="17"/>
              </w:rPr>
              <w:t xml:space="preserve">Issue: </w:t>
            </w:r>
            <w:r>
              <w:rPr>
                <w:sz w:val="17"/>
              </w:rPr>
              <w:t>Editorial duplication.</w:t>
            </w:r>
          </w:p>
          <w:p w:rsidR="00132811" w:rsidRDefault="00243C97">
            <w:pPr>
              <w:spacing w:after="20"/>
              <w:ind w:left="216"/>
            </w:pPr>
            <w:r>
              <w:rPr>
                <w:b/>
                <w:sz w:val="17"/>
              </w:rPr>
              <w:t xml:space="preserve">Correction: </w:t>
            </w:r>
            <w:r>
              <w:rPr>
                <w:sz w:val="17"/>
              </w:rPr>
              <w:t>Remove duplicate TGFBR2 entry.</w:t>
            </w:r>
          </w:p>
          <w:p w:rsidR="00132811" w:rsidRDefault="00243C97">
            <w:pPr>
              <w:spacing w:after="80"/>
              <w:ind w:left="216"/>
            </w:pPr>
            <w:r>
              <w:rPr>
                <w:b/>
                <w:color w:val="1F3864"/>
                <w:sz w:val="17"/>
              </w:rPr>
              <w:t xml:space="preserve">Refs: </w:t>
            </w:r>
            <w:r>
              <w:rPr>
                <w:i/>
                <w:sz w:val="16"/>
              </w:rPr>
              <w:t>(1) OMIM #610168 — LDS2. | (2) GeneReviews — Loeys-Dietz Syndrome.</w:t>
            </w:r>
          </w:p>
          <w:p w:rsidR="00132811" w:rsidRDefault="00243C97">
            <w:pPr>
              <w:spacing w:before="40" w:after="20"/>
            </w:pPr>
            <w:r>
              <w:rPr>
                <w:b/>
                <w:color w:val="1F3864"/>
                <w:sz w:val="18"/>
              </w:rPr>
              <w:t xml:space="preserve">3. </w:t>
            </w:r>
            <w:r>
              <w:rPr>
                <w:i/>
                <w:color w:val="2E75B6"/>
                <w:sz w:val="17"/>
              </w:rPr>
              <w:t xml:space="preserve">[Type III] </w:t>
            </w:r>
          </w:p>
          <w:p w:rsidR="00132811" w:rsidRDefault="00243C97">
            <w:pPr>
              <w:spacing w:after="20"/>
              <w:ind w:left="216"/>
            </w:pPr>
            <w:r>
              <w:rPr>
                <w:b/>
                <w:sz w:val="17"/>
              </w:rPr>
              <w:t xml:space="preserve">Issue: </w:t>
            </w:r>
            <w:r>
              <w:rPr>
                <w:sz w:val="17"/>
              </w:rPr>
              <w:t>Omission of canonical gene.</w:t>
            </w:r>
          </w:p>
          <w:p w:rsidR="00132811" w:rsidRDefault="00243C97">
            <w:pPr>
              <w:spacing w:after="20"/>
              <w:ind w:left="216"/>
            </w:pPr>
            <w:r>
              <w:rPr>
                <w:b/>
                <w:sz w:val="17"/>
              </w:rPr>
              <w:t xml:space="preserve">Correction: </w:t>
            </w:r>
            <w:r>
              <w:rPr>
                <w:sz w:val="17"/>
              </w:rPr>
              <w:t>Add SMAD3 as a canonical LDS gene (LDS3).</w:t>
            </w:r>
          </w:p>
          <w:p w:rsidR="00132811" w:rsidRDefault="00243C97">
            <w:pPr>
              <w:spacing w:after="80"/>
              <w:ind w:left="216"/>
            </w:pPr>
            <w:r>
              <w:rPr>
                <w:b/>
                <w:color w:val="1F3864"/>
                <w:sz w:val="17"/>
              </w:rPr>
              <w:t xml:space="preserve">Refs: </w:t>
            </w:r>
            <w:r>
              <w:rPr>
                <w:i/>
                <w:sz w:val="16"/>
              </w:rPr>
              <w:t>(1) GeneReviews — Loeys-Dietz Syndrome. | (2) OMIM #613795 — LDS3.</w:t>
            </w:r>
          </w:p>
          <w:p w:rsidR="00132811" w:rsidRDefault="00243C97">
            <w:pPr>
              <w:spacing w:before="40" w:after="20"/>
            </w:pPr>
            <w:r>
              <w:rPr>
                <w:b/>
                <w:color w:val="1F3864"/>
                <w:sz w:val="18"/>
              </w:rPr>
              <w:t xml:space="preserve">4. </w:t>
            </w:r>
            <w:r>
              <w:rPr>
                <w:i/>
                <w:color w:val="2E75B6"/>
                <w:sz w:val="17"/>
              </w:rPr>
              <w:t xml:space="preserve">[Type III] </w:t>
            </w:r>
          </w:p>
          <w:p w:rsidR="00132811" w:rsidRDefault="00243C97">
            <w:pPr>
              <w:spacing w:after="20"/>
              <w:ind w:left="216"/>
            </w:pPr>
            <w:r>
              <w:rPr>
                <w:b/>
                <w:sz w:val="17"/>
              </w:rPr>
              <w:t xml:space="preserve">Issue: </w:t>
            </w:r>
            <w:r>
              <w:rPr>
                <w:sz w:val="17"/>
              </w:rPr>
              <w:t>Omission of canonical gene.</w:t>
            </w:r>
          </w:p>
          <w:p w:rsidR="00132811" w:rsidRDefault="00243C97">
            <w:pPr>
              <w:spacing w:after="20"/>
              <w:ind w:left="216"/>
            </w:pPr>
            <w:r>
              <w:rPr>
                <w:b/>
                <w:sz w:val="17"/>
              </w:rPr>
              <w:t xml:space="preserve">Correction: </w:t>
            </w:r>
            <w:r>
              <w:rPr>
                <w:sz w:val="17"/>
              </w:rPr>
              <w:t>Add TGFB2 as a canonical LDS gene (LDS4).</w:t>
            </w:r>
          </w:p>
          <w:p w:rsidR="00132811" w:rsidRDefault="00243C97">
            <w:pPr>
              <w:spacing w:after="80"/>
              <w:ind w:left="216"/>
            </w:pPr>
            <w:r>
              <w:rPr>
                <w:b/>
                <w:color w:val="1F3864"/>
                <w:sz w:val="17"/>
              </w:rPr>
              <w:t xml:space="preserve">Refs: </w:t>
            </w:r>
            <w:r>
              <w:rPr>
                <w:i/>
                <w:sz w:val="16"/>
              </w:rPr>
              <w:t>(1) GeneReviews — Loeys-Dietz Syndrome. | (2) OMIM #614816 — LDS4.</w:t>
            </w:r>
          </w:p>
          <w:p w:rsidR="00132811" w:rsidRDefault="00243C97">
            <w:pPr>
              <w:spacing w:before="40" w:after="20"/>
            </w:pPr>
            <w:r>
              <w:rPr>
                <w:b/>
                <w:color w:val="1F3864"/>
                <w:sz w:val="18"/>
              </w:rPr>
              <w:t xml:space="preserve">5. </w:t>
            </w:r>
            <w:r>
              <w:rPr>
                <w:i/>
                <w:color w:val="2E75B6"/>
                <w:sz w:val="17"/>
              </w:rPr>
              <w:t xml:space="preserve">[Type III] </w:t>
            </w:r>
          </w:p>
          <w:p w:rsidR="00132811" w:rsidRDefault="00243C97">
            <w:pPr>
              <w:spacing w:after="20"/>
              <w:ind w:left="216"/>
            </w:pPr>
            <w:r>
              <w:rPr>
                <w:b/>
                <w:sz w:val="17"/>
              </w:rPr>
              <w:t xml:space="preserve">Issue: </w:t>
            </w:r>
            <w:r>
              <w:rPr>
                <w:sz w:val="17"/>
              </w:rPr>
              <w:t>Omission of canonical gene.</w:t>
            </w:r>
          </w:p>
          <w:p w:rsidR="00132811" w:rsidRDefault="00243C97">
            <w:pPr>
              <w:spacing w:after="20"/>
              <w:ind w:left="216"/>
            </w:pPr>
            <w:r>
              <w:rPr>
                <w:b/>
                <w:sz w:val="17"/>
              </w:rPr>
              <w:t xml:space="preserve">Correction: </w:t>
            </w:r>
            <w:r>
              <w:rPr>
                <w:sz w:val="17"/>
              </w:rPr>
              <w:t>Add TGFB3 as a canonical LDS gene (LDS5).</w:t>
            </w:r>
          </w:p>
          <w:p w:rsidR="00132811" w:rsidRDefault="00243C97">
            <w:pPr>
              <w:spacing w:after="80"/>
              <w:ind w:left="216"/>
            </w:pPr>
            <w:r>
              <w:rPr>
                <w:b/>
                <w:color w:val="1F3864"/>
                <w:sz w:val="17"/>
              </w:rPr>
              <w:t xml:space="preserve">Refs: </w:t>
            </w:r>
            <w:r>
              <w:rPr>
                <w:i/>
                <w:sz w:val="16"/>
              </w:rPr>
              <w:t>(1) GeneReviews — Loeys-Dietz Syndrome. | (2) OMIM #615582 — LDS5.</w:t>
            </w:r>
          </w:p>
          <w:p w:rsidR="00132811" w:rsidRDefault="00243C97">
            <w:pPr>
              <w:spacing w:before="40" w:after="20"/>
            </w:pPr>
            <w:r>
              <w:rPr>
                <w:b/>
                <w:color w:val="1F3864"/>
                <w:sz w:val="18"/>
              </w:rPr>
              <w:t xml:space="preserve">6. </w:t>
            </w:r>
            <w:r>
              <w:rPr>
                <w:i/>
                <w:color w:val="2E75B6"/>
                <w:sz w:val="17"/>
              </w:rPr>
              <w:t xml:space="preserve">[Type III] </w:t>
            </w:r>
          </w:p>
          <w:p w:rsidR="00132811" w:rsidRDefault="00243C97">
            <w:pPr>
              <w:spacing w:after="20"/>
              <w:ind w:left="216"/>
            </w:pPr>
            <w:r>
              <w:rPr>
                <w:b/>
                <w:sz w:val="17"/>
              </w:rPr>
              <w:t xml:space="preserve">Issue: </w:t>
            </w:r>
            <w:r>
              <w:rPr>
                <w:sz w:val="17"/>
              </w:rPr>
              <w:t>Misattribution: ACTA2 is a major cause of familial thoracic aortic aneurysm and dissection (FTAAD), not BAV.</w:t>
            </w:r>
          </w:p>
          <w:p w:rsidR="00132811" w:rsidRDefault="00243C97">
            <w:pPr>
              <w:spacing w:after="20"/>
              <w:ind w:left="216"/>
            </w:pPr>
            <w:r>
              <w:rPr>
                <w:b/>
                <w:sz w:val="17"/>
              </w:rPr>
              <w:t xml:space="preserve">Correction: </w:t>
            </w:r>
            <w:r>
              <w:rPr>
                <w:sz w:val="17"/>
              </w:rPr>
              <w:t>Remove ACTA2 attribution.</w:t>
            </w:r>
          </w:p>
          <w:p w:rsidR="00132811" w:rsidRDefault="00243C97">
            <w:pPr>
              <w:spacing w:after="80"/>
              <w:ind w:left="216"/>
            </w:pPr>
            <w:r>
              <w:rPr>
                <w:b/>
                <w:color w:val="1F3864"/>
                <w:sz w:val="17"/>
              </w:rPr>
              <w:t xml:space="preserve">Refs: </w:t>
            </w:r>
            <w:r>
              <w:rPr>
                <w:i/>
                <w:sz w:val="16"/>
              </w:rPr>
              <w:t>(1) Guo DC et al. Mutations in smooth muscle alpha-actin (ACTA2) lead to thoracic aortic aneurysms. Nat Genet. 2007. | (2) OMIM #109730.</w:t>
            </w:r>
          </w:p>
          <w:p w:rsidR="00132811" w:rsidRDefault="00243C97">
            <w:pPr>
              <w:spacing w:before="40" w:after="20"/>
            </w:pPr>
            <w:r>
              <w:rPr>
                <w:b/>
                <w:color w:val="1F3864"/>
                <w:sz w:val="18"/>
              </w:rPr>
              <w:t xml:space="preserve">7. </w:t>
            </w:r>
            <w:r>
              <w:rPr>
                <w:i/>
                <w:color w:val="2E75B6"/>
                <w:sz w:val="17"/>
              </w:rPr>
              <w:t xml:space="preserve">[Type IV] </w:t>
            </w:r>
          </w:p>
          <w:p w:rsidR="00132811" w:rsidRDefault="00243C97">
            <w:pPr>
              <w:spacing w:after="20"/>
              <w:ind w:left="216"/>
            </w:pPr>
            <w:r>
              <w:rPr>
                <w:b/>
                <w:sz w:val="17"/>
              </w:rPr>
              <w:t xml:space="preserve">Issue: </w:t>
            </w:r>
            <w:r>
              <w:rPr>
                <w:sz w:val="17"/>
              </w:rPr>
              <w:t>Omission of key BAV-associated gene.</w:t>
            </w:r>
          </w:p>
          <w:p w:rsidR="00132811" w:rsidRDefault="00243C97">
            <w:pPr>
              <w:spacing w:after="20"/>
              <w:ind w:left="216"/>
            </w:pPr>
            <w:r>
              <w:rPr>
                <w:b/>
                <w:sz w:val="17"/>
              </w:rPr>
              <w:t xml:space="preserve">Correction: </w:t>
            </w:r>
            <w:r>
              <w:rPr>
                <w:sz w:val="17"/>
              </w:rPr>
              <w:t>Add NOTCH1 as the key BAV-associated gene.</w:t>
            </w:r>
          </w:p>
          <w:p w:rsidR="00132811" w:rsidRDefault="00243C97">
            <w:pPr>
              <w:spacing w:after="80"/>
              <w:ind w:left="216"/>
            </w:pPr>
            <w:r>
              <w:rPr>
                <w:b/>
                <w:color w:val="1F3864"/>
                <w:sz w:val="17"/>
              </w:rPr>
              <w:lastRenderedPageBreak/>
              <w:t xml:space="preserve">Refs: </w:t>
            </w:r>
            <w:r>
              <w:rPr>
                <w:i/>
                <w:sz w:val="16"/>
              </w:rPr>
              <w:t>(1) Garg V et al. Mutations in NOTCH1 cause aortic valve disease. Nature. 2005;437:270–274. | (2) OMIM #109730.</w:t>
            </w:r>
          </w:p>
          <w:p w:rsidR="00132811" w:rsidRDefault="00243C97">
            <w:pPr>
              <w:spacing w:before="40" w:after="20"/>
            </w:pPr>
            <w:r>
              <w:rPr>
                <w:b/>
                <w:color w:val="1F3864"/>
                <w:sz w:val="18"/>
              </w:rPr>
              <w:t xml:space="preserve">8. </w:t>
            </w:r>
            <w:r>
              <w:rPr>
                <w:i/>
                <w:color w:val="2E75B6"/>
                <w:sz w:val="17"/>
              </w:rPr>
              <w:t xml:space="preserve">[Type IV] </w:t>
            </w:r>
          </w:p>
          <w:p w:rsidR="00132811" w:rsidRDefault="00243C97">
            <w:pPr>
              <w:spacing w:after="20"/>
              <w:ind w:left="216"/>
            </w:pPr>
            <w:r>
              <w:rPr>
                <w:b/>
                <w:sz w:val="17"/>
              </w:rPr>
              <w:t xml:space="preserve">Issue: </w:t>
            </w:r>
            <w:r>
              <w:rPr>
                <w:sz w:val="17"/>
              </w:rPr>
              <w:t>Conflation of distinct nosological entities.</w:t>
            </w:r>
          </w:p>
          <w:p w:rsidR="00132811" w:rsidRDefault="00243C97">
            <w:pPr>
              <w:spacing w:after="20"/>
              <w:ind w:left="216"/>
            </w:pPr>
            <w:r>
              <w:rPr>
                <w:b/>
                <w:sz w:val="17"/>
              </w:rPr>
              <w:t xml:space="preserve">Correction: </w:t>
            </w:r>
            <w:r>
              <w:rPr>
                <w:sz w:val="17"/>
              </w:rPr>
              <w:t>Clarify in the table that ACTA2 → FTAAD spectrum; NOTCH1 → BAV — distinct nosological entities.</w:t>
            </w:r>
          </w:p>
          <w:p w:rsidR="00132811" w:rsidRDefault="00243C97">
            <w:pPr>
              <w:spacing w:after="80"/>
              <w:ind w:left="216"/>
            </w:pPr>
            <w:r>
              <w:rPr>
                <w:b/>
                <w:color w:val="1F3864"/>
                <w:sz w:val="17"/>
              </w:rPr>
              <w:t xml:space="preserve">Refs: </w:t>
            </w:r>
            <w:r>
              <w:rPr>
                <w:i/>
                <w:sz w:val="16"/>
              </w:rPr>
              <w:t>(1) Guo DC et al. Nat Genet. 2007. | (2) Garg V et al. Nature. 2005;437:270–274.</w:t>
            </w:r>
          </w:p>
          <w:p w:rsidR="00132811" w:rsidRDefault="00243C97">
            <w:pPr>
              <w:spacing w:before="40" w:after="20"/>
            </w:pPr>
            <w:r>
              <w:rPr>
                <w:b/>
                <w:color w:val="1F3864"/>
                <w:sz w:val="18"/>
              </w:rPr>
              <w:t xml:space="preserve">9. </w:t>
            </w:r>
            <w:r>
              <w:rPr>
                <w:i/>
                <w:color w:val="2E75B6"/>
                <w:sz w:val="17"/>
              </w:rPr>
              <w:t xml:space="preserve">[Type IV] </w:t>
            </w:r>
          </w:p>
          <w:p w:rsidR="00132811" w:rsidRDefault="00243C97">
            <w:pPr>
              <w:spacing w:after="20"/>
              <w:ind w:left="216"/>
            </w:pPr>
            <w:r>
              <w:rPr>
                <w:b/>
                <w:sz w:val="17"/>
              </w:rPr>
              <w:t xml:space="preserve">Issue: </w:t>
            </w:r>
            <w:r>
              <w:rPr>
                <w:sz w:val="17"/>
              </w:rPr>
              <w:t>Cardiac involvement does occur.</w:t>
            </w:r>
          </w:p>
          <w:p w:rsidR="00132811" w:rsidRDefault="00243C97">
            <w:pPr>
              <w:spacing w:after="20"/>
              <w:ind w:left="216"/>
            </w:pPr>
            <w:r>
              <w:rPr>
                <w:b/>
                <w:sz w:val="17"/>
              </w:rPr>
              <w:t xml:space="preserve">Correction: </w:t>
            </w:r>
            <w:r>
              <w:rPr>
                <w:sz w:val="17"/>
              </w:rPr>
              <w:t>Remove "None" — cardiovascular involvement is documented.</w:t>
            </w:r>
          </w:p>
          <w:p w:rsidR="00132811" w:rsidRDefault="00243C97">
            <w:pPr>
              <w:spacing w:after="80"/>
              <w:ind w:left="216"/>
            </w:pPr>
            <w:r>
              <w:rPr>
                <w:b/>
                <w:color w:val="1F3864"/>
                <w:sz w:val="17"/>
              </w:rPr>
              <w:t xml:space="preserve">Refs: </w:t>
            </w:r>
            <w:r>
              <w:rPr>
                <w:i/>
                <w:sz w:val="16"/>
              </w:rPr>
              <w:t>(1) GeneReviews — Shprintzen-Goldberg Craniosynostosis Syndrome. | (2) Doyle AJ et al. Mutations in the TGF-β repressor SKI cause Shprintzen-Goldberg syndrome with aortic aneurysm. Nat Genet. 2012;44:1249–1254.</w:t>
            </w:r>
          </w:p>
          <w:p w:rsidR="00132811" w:rsidRDefault="00243C97">
            <w:pPr>
              <w:spacing w:before="40" w:after="20"/>
            </w:pPr>
            <w:r>
              <w:rPr>
                <w:b/>
                <w:color w:val="1F3864"/>
                <w:sz w:val="18"/>
              </w:rPr>
              <w:t xml:space="preserve">10. </w:t>
            </w:r>
            <w:r>
              <w:rPr>
                <w:i/>
                <w:color w:val="2E75B6"/>
                <w:sz w:val="17"/>
              </w:rPr>
              <w:t xml:space="preserve">[Type IV] </w:t>
            </w:r>
          </w:p>
          <w:p w:rsidR="00132811" w:rsidRDefault="00243C97">
            <w:pPr>
              <w:spacing w:after="20"/>
              <w:ind w:left="216"/>
            </w:pPr>
            <w:r>
              <w:rPr>
                <w:b/>
                <w:sz w:val="17"/>
              </w:rPr>
              <w:t xml:space="preserve">Issue: </w:t>
            </w:r>
            <w:r>
              <w:rPr>
                <w:sz w:val="17"/>
              </w:rPr>
              <w:t>Omission of established cardiovascular feature.</w:t>
            </w:r>
          </w:p>
          <w:p w:rsidR="00132811" w:rsidRDefault="00243C97">
            <w:pPr>
              <w:spacing w:after="20"/>
              <w:ind w:left="216"/>
            </w:pPr>
            <w:r>
              <w:rPr>
                <w:b/>
                <w:sz w:val="17"/>
              </w:rPr>
              <w:t xml:space="preserve">Correction: </w:t>
            </w:r>
            <w:r>
              <w:rPr>
                <w:sz w:val="17"/>
              </w:rPr>
              <w:t>Add aortic root dilatation.</w:t>
            </w:r>
          </w:p>
          <w:p w:rsidR="00132811" w:rsidRDefault="00243C97">
            <w:pPr>
              <w:spacing w:after="80"/>
              <w:ind w:left="216"/>
            </w:pPr>
            <w:r>
              <w:rPr>
                <w:b/>
                <w:color w:val="1F3864"/>
                <w:sz w:val="17"/>
              </w:rPr>
              <w:t xml:space="preserve">Refs: </w:t>
            </w:r>
            <w:r>
              <w:rPr>
                <w:i/>
                <w:sz w:val="16"/>
              </w:rPr>
              <w:t>(1) GeneReviews — Shprintzen-Goldberg. | (2) Doyle AJ et al. Nat Genet. 2012.</w:t>
            </w:r>
          </w:p>
          <w:p w:rsidR="00132811" w:rsidRDefault="00243C97">
            <w:pPr>
              <w:spacing w:before="40" w:after="20"/>
            </w:pPr>
            <w:r>
              <w:rPr>
                <w:b/>
                <w:color w:val="1F3864"/>
                <w:sz w:val="18"/>
              </w:rPr>
              <w:t xml:space="preserve">11. </w:t>
            </w:r>
            <w:r>
              <w:rPr>
                <w:i/>
                <w:color w:val="2E75B6"/>
                <w:sz w:val="17"/>
              </w:rPr>
              <w:t xml:space="preserve">[Type V] </w:t>
            </w:r>
          </w:p>
          <w:p w:rsidR="00132811" w:rsidRDefault="00243C97">
            <w:pPr>
              <w:spacing w:after="20"/>
              <w:ind w:left="216"/>
            </w:pPr>
            <w:r>
              <w:rPr>
                <w:b/>
                <w:sz w:val="17"/>
              </w:rPr>
              <w:t xml:space="preserve">Issue: </w:t>
            </w:r>
            <w:r>
              <w:rPr>
                <w:sz w:val="17"/>
              </w:rPr>
              <w:t>Omission of cardiovascular feature.</w:t>
            </w:r>
          </w:p>
          <w:p w:rsidR="00132811" w:rsidRDefault="00243C97">
            <w:pPr>
              <w:spacing w:after="20"/>
              <w:ind w:left="216"/>
            </w:pPr>
            <w:r>
              <w:rPr>
                <w:b/>
                <w:sz w:val="17"/>
              </w:rPr>
              <w:t xml:space="preserve">Correction: </w:t>
            </w:r>
            <w:r>
              <w:rPr>
                <w:sz w:val="17"/>
              </w:rPr>
              <w:t>Add aortic aneurysm as a cardiovascular feature.</w:t>
            </w:r>
          </w:p>
          <w:p w:rsidR="00132811" w:rsidRDefault="00243C97">
            <w:pPr>
              <w:spacing w:after="80"/>
              <w:ind w:left="216"/>
            </w:pPr>
            <w:r>
              <w:rPr>
                <w:b/>
                <w:color w:val="1F3864"/>
                <w:sz w:val="17"/>
              </w:rPr>
              <w:t xml:space="preserve">Refs: </w:t>
            </w:r>
            <w:r>
              <w:rPr>
                <w:i/>
                <w:sz w:val="16"/>
              </w:rPr>
              <w:t>(1) GeneReviews — Shprintzen-Goldberg. | (2) Doyle AJ et al. Nat Genet. 2012.</w:t>
            </w:r>
          </w:p>
          <w:p w:rsidR="00132811" w:rsidRDefault="00243C97">
            <w:pPr>
              <w:spacing w:before="40" w:after="20"/>
            </w:pPr>
            <w:r>
              <w:rPr>
                <w:b/>
                <w:color w:val="1F3864"/>
                <w:sz w:val="18"/>
              </w:rPr>
              <w:t xml:space="preserve">12. </w:t>
            </w:r>
            <w:r>
              <w:rPr>
                <w:i/>
                <w:color w:val="2E75B6"/>
                <w:sz w:val="17"/>
              </w:rPr>
              <w:t xml:space="preserve">[Type V] </w:t>
            </w:r>
          </w:p>
          <w:p w:rsidR="00132811" w:rsidRDefault="00243C97">
            <w:pPr>
              <w:spacing w:after="20"/>
              <w:ind w:left="216"/>
            </w:pPr>
            <w:r>
              <w:rPr>
                <w:b/>
                <w:sz w:val="17"/>
              </w:rPr>
              <w:t xml:space="preserve">Issue: </w:t>
            </w:r>
            <w:r>
              <w:rPr>
                <w:sz w:val="17"/>
              </w:rPr>
              <w:t>Omission of associated valvular involvement.</w:t>
            </w:r>
          </w:p>
          <w:p w:rsidR="00132811" w:rsidRDefault="00243C97">
            <w:pPr>
              <w:spacing w:after="20"/>
              <w:ind w:left="216"/>
            </w:pPr>
            <w:r>
              <w:rPr>
                <w:b/>
                <w:sz w:val="17"/>
              </w:rPr>
              <w:t xml:space="preserve">Correction: </w:t>
            </w:r>
            <w:r>
              <w:rPr>
                <w:sz w:val="17"/>
              </w:rPr>
              <w:t>Add valvular abnormalities.</w:t>
            </w:r>
          </w:p>
          <w:p w:rsidR="00132811" w:rsidRDefault="00243C97">
            <w:pPr>
              <w:spacing w:after="80"/>
              <w:ind w:left="216"/>
            </w:pPr>
            <w:r>
              <w:rPr>
                <w:b/>
                <w:color w:val="1F3864"/>
                <w:sz w:val="17"/>
              </w:rPr>
              <w:t xml:space="preserve">Refs: </w:t>
            </w:r>
            <w:r>
              <w:rPr>
                <w:i/>
                <w:sz w:val="16"/>
              </w:rPr>
              <w:t>(1) GeneReviews — Shprintzen-Goldberg. | (2) Doyle AJ et al. Nat Genet. 2012.</w:t>
            </w:r>
          </w:p>
          <w:p w:rsidR="00132811" w:rsidRDefault="00243C97">
            <w:pPr>
              <w:spacing w:before="40" w:after="20"/>
            </w:pPr>
            <w:r>
              <w:rPr>
                <w:b/>
                <w:color w:val="1F3864"/>
                <w:sz w:val="18"/>
              </w:rPr>
              <w:t xml:space="preserve">13. </w:t>
            </w:r>
            <w:r>
              <w:rPr>
                <w:i/>
                <w:color w:val="2E75B6"/>
                <w:sz w:val="17"/>
              </w:rPr>
              <w:t xml:space="preserve">[Type V] </w:t>
            </w:r>
          </w:p>
          <w:p w:rsidR="00132811" w:rsidRDefault="00243C97">
            <w:pPr>
              <w:spacing w:after="20"/>
              <w:ind w:left="216"/>
            </w:pPr>
            <w:r>
              <w:rPr>
                <w:b/>
                <w:sz w:val="17"/>
              </w:rPr>
              <w:t xml:space="preserve">Issue: </w:t>
            </w:r>
            <w:r>
              <w:rPr>
                <w:sz w:val="17"/>
              </w:rPr>
              <w:t>Incorrect gene attribution — MASA / L1 syndrome is X-linked and caused by L1CAM mutations.</w:t>
            </w:r>
          </w:p>
          <w:p w:rsidR="00132811" w:rsidRDefault="00243C97">
            <w:pPr>
              <w:spacing w:after="20"/>
              <w:ind w:left="216"/>
            </w:pPr>
            <w:r>
              <w:rPr>
                <w:b/>
                <w:sz w:val="17"/>
              </w:rPr>
              <w:t xml:space="preserve">Correction: </w:t>
            </w:r>
            <w:r>
              <w:rPr>
                <w:sz w:val="17"/>
              </w:rPr>
              <w:t>Remove FBN1 attribution.</w:t>
            </w:r>
          </w:p>
          <w:p w:rsidR="00132811" w:rsidRDefault="00243C97">
            <w:pPr>
              <w:spacing w:after="80"/>
              <w:ind w:left="216"/>
            </w:pPr>
            <w:r>
              <w:rPr>
                <w:b/>
                <w:color w:val="1F3864"/>
                <w:sz w:val="17"/>
              </w:rPr>
              <w:t xml:space="preserve">Refs: </w:t>
            </w:r>
            <w:r>
              <w:rPr>
                <w:i/>
                <w:sz w:val="16"/>
              </w:rPr>
              <w:t>(1) OMIM #303350 — MASA syndrome. | (2) GeneReviews — L1 Syndrome.</w:t>
            </w:r>
          </w:p>
          <w:p w:rsidR="00132811" w:rsidRDefault="00243C97">
            <w:pPr>
              <w:spacing w:before="40" w:after="20"/>
            </w:pPr>
            <w:r>
              <w:rPr>
                <w:b/>
                <w:color w:val="1F3864"/>
                <w:sz w:val="18"/>
              </w:rPr>
              <w:t xml:space="preserve">14. </w:t>
            </w:r>
            <w:r>
              <w:rPr>
                <w:i/>
                <w:color w:val="2E75B6"/>
                <w:sz w:val="17"/>
              </w:rPr>
              <w:t xml:space="preserve">[Type II] </w:t>
            </w:r>
          </w:p>
          <w:p w:rsidR="00132811" w:rsidRDefault="00243C97">
            <w:pPr>
              <w:spacing w:after="20"/>
              <w:ind w:left="216"/>
            </w:pPr>
            <w:r>
              <w:rPr>
                <w:b/>
                <w:sz w:val="17"/>
              </w:rPr>
              <w:t xml:space="preserve">Issue: </w:t>
            </w:r>
            <w:r>
              <w:rPr>
                <w:sz w:val="17"/>
              </w:rPr>
              <w:t>Omission of correct causative gene.</w:t>
            </w:r>
          </w:p>
          <w:p w:rsidR="00132811" w:rsidRDefault="00243C97">
            <w:pPr>
              <w:spacing w:after="20"/>
              <w:ind w:left="216"/>
            </w:pPr>
            <w:r>
              <w:rPr>
                <w:b/>
                <w:sz w:val="17"/>
              </w:rPr>
              <w:t xml:space="preserve">Correction: </w:t>
            </w:r>
            <w:r>
              <w:rPr>
                <w:sz w:val="17"/>
              </w:rPr>
              <w:t>Add L1CAM — correct X-linked gene for MASA / L1 syndrome.</w:t>
            </w:r>
          </w:p>
          <w:p w:rsidR="00132811" w:rsidRDefault="00243C97">
            <w:pPr>
              <w:spacing w:after="80"/>
              <w:ind w:left="216"/>
            </w:pPr>
            <w:r>
              <w:rPr>
                <w:b/>
                <w:color w:val="1F3864"/>
                <w:sz w:val="17"/>
              </w:rPr>
              <w:t xml:space="preserve">Refs: </w:t>
            </w:r>
            <w:r>
              <w:rPr>
                <w:i/>
                <w:sz w:val="16"/>
              </w:rPr>
              <w:t>(1) GeneReviews — L1 Syndrome. | (2) OMIM #308840 — L1CAM.</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1F6E1F"/>
                <w:sz w:val="19"/>
              </w:rPr>
              <w:lastRenderedPageBreak/>
              <w:t>Acknowledged</w:t>
            </w:r>
          </w:p>
          <w:p w:rsidR="00132811" w:rsidRDefault="00243C97">
            <w:pPr>
              <w:spacing w:after="40"/>
            </w:pPr>
            <w:r>
              <w:rPr>
                <w:color w:val="333333"/>
                <w:sz w:val="17"/>
              </w:rPr>
              <w:t>Acknowledged — Routed by the editorial team to the genetics/cardiology subspecialty editor for incorporation review</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lastRenderedPageBreak/>
              <w:t>2</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Chapter 631 — Microcephaly, megalencephaly, and teratogens (Table 631.3)</w:t>
            </w:r>
          </w:p>
          <w:p w:rsidR="00132811" w:rsidRDefault="00243C97">
            <w:pPr>
              <w:spacing w:after="40"/>
            </w:pPr>
            <w:r>
              <w:rPr>
                <w:b/>
                <w:color w:val="2E75B6"/>
                <w:sz w:val="18"/>
              </w:rPr>
              <w:t>6 sub-contributions</w:t>
            </w:r>
          </w:p>
          <w:p w:rsidR="00132811" w:rsidRDefault="00243C97">
            <w:pPr>
              <w:spacing w:after="40"/>
            </w:pPr>
            <w:r>
              <w:rPr>
                <w:color w:val="606060"/>
                <w:sz w:val="17"/>
              </w:rPr>
              <w:t>Type I: 4 · Type II: 2</w:t>
            </w:r>
          </w:p>
          <w:p w:rsidR="00132811" w:rsidRDefault="00243C97">
            <w:pPr>
              <w:spacing w:after="0"/>
            </w:pPr>
            <w:r>
              <w:rPr>
                <w:b/>
                <w:sz w:val="17"/>
              </w:rPr>
              <w:t xml:space="preserve">Source: </w:t>
            </w:r>
            <w:r>
              <w:rPr>
                <w:i/>
                <w:sz w:val="17"/>
              </w:rPr>
              <w:t>Table 631.3 — Causes of Microcephaly</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Imprecise SD threshold.</w:t>
            </w:r>
          </w:p>
          <w:p w:rsidR="00132811" w:rsidRDefault="00243C97">
            <w:pPr>
              <w:spacing w:after="20"/>
              <w:ind w:left="216"/>
            </w:pPr>
            <w:r>
              <w:rPr>
                <w:b/>
                <w:sz w:val="17"/>
              </w:rPr>
              <w:t xml:space="preserve">Correction: </w:t>
            </w:r>
            <w:r>
              <w:rPr>
                <w:sz w:val="17"/>
              </w:rPr>
              <w:t>Standard definition: OFC ≤ −2 SD for age and sex.</w:t>
            </w:r>
          </w:p>
          <w:p w:rsidR="00132811" w:rsidRDefault="00243C97">
            <w:pPr>
              <w:spacing w:after="80"/>
              <w:ind w:left="216"/>
            </w:pPr>
            <w:r>
              <w:rPr>
                <w:b/>
                <w:color w:val="1F3864"/>
                <w:sz w:val="17"/>
              </w:rPr>
              <w:t xml:space="preserve">Refs: </w:t>
            </w:r>
            <w:r>
              <w:rPr>
                <w:i/>
                <w:sz w:val="16"/>
              </w:rPr>
              <w:t>(1) WHO Child Growth Standards. | (2) Ashwal S et al. AAN Practice Parameter: Evaluation of the child with microcephaly. Neurology. 2009;73:887–897.</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severity stratification.</w:t>
            </w:r>
          </w:p>
          <w:p w:rsidR="00132811" w:rsidRDefault="00243C97">
            <w:pPr>
              <w:spacing w:after="20"/>
              <w:ind w:left="216"/>
            </w:pPr>
            <w:r>
              <w:rPr>
                <w:b/>
                <w:sz w:val="17"/>
              </w:rPr>
              <w:t xml:space="preserve">Correction: </w:t>
            </w:r>
            <w:r>
              <w:rPr>
                <w:sz w:val="17"/>
              </w:rPr>
              <w:t>Add: severe microcephaly = OFC ≤ −3 SD.</w:t>
            </w:r>
          </w:p>
          <w:p w:rsidR="00132811" w:rsidRDefault="00243C97">
            <w:pPr>
              <w:spacing w:after="80"/>
              <w:ind w:left="216"/>
            </w:pPr>
            <w:r>
              <w:rPr>
                <w:b/>
                <w:color w:val="1F3864"/>
                <w:sz w:val="17"/>
              </w:rPr>
              <w:t xml:space="preserve">Refs: </w:t>
            </w:r>
            <w:r>
              <w:rPr>
                <w:i/>
                <w:sz w:val="16"/>
              </w:rPr>
              <w:t>(1) Ashwal S et al. AAN Practice Parameter. Neurology. 2009;73:887–897. | (2) WHO Child Growth Standards.</w:t>
            </w:r>
          </w:p>
          <w:p w:rsidR="00132811" w:rsidRDefault="00243C97">
            <w:pPr>
              <w:spacing w:before="40" w:after="20"/>
            </w:pPr>
            <w:r>
              <w:rPr>
                <w:b/>
                <w:color w:val="1F3864"/>
                <w:sz w:val="18"/>
              </w:rPr>
              <w:t xml:space="preserve">3. </w:t>
            </w:r>
            <w:r>
              <w:rPr>
                <w:i/>
                <w:color w:val="2E75B6"/>
                <w:sz w:val="17"/>
              </w:rPr>
              <w:t xml:space="preserve">[Type I] </w:t>
            </w:r>
          </w:p>
          <w:p w:rsidR="00132811" w:rsidRDefault="00243C97">
            <w:pPr>
              <w:spacing w:after="20"/>
              <w:ind w:left="216"/>
            </w:pPr>
            <w:r>
              <w:rPr>
                <w:b/>
                <w:sz w:val="17"/>
              </w:rPr>
              <w:t xml:space="preserve">Issue: </w:t>
            </w:r>
            <w:r>
              <w:rPr>
                <w:sz w:val="17"/>
              </w:rPr>
              <w:t>Incorrect parameter for the standard clinical definition.</w:t>
            </w:r>
          </w:p>
          <w:p w:rsidR="00132811" w:rsidRDefault="00243C97">
            <w:pPr>
              <w:spacing w:after="20"/>
              <w:ind w:left="216"/>
            </w:pPr>
            <w:r>
              <w:rPr>
                <w:b/>
                <w:sz w:val="17"/>
              </w:rPr>
              <w:t xml:space="preserve">Correction: </w:t>
            </w:r>
            <w:r>
              <w:rPr>
                <w:sz w:val="17"/>
              </w:rPr>
              <w:t>Megalencephaly = increased brain volume, typically OFC ≥ +2 SD.</w:t>
            </w:r>
          </w:p>
          <w:p w:rsidR="00132811" w:rsidRDefault="00243C97">
            <w:pPr>
              <w:spacing w:after="80"/>
              <w:ind w:left="216"/>
            </w:pPr>
            <w:r>
              <w:rPr>
                <w:b/>
                <w:color w:val="1F3864"/>
                <w:sz w:val="17"/>
              </w:rPr>
              <w:lastRenderedPageBreak/>
              <w:t xml:space="preserve">Refs: </w:t>
            </w:r>
            <w:r>
              <w:rPr>
                <w:i/>
                <w:sz w:val="16"/>
              </w:rPr>
              <w:t>(1) Mirzaa GM, Poduri A. Megalencephaly and hemimegalencephaly. Am J Med Genet C. 2014;166C:156–172. | (2) Williams CA et al. Genetics of megalencephaly. Pediatr Clin North Am.</w:t>
            </w:r>
          </w:p>
          <w:p w:rsidR="00132811" w:rsidRDefault="00243C97">
            <w:pPr>
              <w:spacing w:before="40" w:after="20"/>
            </w:pPr>
            <w:r>
              <w:rPr>
                <w:b/>
                <w:color w:val="1F3864"/>
                <w:sz w:val="18"/>
              </w:rPr>
              <w:t xml:space="preserve">4. </w:t>
            </w:r>
            <w:r>
              <w:rPr>
                <w:i/>
                <w:color w:val="2E75B6"/>
                <w:sz w:val="17"/>
              </w:rPr>
              <w:t xml:space="preserve">[Type II] </w:t>
            </w:r>
          </w:p>
          <w:p w:rsidR="00132811" w:rsidRDefault="00243C97">
            <w:pPr>
              <w:spacing w:after="20"/>
              <w:ind w:left="216"/>
            </w:pPr>
            <w:r>
              <w:rPr>
                <w:b/>
                <w:sz w:val="17"/>
              </w:rPr>
              <w:t xml:space="preserve">Issue: </w:t>
            </w:r>
            <w:r>
              <w:rPr>
                <w:sz w:val="17"/>
              </w:rPr>
              <w:t>Omission of definitional distinction.</w:t>
            </w:r>
          </w:p>
          <w:p w:rsidR="00132811" w:rsidRDefault="00243C97">
            <w:pPr>
              <w:spacing w:after="20"/>
              <w:ind w:left="216"/>
            </w:pPr>
            <w:r>
              <w:rPr>
                <w:b/>
                <w:sz w:val="17"/>
              </w:rPr>
              <w:t xml:space="preserve">Correction: </w:t>
            </w:r>
            <w:r>
              <w:rPr>
                <w:sz w:val="17"/>
              </w:rPr>
              <w:t>Add: macrocephaly may have non-parenchymal causes (e.g., hydrocephalus, subdural collections).</w:t>
            </w:r>
          </w:p>
          <w:p w:rsidR="00132811" w:rsidRDefault="00243C97">
            <w:pPr>
              <w:spacing w:after="80"/>
              <w:ind w:left="216"/>
            </w:pPr>
            <w:r>
              <w:rPr>
                <w:b/>
                <w:color w:val="1F3864"/>
                <w:sz w:val="17"/>
              </w:rPr>
              <w:t xml:space="preserve">Refs: </w:t>
            </w:r>
            <w:r>
              <w:rPr>
                <w:i/>
                <w:sz w:val="16"/>
              </w:rPr>
              <w:t>(1) Mirzaa GM, Poduri A. Am J Med Genet C. 2014;166C:156–172. | (2) Standard paediatric neurology references.</w:t>
            </w:r>
          </w:p>
          <w:p w:rsidR="00132811" w:rsidRDefault="00243C97">
            <w:pPr>
              <w:spacing w:before="40" w:after="20"/>
            </w:pPr>
            <w:r>
              <w:rPr>
                <w:b/>
                <w:color w:val="1F3864"/>
                <w:sz w:val="18"/>
              </w:rPr>
              <w:t xml:space="preserve">5. </w:t>
            </w:r>
            <w:r>
              <w:rPr>
                <w:i/>
                <w:color w:val="2E75B6"/>
                <w:sz w:val="17"/>
              </w:rPr>
              <w:t xml:space="preserve">[Type I] </w:t>
            </w:r>
          </w:p>
          <w:p w:rsidR="00132811" w:rsidRDefault="00243C97">
            <w:pPr>
              <w:spacing w:after="20"/>
              <w:ind w:left="216"/>
            </w:pPr>
            <w:r>
              <w:rPr>
                <w:b/>
                <w:sz w:val="17"/>
              </w:rPr>
              <w:t xml:space="preserve">Issue: </w:t>
            </w:r>
            <w:r>
              <w:rPr>
                <w:sz w:val="17"/>
              </w:rPr>
              <w:t>Clear factual error.</w:t>
            </w:r>
          </w:p>
          <w:p w:rsidR="00132811" w:rsidRDefault="00243C97">
            <w:pPr>
              <w:spacing w:after="20"/>
              <w:ind w:left="216"/>
            </w:pPr>
            <w:r>
              <w:rPr>
                <w:b/>
                <w:sz w:val="17"/>
              </w:rPr>
              <w:t xml:space="preserve">Correction: </w:t>
            </w:r>
            <w:r>
              <w:rPr>
                <w:sz w:val="17"/>
              </w:rPr>
              <w:t>Remove. Hydration is not a teratogen.</w:t>
            </w:r>
          </w:p>
          <w:p w:rsidR="00132811" w:rsidRDefault="00243C97">
            <w:pPr>
              <w:spacing w:after="80"/>
              <w:ind w:left="216"/>
            </w:pPr>
            <w:r>
              <w:rPr>
                <w:b/>
                <w:color w:val="1F3864"/>
                <w:sz w:val="17"/>
              </w:rPr>
              <w:t xml:space="preserve">Refs: </w:t>
            </w:r>
            <w:r>
              <w:rPr>
                <w:i/>
                <w:sz w:val="16"/>
              </w:rPr>
              <w:t>(1) Reprotox database — list of established teratogens. | (2) Briggs Drugs in Pregnancy and Lactation, 12th ed.</w:t>
            </w:r>
          </w:p>
          <w:p w:rsidR="00132811" w:rsidRDefault="00243C97">
            <w:pPr>
              <w:spacing w:before="40" w:after="20"/>
            </w:pPr>
            <w:r>
              <w:rPr>
                <w:b/>
                <w:color w:val="1F3864"/>
                <w:sz w:val="18"/>
              </w:rPr>
              <w:t xml:space="preserve">6. </w:t>
            </w:r>
            <w:r>
              <w:rPr>
                <w:i/>
                <w:color w:val="2E75B6"/>
                <w:sz w:val="17"/>
              </w:rPr>
              <w:t xml:space="preserve">[Type I] </w:t>
            </w:r>
          </w:p>
          <w:p w:rsidR="00132811" w:rsidRDefault="00243C97">
            <w:pPr>
              <w:spacing w:after="20"/>
              <w:ind w:left="216"/>
            </w:pPr>
            <w:r>
              <w:rPr>
                <w:b/>
                <w:sz w:val="17"/>
              </w:rPr>
              <w:t xml:space="preserve">Issue: </w:t>
            </w:r>
            <w:r>
              <w:rPr>
                <w:sz w:val="17"/>
              </w:rPr>
              <w:t>Editorial gap requiring substitution.</w:t>
            </w:r>
          </w:p>
          <w:p w:rsidR="00132811" w:rsidRDefault="00243C97">
            <w:pPr>
              <w:spacing w:after="20"/>
              <w:ind w:left="216"/>
            </w:pPr>
            <w:r>
              <w:rPr>
                <w:b/>
                <w:sz w:val="17"/>
              </w:rPr>
              <w:t xml:space="preserve">Correction: </w:t>
            </w:r>
            <w:r>
              <w:rPr>
                <w:sz w:val="17"/>
              </w:rPr>
              <w:t>Replace with a valid teratogenic exposure (e.g., alcohol, valproate, isotretinoin).</w:t>
            </w:r>
          </w:p>
          <w:p w:rsidR="00132811" w:rsidRDefault="00243C97">
            <w:pPr>
              <w:spacing w:after="80"/>
              <w:ind w:left="216"/>
            </w:pPr>
            <w:r>
              <w:rPr>
                <w:b/>
                <w:color w:val="1F3864"/>
                <w:sz w:val="17"/>
              </w:rPr>
              <w:t xml:space="preserve">Refs: </w:t>
            </w:r>
            <w:r>
              <w:rPr>
                <w:i/>
                <w:sz w:val="16"/>
              </w:rPr>
              <w:t>(1) Briggs Drugs in Pregnancy and Lactation, 12th ed. | (2) Reprotox.</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1F6E1F"/>
                <w:sz w:val="19"/>
              </w:rPr>
              <w:lastRenderedPageBreak/>
              <w:t>Acknowledged</w:t>
            </w:r>
          </w:p>
          <w:p w:rsidR="00132811" w:rsidRDefault="00243C97">
            <w:pPr>
              <w:spacing w:after="40"/>
            </w:pPr>
            <w:r>
              <w:rPr>
                <w:color w:val="333333"/>
                <w:sz w:val="17"/>
              </w:rPr>
              <w:t>Acknowledged — Routed to the paediatric neurology subspecialty editor for next-edition review</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lastRenderedPageBreak/>
              <w:t>3</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Chapter 575 — Urinary tract infection risk factors (Table 575.1)</w:t>
            </w:r>
          </w:p>
          <w:p w:rsidR="00132811" w:rsidRDefault="00243C97">
            <w:pPr>
              <w:spacing w:after="40"/>
            </w:pPr>
            <w:r>
              <w:rPr>
                <w:b/>
                <w:color w:val="2E75B6"/>
                <w:sz w:val="18"/>
              </w:rPr>
              <w:t>3 sub-contributions</w:t>
            </w:r>
          </w:p>
          <w:p w:rsidR="00132811" w:rsidRDefault="00243C97">
            <w:pPr>
              <w:spacing w:after="40"/>
            </w:pPr>
            <w:r>
              <w:rPr>
                <w:color w:val="606060"/>
                <w:sz w:val="17"/>
              </w:rPr>
              <w:t>Type II: 3</w:t>
            </w:r>
          </w:p>
          <w:p w:rsidR="00132811" w:rsidRDefault="00243C97">
            <w:pPr>
              <w:spacing w:after="0"/>
            </w:pPr>
            <w:r>
              <w:rPr>
                <w:b/>
                <w:sz w:val="17"/>
              </w:rPr>
              <w:t xml:space="preserve">Source: </w:t>
            </w:r>
            <w:r>
              <w:rPr>
                <w:i/>
                <w:sz w:val="17"/>
              </w:rPr>
              <w:t>Table 575.1 — Risk Factors for UTI</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II] </w:t>
            </w:r>
          </w:p>
          <w:p w:rsidR="00132811" w:rsidRDefault="00243C97">
            <w:pPr>
              <w:spacing w:after="20"/>
              <w:ind w:left="216"/>
            </w:pPr>
            <w:r>
              <w:rPr>
                <w:b/>
                <w:sz w:val="17"/>
              </w:rPr>
              <w:t xml:space="preserve">Issue: </w:t>
            </w:r>
            <w:r>
              <w:rPr>
                <w:sz w:val="17"/>
              </w:rPr>
              <w:t>Omission of paediatric-context clarification.</w:t>
            </w:r>
          </w:p>
          <w:p w:rsidR="00132811" w:rsidRDefault="00243C97">
            <w:pPr>
              <w:spacing w:after="20"/>
              <w:ind w:left="216"/>
            </w:pPr>
            <w:r>
              <w:rPr>
                <w:b/>
                <w:sz w:val="17"/>
              </w:rPr>
              <w:t xml:space="preserve">Correction: </w:t>
            </w:r>
            <w:r>
              <w:rPr>
                <w:sz w:val="17"/>
              </w:rPr>
              <w:t>Clarify: applies only to pregnant adolescents in a paediatric context.</w:t>
            </w:r>
          </w:p>
          <w:p w:rsidR="00132811" w:rsidRDefault="00243C97">
            <w:pPr>
              <w:spacing w:after="80"/>
              <w:ind w:left="216"/>
            </w:pPr>
            <w:r>
              <w:rPr>
                <w:b/>
                <w:color w:val="1F3864"/>
                <w:sz w:val="17"/>
              </w:rPr>
              <w:t xml:space="preserve">Refs: </w:t>
            </w:r>
            <w:r>
              <w:rPr>
                <w:i/>
                <w:sz w:val="16"/>
              </w:rPr>
              <w:t>(1) AAP Clinical Practice Guideline on UTI in febrile infants and children. | (2) EAU/ESPU Paediatric Urology Guidelines.</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age and developmental stratification.</w:t>
            </w:r>
          </w:p>
          <w:p w:rsidR="00132811" w:rsidRDefault="00243C97">
            <w:pPr>
              <w:spacing w:after="20"/>
              <w:ind w:left="216"/>
            </w:pPr>
            <w:r>
              <w:rPr>
                <w:b/>
                <w:sz w:val="17"/>
              </w:rPr>
              <w:t xml:space="preserve">Correction: </w:t>
            </w:r>
            <w:r>
              <w:rPr>
                <w:sz w:val="17"/>
              </w:rPr>
              <w:t>Add age stratification or brief mechanistic clarification.</w:t>
            </w:r>
          </w:p>
          <w:p w:rsidR="00132811" w:rsidRDefault="00243C97">
            <w:pPr>
              <w:spacing w:after="80"/>
              <w:ind w:left="216"/>
            </w:pPr>
            <w:r>
              <w:rPr>
                <w:b/>
                <w:color w:val="1F3864"/>
                <w:sz w:val="17"/>
              </w:rPr>
              <w:t xml:space="preserve">Refs: </w:t>
            </w:r>
            <w:r>
              <w:rPr>
                <w:i/>
                <w:sz w:val="16"/>
              </w:rPr>
              <w:t>(1) AAP UTI Guidelines. | (2) EAU/ESPU Paediatric Urology Guidelines.</w:t>
            </w:r>
          </w:p>
          <w:p w:rsidR="00132811" w:rsidRDefault="00243C97">
            <w:pPr>
              <w:spacing w:before="40" w:after="20"/>
            </w:pPr>
            <w:r>
              <w:rPr>
                <w:b/>
                <w:color w:val="1F3864"/>
                <w:sz w:val="18"/>
              </w:rPr>
              <w:t xml:space="preserve">3. </w:t>
            </w:r>
            <w:r>
              <w:rPr>
                <w:i/>
                <w:color w:val="2E75B6"/>
                <w:sz w:val="17"/>
              </w:rPr>
              <w:t xml:space="preserve">[Type II] </w:t>
            </w:r>
          </w:p>
          <w:p w:rsidR="00132811" w:rsidRDefault="00243C97">
            <w:pPr>
              <w:spacing w:after="20"/>
              <w:ind w:left="216"/>
            </w:pPr>
            <w:r>
              <w:rPr>
                <w:b/>
                <w:sz w:val="17"/>
              </w:rPr>
              <w:t xml:space="preserve">Issue: </w:t>
            </w:r>
            <w:r>
              <w:rPr>
                <w:sz w:val="17"/>
              </w:rPr>
              <w:t>Omission of mechanistic basis.</w:t>
            </w:r>
          </w:p>
          <w:p w:rsidR="00132811" w:rsidRDefault="00243C97">
            <w:pPr>
              <w:spacing w:after="20"/>
              <w:ind w:left="216"/>
            </w:pPr>
            <w:r>
              <w:rPr>
                <w:b/>
                <w:sz w:val="17"/>
              </w:rPr>
              <w:t xml:space="preserve">Correction: </w:t>
            </w:r>
            <w:r>
              <w:rPr>
                <w:sz w:val="17"/>
              </w:rPr>
              <w:t>Add mechanistic clarification (incomplete bladder emptying / urinary stasis).</w:t>
            </w:r>
          </w:p>
          <w:p w:rsidR="00132811" w:rsidRDefault="00243C97">
            <w:pPr>
              <w:spacing w:after="80"/>
              <w:ind w:left="216"/>
            </w:pPr>
            <w:r>
              <w:rPr>
                <w:b/>
                <w:color w:val="1F3864"/>
                <w:sz w:val="17"/>
              </w:rPr>
              <w:t xml:space="preserve">Refs: </w:t>
            </w:r>
            <w:r>
              <w:rPr>
                <w:i/>
                <w:sz w:val="16"/>
              </w:rPr>
              <w:t>(1) AAP UTI Guidelines. | (2) Standard paediatric nephrology references.</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1F6E1F"/>
                <w:sz w:val="19"/>
              </w:rPr>
              <w:t>Acknowledged</w:t>
            </w:r>
          </w:p>
          <w:p w:rsidR="00132811" w:rsidRDefault="00243C97">
            <w:pPr>
              <w:spacing w:after="40"/>
            </w:pPr>
            <w:r>
              <w:rPr>
                <w:color w:val="333333"/>
                <w:sz w:val="17"/>
              </w:rPr>
              <w:t>Acknowledged — Routed to the paediatric urology subspecialty editor for review</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t>4</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Section on red urine — Methaemoglobin</w:t>
            </w:r>
          </w:p>
          <w:p w:rsidR="00132811" w:rsidRDefault="00243C97">
            <w:pPr>
              <w:spacing w:after="40"/>
            </w:pPr>
            <w:r>
              <w:rPr>
                <w:b/>
                <w:color w:val="2E75B6"/>
                <w:sz w:val="18"/>
              </w:rPr>
              <w:t>2 sub-contributions</w:t>
            </w:r>
          </w:p>
          <w:p w:rsidR="00132811" w:rsidRDefault="00243C97">
            <w:pPr>
              <w:spacing w:after="40"/>
            </w:pPr>
            <w:r>
              <w:rPr>
                <w:color w:val="606060"/>
                <w:sz w:val="17"/>
              </w:rPr>
              <w:t>Type I: 1 · Type II: 1</w:t>
            </w:r>
          </w:p>
          <w:p w:rsidR="00132811" w:rsidRDefault="00243C97">
            <w:pPr>
              <w:spacing w:after="0"/>
            </w:pPr>
            <w:r>
              <w:rPr>
                <w:b/>
                <w:sz w:val="17"/>
              </w:rPr>
              <w:t xml:space="preserve">Source: </w:t>
            </w:r>
            <w:r>
              <w:rPr>
                <w:i/>
                <w:sz w:val="17"/>
              </w:rPr>
              <w:t>Section on red urine — Methaemoglobin entry</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Methaemoglobin is not excreted in urine and does not cause red urine.</w:t>
            </w:r>
          </w:p>
          <w:p w:rsidR="00132811" w:rsidRDefault="00243C97">
            <w:pPr>
              <w:spacing w:after="20"/>
              <w:ind w:left="216"/>
            </w:pPr>
            <w:r>
              <w:rPr>
                <w:b/>
                <w:sz w:val="17"/>
              </w:rPr>
              <w:t xml:space="preserve">Correction: </w:t>
            </w:r>
            <w:r>
              <w:rPr>
                <w:sz w:val="17"/>
              </w:rPr>
              <w:t>Remove methaemoglobin from the causes of red urine.</w:t>
            </w:r>
          </w:p>
          <w:p w:rsidR="00132811" w:rsidRDefault="00243C97">
            <w:pPr>
              <w:spacing w:after="80"/>
              <w:ind w:left="216"/>
            </w:pPr>
            <w:r>
              <w:rPr>
                <w:b/>
                <w:color w:val="1F3864"/>
                <w:sz w:val="17"/>
              </w:rPr>
              <w:t xml:space="preserve">Refs: </w:t>
            </w:r>
            <w:r>
              <w:rPr>
                <w:i/>
                <w:sz w:val="16"/>
              </w:rPr>
              <w:t>(1) Robbins and Cotran Pathologic Basis of Disease, 10th ed. | (2) Standard paediatric nephrology references.</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correct entity.</w:t>
            </w:r>
          </w:p>
          <w:p w:rsidR="00132811" w:rsidRDefault="00243C97">
            <w:pPr>
              <w:spacing w:after="20"/>
              <w:ind w:left="216"/>
            </w:pPr>
            <w:r>
              <w:rPr>
                <w:b/>
                <w:sz w:val="17"/>
              </w:rPr>
              <w:t xml:space="preserve">Correction: </w:t>
            </w:r>
            <w:r>
              <w:rPr>
                <w:sz w:val="17"/>
              </w:rPr>
              <w:t>Add hemoglobinuria as the relevant cause in intravascular haemolysis.</w:t>
            </w:r>
          </w:p>
          <w:p w:rsidR="00132811" w:rsidRDefault="00243C97">
            <w:pPr>
              <w:spacing w:after="80"/>
              <w:ind w:left="216"/>
            </w:pPr>
            <w:r>
              <w:rPr>
                <w:b/>
                <w:color w:val="1F3864"/>
                <w:sz w:val="17"/>
              </w:rPr>
              <w:t xml:space="preserve">Refs: </w:t>
            </w:r>
            <w:r>
              <w:rPr>
                <w:i/>
                <w:sz w:val="16"/>
              </w:rPr>
              <w:t>(1) Robbins and Cotran Pathologic Basis of Disease, 10th ed. | (2) Nelson Textbook of Pediatrics — standard haematology chapter.</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1F6E1F"/>
                <w:sz w:val="19"/>
              </w:rPr>
              <w:t>Acknowledged</w:t>
            </w:r>
          </w:p>
          <w:p w:rsidR="00132811" w:rsidRDefault="00243C97">
            <w:pPr>
              <w:spacing w:after="40"/>
            </w:pPr>
            <w:r>
              <w:rPr>
                <w:color w:val="333333"/>
                <w:sz w:val="17"/>
              </w:rPr>
              <w:t>Acknowledged — Routed to the chapter author for next-edition review</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5</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Chapter 576 — Vesicoureteral reflux (Table 576.1)</w:t>
            </w:r>
          </w:p>
          <w:p w:rsidR="00132811" w:rsidRDefault="00243C97">
            <w:pPr>
              <w:spacing w:after="40"/>
            </w:pPr>
            <w:r>
              <w:rPr>
                <w:b/>
                <w:color w:val="2E75B6"/>
                <w:sz w:val="18"/>
              </w:rPr>
              <w:lastRenderedPageBreak/>
              <w:t>3 sub-contributions</w:t>
            </w:r>
          </w:p>
          <w:p w:rsidR="00132811" w:rsidRDefault="00243C97">
            <w:pPr>
              <w:spacing w:after="40"/>
            </w:pPr>
            <w:r>
              <w:rPr>
                <w:color w:val="606060"/>
                <w:sz w:val="17"/>
              </w:rPr>
              <w:t>Type I: 2 · Type II: 1</w:t>
            </w:r>
          </w:p>
          <w:p w:rsidR="00132811" w:rsidRDefault="00243C97">
            <w:pPr>
              <w:spacing w:after="0"/>
            </w:pPr>
            <w:r>
              <w:rPr>
                <w:b/>
                <w:sz w:val="17"/>
              </w:rPr>
              <w:t xml:space="preserve">Source: </w:t>
            </w:r>
            <w:r>
              <w:rPr>
                <w:i/>
                <w:sz w:val="17"/>
              </w:rPr>
              <w:t>Table 576.1 — VUR clarification</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Overly rigid wording; modern practice is individualised.</w:t>
            </w:r>
          </w:p>
          <w:p w:rsidR="00132811" w:rsidRDefault="00243C97">
            <w:pPr>
              <w:spacing w:after="20"/>
              <w:ind w:left="216"/>
            </w:pPr>
            <w:r>
              <w:rPr>
                <w:b/>
                <w:sz w:val="17"/>
              </w:rPr>
              <w:lastRenderedPageBreak/>
              <w:t xml:space="preserve">Correction: </w:t>
            </w:r>
            <w:r>
              <w:rPr>
                <w:sz w:val="17"/>
              </w:rPr>
              <w:t>Frame indications as individualised rather than rigid.</w:t>
            </w:r>
          </w:p>
          <w:p w:rsidR="00132811" w:rsidRDefault="00243C97">
            <w:pPr>
              <w:spacing w:after="80"/>
              <w:ind w:left="216"/>
            </w:pPr>
            <w:r>
              <w:rPr>
                <w:b/>
                <w:color w:val="1F3864"/>
                <w:sz w:val="17"/>
              </w:rPr>
              <w:t xml:space="preserve">Refs: </w:t>
            </w:r>
            <w:r>
              <w:rPr>
                <w:i/>
                <w:sz w:val="16"/>
              </w:rPr>
              <w:t>(1) AUA Guideline on Vesicoureteral Reflux in Children (2010, reviewed periodically). | (2) EAU/ESPU Paediatric Urology Guidelines.</w:t>
            </w:r>
          </w:p>
          <w:p w:rsidR="00132811" w:rsidRDefault="00243C97">
            <w:pPr>
              <w:spacing w:before="40" w:after="20"/>
            </w:pPr>
            <w:r>
              <w:rPr>
                <w:b/>
                <w:color w:val="1F3864"/>
                <w:sz w:val="18"/>
              </w:rPr>
              <w:t xml:space="preserve">2. </w:t>
            </w:r>
            <w:r>
              <w:rPr>
                <w:i/>
                <w:color w:val="2E75B6"/>
                <w:sz w:val="17"/>
              </w:rPr>
              <w:t xml:space="preserve">[Type I] </w:t>
            </w:r>
          </w:p>
          <w:p w:rsidR="00132811" w:rsidRDefault="00243C97">
            <w:pPr>
              <w:spacing w:after="20"/>
              <w:ind w:left="216"/>
            </w:pPr>
            <w:r>
              <w:rPr>
                <w:b/>
                <w:sz w:val="17"/>
              </w:rPr>
              <w:t xml:space="preserve">Issue: </w:t>
            </w:r>
            <w:r>
              <w:rPr>
                <w:sz w:val="17"/>
              </w:rPr>
              <w:t>Oversimplified framing.</w:t>
            </w:r>
          </w:p>
          <w:p w:rsidR="00132811" w:rsidRDefault="00243C97">
            <w:pPr>
              <w:spacing w:after="20"/>
              <w:ind w:left="216"/>
            </w:pPr>
            <w:r>
              <w:rPr>
                <w:b/>
                <w:sz w:val="17"/>
              </w:rPr>
              <w:t xml:space="preserve">Correction: </w:t>
            </w:r>
            <w:r>
              <w:rPr>
                <w:sz w:val="17"/>
              </w:rPr>
              <w:t>Present explicit indications, particularly in severe/bilateral disease.</w:t>
            </w:r>
          </w:p>
          <w:p w:rsidR="00132811" w:rsidRDefault="00243C97">
            <w:pPr>
              <w:spacing w:after="80"/>
              <w:ind w:left="216"/>
            </w:pPr>
            <w:r>
              <w:rPr>
                <w:b/>
                <w:color w:val="1F3864"/>
                <w:sz w:val="17"/>
              </w:rPr>
              <w:t xml:space="preserve">Refs: </w:t>
            </w:r>
            <w:r>
              <w:rPr>
                <w:i/>
                <w:sz w:val="16"/>
              </w:rPr>
              <w:t>(1) AUA Guideline on VUR in Children. | (2) EAU/ESPU Paediatric Urology Guidelines.</w:t>
            </w:r>
          </w:p>
          <w:p w:rsidR="00132811" w:rsidRDefault="00243C97">
            <w:pPr>
              <w:spacing w:before="40" w:after="20"/>
            </w:pPr>
            <w:r>
              <w:rPr>
                <w:b/>
                <w:color w:val="1F3864"/>
                <w:sz w:val="18"/>
              </w:rPr>
              <w:t xml:space="preserve">3. </w:t>
            </w:r>
            <w:r>
              <w:rPr>
                <w:i/>
                <w:color w:val="2E75B6"/>
                <w:sz w:val="17"/>
              </w:rPr>
              <w:t xml:space="preserve">[Type II] </w:t>
            </w:r>
          </w:p>
          <w:p w:rsidR="00132811" w:rsidRDefault="00243C97">
            <w:pPr>
              <w:spacing w:after="20"/>
              <w:ind w:left="216"/>
            </w:pPr>
            <w:r>
              <w:rPr>
                <w:b/>
                <w:sz w:val="17"/>
              </w:rPr>
              <w:t xml:space="preserve">Issue: </w:t>
            </w:r>
            <w:r>
              <w:rPr>
                <w:sz w:val="17"/>
              </w:rPr>
              <w:t>Omission of contextual individualisation.</w:t>
            </w:r>
          </w:p>
          <w:p w:rsidR="00132811" w:rsidRDefault="00243C97">
            <w:pPr>
              <w:spacing w:after="20"/>
              <w:ind w:left="216"/>
            </w:pPr>
            <w:r>
              <w:rPr>
                <w:b/>
                <w:sz w:val="17"/>
              </w:rPr>
              <w:t xml:space="preserve">Correction: </w:t>
            </w:r>
            <w:r>
              <w:rPr>
                <w:sz w:val="17"/>
              </w:rPr>
              <w:t>Add individualisation note for MAG-3 timing.</w:t>
            </w:r>
          </w:p>
          <w:p w:rsidR="00132811" w:rsidRDefault="00243C97">
            <w:pPr>
              <w:spacing w:after="80"/>
              <w:ind w:left="216"/>
            </w:pPr>
            <w:r>
              <w:rPr>
                <w:b/>
                <w:color w:val="1F3864"/>
                <w:sz w:val="17"/>
              </w:rPr>
              <w:t xml:space="preserve">Refs: </w:t>
            </w:r>
            <w:r>
              <w:rPr>
                <w:i/>
                <w:sz w:val="16"/>
              </w:rPr>
              <w:t>(1) EANM Paediatric Imaging Guidelines (Renography). | (2) SNMMI Guideline on Diuretic Renography.</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1F6E1F"/>
                <w:sz w:val="19"/>
              </w:rPr>
              <w:lastRenderedPageBreak/>
              <w:t>Acknowledged</w:t>
            </w:r>
          </w:p>
          <w:p w:rsidR="00132811" w:rsidRDefault="00243C97">
            <w:pPr>
              <w:spacing w:after="40"/>
            </w:pPr>
            <w:r>
              <w:rPr>
                <w:color w:val="333333"/>
                <w:sz w:val="17"/>
              </w:rPr>
              <w:lastRenderedPageBreak/>
              <w:t>Acknowledged — Routed to the paediatric urology subspecialty editor for review</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lastRenderedPageBreak/>
              <w:t>6</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Chapter 199 — Systemic lupus erythematosus (Tables 199.2, 199.7, 199.8)</w:t>
            </w:r>
          </w:p>
          <w:p w:rsidR="00132811" w:rsidRDefault="00243C97">
            <w:pPr>
              <w:spacing w:after="40"/>
            </w:pPr>
            <w:r>
              <w:rPr>
                <w:b/>
                <w:color w:val="2E75B6"/>
                <w:sz w:val="18"/>
              </w:rPr>
              <w:t>6 sub-contributions</w:t>
            </w:r>
          </w:p>
          <w:p w:rsidR="00132811" w:rsidRDefault="00243C97">
            <w:pPr>
              <w:spacing w:after="40"/>
            </w:pPr>
            <w:r>
              <w:rPr>
                <w:color w:val="606060"/>
                <w:sz w:val="17"/>
              </w:rPr>
              <w:t>Type I: 1 · Type II: 5</w:t>
            </w:r>
          </w:p>
          <w:p w:rsidR="00132811" w:rsidRDefault="00243C97">
            <w:pPr>
              <w:spacing w:after="0"/>
            </w:pPr>
            <w:r>
              <w:rPr>
                <w:b/>
                <w:sz w:val="17"/>
              </w:rPr>
              <w:t xml:space="preserve">Source: </w:t>
            </w:r>
            <w:r>
              <w:rPr>
                <w:i/>
                <w:sz w:val="17"/>
              </w:rPr>
              <w:t>Ch 199 SLE, Table 199.2, p. 1497</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II] </w:t>
            </w:r>
          </w:p>
          <w:p w:rsidR="00132811" w:rsidRDefault="00243C97">
            <w:pPr>
              <w:spacing w:after="20"/>
              <w:ind w:left="216"/>
            </w:pPr>
            <w:r>
              <w:rPr>
                <w:b/>
                <w:sz w:val="17"/>
              </w:rPr>
              <w:t xml:space="preserve">Issue: </w:t>
            </w:r>
            <w:r>
              <w:rPr>
                <w:sz w:val="17"/>
              </w:rPr>
              <w:t>Omission of qualifier acknowledging assay-, titre-, and persistence-dependence.</w:t>
            </w:r>
          </w:p>
          <w:p w:rsidR="00132811" w:rsidRDefault="00243C97">
            <w:pPr>
              <w:spacing w:after="20"/>
              <w:ind w:left="216"/>
            </w:pPr>
            <w:r>
              <w:rPr>
                <w:b/>
                <w:sz w:val="17"/>
              </w:rPr>
              <w:t xml:space="preserve">Correction: </w:t>
            </w:r>
            <w:r>
              <w:rPr>
                <w:sz w:val="17"/>
              </w:rPr>
              <w:t>Qualify: prevalence varies by assay, titre, and definition of persistent positivity.</w:t>
            </w:r>
          </w:p>
          <w:p w:rsidR="00132811" w:rsidRDefault="00243C97">
            <w:pPr>
              <w:spacing w:after="80"/>
              <w:ind w:left="216"/>
            </w:pPr>
            <w:r>
              <w:rPr>
                <w:b/>
                <w:color w:val="1F3864"/>
                <w:sz w:val="17"/>
              </w:rPr>
              <w:t xml:space="preserve">Refs: </w:t>
            </w:r>
            <w:r>
              <w:rPr>
                <w:i/>
                <w:sz w:val="16"/>
              </w:rPr>
              <w:t>(1) Aringer M et al. 2019 EULAR/ACR Classification Criteria for SLE. Ann Rheum Dis. 2019;78:1151–1159. | (2) Fanouriakis A et al. 2019 update of EULAR recommendations for management of SLE. Ann Rheum Dis. 2019;78:736–745.</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Same omission of qualifier.</w:t>
            </w:r>
          </w:p>
          <w:p w:rsidR="00132811" w:rsidRDefault="00243C97">
            <w:pPr>
              <w:spacing w:after="20"/>
              <w:ind w:left="216"/>
            </w:pPr>
            <w:r>
              <w:rPr>
                <w:b/>
                <w:sz w:val="17"/>
              </w:rPr>
              <w:t xml:space="preserve">Correction: </w:t>
            </w:r>
            <w:r>
              <w:rPr>
                <w:sz w:val="17"/>
              </w:rPr>
              <w:t>Qualify: prevalence varies by assay, titre, and persistence definition.</w:t>
            </w:r>
          </w:p>
          <w:p w:rsidR="00132811" w:rsidRDefault="00243C97">
            <w:pPr>
              <w:spacing w:after="80"/>
              <w:ind w:left="216"/>
            </w:pPr>
            <w:r>
              <w:rPr>
                <w:b/>
                <w:color w:val="1F3864"/>
                <w:sz w:val="17"/>
              </w:rPr>
              <w:t xml:space="preserve">Refs: </w:t>
            </w:r>
            <w:r>
              <w:rPr>
                <w:i/>
                <w:sz w:val="16"/>
              </w:rPr>
              <w:t>(1) Aringer M et al. Ann Rheum Dis. 2019;78:1151–1159. | (2) Garcia D, Erkan D. Diagnosis and management of the antiphospholipid syndrome. NEJM. 2018;378:2010–2021.</w:t>
            </w:r>
          </w:p>
          <w:p w:rsidR="00132811" w:rsidRDefault="00243C97">
            <w:pPr>
              <w:spacing w:before="40" w:after="20"/>
            </w:pPr>
            <w:r>
              <w:rPr>
                <w:b/>
                <w:color w:val="1F3864"/>
                <w:sz w:val="18"/>
              </w:rPr>
              <w:t xml:space="preserve">3. </w:t>
            </w:r>
            <w:r>
              <w:rPr>
                <w:i/>
                <w:color w:val="2E75B6"/>
                <w:sz w:val="17"/>
              </w:rPr>
              <w:t xml:space="preserve">[Type II] </w:t>
            </w:r>
          </w:p>
          <w:p w:rsidR="00132811" w:rsidRDefault="00243C97">
            <w:pPr>
              <w:spacing w:after="20"/>
              <w:ind w:left="216"/>
            </w:pPr>
            <w:r>
              <w:rPr>
                <w:b/>
                <w:sz w:val="17"/>
              </w:rPr>
              <w:t xml:space="preserve">Issue: </w:t>
            </w:r>
            <w:r>
              <w:rPr>
                <w:sz w:val="17"/>
              </w:rPr>
              <w:t>Omission of explicit monitoring guidance.</w:t>
            </w:r>
          </w:p>
          <w:p w:rsidR="00132811" w:rsidRDefault="00243C97">
            <w:pPr>
              <w:spacing w:after="20"/>
              <w:ind w:left="216"/>
            </w:pPr>
            <w:r>
              <w:rPr>
                <w:b/>
                <w:sz w:val="17"/>
              </w:rPr>
              <w:t xml:space="preserve">Correction: </w:t>
            </w:r>
            <w:r>
              <w:rPr>
                <w:sz w:val="17"/>
              </w:rPr>
              <w:t>Add: anti-dsDNA titres are preferred for monitoring disease activity.</w:t>
            </w:r>
          </w:p>
          <w:p w:rsidR="00132811" w:rsidRDefault="00243C97">
            <w:pPr>
              <w:spacing w:after="80"/>
              <w:ind w:left="216"/>
            </w:pPr>
            <w:r>
              <w:rPr>
                <w:b/>
                <w:color w:val="1F3864"/>
                <w:sz w:val="17"/>
              </w:rPr>
              <w:t xml:space="preserve">Refs: </w:t>
            </w:r>
            <w:r>
              <w:rPr>
                <w:i/>
                <w:sz w:val="16"/>
              </w:rPr>
              <w:t>(1) Fanouriakis A et al. Ann Rheum Dis. 2019;78:736–745. | (2) ACR Treat-to-Target Recommendations for SLE.</w:t>
            </w:r>
          </w:p>
          <w:p w:rsidR="00132811" w:rsidRDefault="00243C97">
            <w:pPr>
              <w:spacing w:before="40" w:after="20"/>
            </w:pPr>
            <w:r>
              <w:rPr>
                <w:b/>
                <w:color w:val="1F3864"/>
                <w:sz w:val="18"/>
              </w:rPr>
              <w:t xml:space="preserve">4. </w:t>
            </w:r>
            <w:r>
              <w:rPr>
                <w:i/>
                <w:color w:val="2E75B6"/>
                <w:sz w:val="17"/>
              </w:rPr>
              <w:t xml:space="preserve">[Type II] </w:t>
            </w:r>
          </w:p>
          <w:p w:rsidR="00132811" w:rsidRDefault="00243C97">
            <w:pPr>
              <w:spacing w:after="20"/>
              <w:ind w:left="216"/>
            </w:pPr>
            <w:r>
              <w:rPr>
                <w:b/>
                <w:sz w:val="17"/>
              </w:rPr>
              <w:t xml:space="preserve">Issue: </w:t>
            </w:r>
            <w:r>
              <w:rPr>
                <w:sz w:val="17"/>
              </w:rPr>
              <w:t>Omission of complement-based monitoring guidance.</w:t>
            </w:r>
          </w:p>
          <w:p w:rsidR="00132811" w:rsidRDefault="00243C97">
            <w:pPr>
              <w:spacing w:after="20"/>
              <w:ind w:left="216"/>
            </w:pPr>
            <w:r>
              <w:rPr>
                <w:b/>
                <w:sz w:val="17"/>
              </w:rPr>
              <w:t xml:space="preserve">Correction: </w:t>
            </w:r>
            <w:r>
              <w:rPr>
                <w:sz w:val="17"/>
              </w:rPr>
              <w:t>Add: complement levels (C3/C4 or CH50) are preferred for monitoring.</w:t>
            </w:r>
          </w:p>
          <w:p w:rsidR="00132811" w:rsidRDefault="00243C97">
            <w:pPr>
              <w:spacing w:after="80"/>
              <w:ind w:left="216"/>
            </w:pPr>
            <w:r>
              <w:rPr>
                <w:b/>
                <w:color w:val="1F3864"/>
                <w:sz w:val="17"/>
              </w:rPr>
              <w:t xml:space="preserve">Refs: </w:t>
            </w:r>
            <w:r>
              <w:rPr>
                <w:i/>
                <w:sz w:val="16"/>
              </w:rPr>
              <w:t>(1) Fanouriakis A et al. Ann Rheum Dis. 2019;78:736–745. | (2) ACR Treat-to-Target Recommendations.</w:t>
            </w:r>
          </w:p>
          <w:p w:rsidR="00132811" w:rsidRDefault="00243C97">
            <w:pPr>
              <w:spacing w:before="40" w:after="20"/>
            </w:pPr>
            <w:r>
              <w:rPr>
                <w:b/>
                <w:color w:val="1F3864"/>
                <w:sz w:val="18"/>
              </w:rPr>
              <w:t xml:space="preserve">5. </w:t>
            </w:r>
            <w:r>
              <w:rPr>
                <w:i/>
                <w:color w:val="2E75B6"/>
                <w:sz w:val="17"/>
              </w:rPr>
              <w:t xml:space="preserve">[Type II] </w:t>
            </w:r>
          </w:p>
          <w:p w:rsidR="00132811" w:rsidRDefault="00243C97">
            <w:pPr>
              <w:spacing w:after="20"/>
              <w:ind w:left="216"/>
            </w:pPr>
            <w:r>
              <w:rPr>
                <w:b/>
                <w:sz w:val="17"/>
              </w:rPr>
              <w:t xml:space="preserve">Issue: </w:t>
            </w:r>
            <w:r>
              <w:rPr>
                <w:sz w:val="17"/>
              </w:rPr>
              <w:t>Omission of paediatric-context qualifier.</w:t>
            </w:r>
          </w:p>
          <w:p w:rsidR="00132811" w:rsidRDefault="00243C97">
            <w:pPr>
              <w:spacing w:after="20"/>
              <w:ind w:left="216"/>
            </w:pPr>
            <w:r>
              <w:rPr>
                <w:b/>
                <w:sz w:val="17"/>
              </w:rPr>
              <w:t xml:space="preserve">Correction: </w:t>
            </w:r>
            <w:r>
              <w:rPr>
                <w:sz w:val="17"/>
              </w:rPr>
              <w:t>Qualify: MI is uncommon in childhood SLE — usually long-term disease, APS, or treatment effects.</w:t>
            </w:r>
          </w:p>
          <w:p w:rsidR="00132811" w:rsidRDefault="00243C97">
            <w:pPr>
              <w:spacing w:after="80"/>
              <w:ind w:left="216"/>
            </w:pPr>
            <w:r>
              <w:rPr>
                <w:b/>
                <w:color w:val="1F3864"/>
                <w:sz w:val="17"/>
              </w:rPr>
              <w:t xml:space="preserve">Refs: </w:t>
            </w:r>
            <w:r>
              <w:rPr>
                <w:i/>
                <w:sz w:val="16"/>
              </w:rPr>
              <w:t>(1) Mina R, Brunner HI. Pediatr Clin North Am. 2012 — childhood SLE. | (2) Aringer M et al. Ann Rheum Dis. 2019;78:1151–1159.</w:t>
            </w:r>
          </w:p>
          <w:p w:rsidR="00132811" w:rsidRDefault="00243C97">
            <w:pPr>
              <w:spacing w:before="40" w:after="20"/>
            </w:pPr>
            <w:r>
              <w:rPr>
                <w:b/>
                <w:color w:val="1F3864"/>
                <w:sz w:val="18"/>
              </w:rPr>
              <w:t xml:space="preserve">6. </w:t>
            </w:r>
            <w:r>
              <w:rPr>
                <w:i/>
                <w:color w:val="2E75B6"/>
                <w:sz w:val="17"/>
              </w:rPr>
              <w:t xml:space="preserve">[Type I] </w:t>
            </w:r>
          </w:p>
          <w:p w:rsidR="00132811" w:rsidRDefault="00243C97">
            <w:pPr>
              <w:spacing w:after="20"/>
              <w:ind w:left="216"/>
            </w:pPr>
            <w:r>
              <w:rPr>
                <w:b/>
                <w:sz w:val="17"/>
              </w:rPr>
              <w:t xml:space="preserve">Issue: </w:t>
            </w:r>
            <w:r>
              <w:rPr>
                <w:sz w:val="17"/>
              </w:rPr>
              <w:t>Omission of paediatric-context qualifier.</w:t>
            </w:r>
          </w:p>
          <w:p w:rsidR="00132811" w:rsidRDefault="00243C97">
            <w:pPr>
              <w:spacing w:after="20"/>
              <w:ind w:left="216"/>
            </w:pPr>
            <w:r>
              <w:rPr>
                <w:b/>
                <w:sz w:val="17"/>
              </w:rPr>
              <w:t xml:space="preserve">Correction: </w:t>
            </w:r>
            <w:r>
              <w:rPr>
                <w:sz w:val="17"/>
              </w:rPr>
              <w:t>Qualify retinal detachment as uncommon in childhood SLE.</w:t>
            </w:r>
          </w:p>
          <w:p w:rsidR="00132811" w:rsidRDefault="00243C97">
            <w:pPr>
              <w:spacing w:after="80"/>
              <w:ind w:left="216"/>
            </w:pPr>
            <w:r>
              <w:rPr>
                <w:b/>
                <w:color w:val="1F3864"/>
                <w:sz w:val="17"/>
              </w:rPr>
              <w:t xml:space="preserve">Refs: </w:t>
            </w:r>
            <w:r>
              <w:rPr>
                <w:i/>
                <w:sz w:val="16"/>
              </w:rPr>
              <w:t>(1) Sivaraj RR et al. Ocular manifestations of SLE. Rheumatology. 2007. | (2) Mina R, Brunner HI. Pediatr Clin North Am. 2012.</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1F6E1F"/>
                <w:sz w:val="19"/>
              </w:rPr>
              <w:t>Acknowledged</w:t>
            </w:r>
          </w:p>
          <w:p w:rsidR="00132811" w:rsidRDefault="00243C97">
            <w:pPr>
              <w:spacing w:after="40"/>
            </w:pPr>
            <w:r>
              <w:rPr>
                <w:color w:val="333333"/>
                <w:sz w:val="17"/>
              </w:rPr>
              <w:t>Acknowledged — Routed to the paediatric rheumatology subspecialty editor for review</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7</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Chapter 405 — Bilirubin disorders and Crigler-</w:t>
            </w:r>
            <w:r>
              <w:rPr>
                <w:b/>
                <w:color w:val="1F3864"/>
                <w:sz w:val="19"/>
              </w:rPr>
              <w:lastRenderedPageBreak/>
              <w:t>Najjar (Tables 405.1, 405.2)</w:t>
            </w:r>
          </w:p>
          <w:p w:rsidR="00132811" w:rsidRDefault="00243C97">
            <w:pPr>
              <w:spacing w:after="40"/>
            </w:pPr>
            <w:r>
              <w:rPr>
                <w:b/>
                <w:color w:val="2E75B6"/>
                <w:sz w:val="18"/>
              </w:rPr>
              <w:t>9 sub-contributions</w:t>
            </w:r>
          </w:p>
          <w:p w:rsidR="00132811" w:rsidRDefault="00243C97">
            <w:pPr>
              <w:spacing w:after="40"/>
            </w:pPr>
            <w:r>
              <w:rPr>
                <w:color w:val="606060"/>
                <w:sz w:val="17"/>
              </w:rPr>
              <w:t>Type I: 9</w:t>
            </w:r>
          </w:p>
          <w:p w:rsidR="00132811" w:rsidRDefault="00243C97">
            <w:pPr>
              <w:spacing w:after="0"/>
            </w:pPr>
            <w:r>
              <w:rPr>
                <w:b/>
                <w:sz w:val="17"/>
              </w:rPr>
              <w:t xml:space="preserve">Source: </w:t>
            </w:r>
            <w:r>
              <w:rPr>
                <w:i/>
                <w:sz w:val="17"/>
              </w:rPr>
              <w:t>Ch 405, Table 405.1, p. 2455 — Crigler–Najjar</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lastRenderedPageBreak/>
              <w:t xml:space="preserve">1. </w:t>
            </w:r>
            <w:r>
              <w:rPr>
                <w:i/>
                <w:color w:val="2E75B6"/>
                <w:sz w:val="17"/>
              </w:rPr>
              <w:t xml:space="preserve">[Type I] </w:t>
            </w:r>
          </w:p>
          <w:p w:rsidR="00132811" w:rsidRDefault="00243C97">
            <w:pPr>
              <w:spacing w:after="20"/>
              <w:ind w:left="216"/>
            </w:pPr>
            <w:r>
              <w:rPr>
                <w:b/>
                <w:sz w:val="17"/>
              </w:rPr>
              <w:t xml:space="preserve">Issue: </w:t>
            </w:r>
            <w:r>
              <w:rPr>
                <w:sz w:val="17"/>
              </w:rPr>
              <w:t>Omission of type-distinguishing pharmacological feature.</w:t>
            </w:r>
          </w:p>
          <w:p w:rsidR="00132811" w:rsidRDefault="00243C97">
            <w:pPr>
              <w:spacing w:after="20"/>
              <w:ind w:left="216"/>
            </w:pPr>
            <w:r>
              <w:rPr>
                <w:b/>
                <w:sz w:val="17"/>
              </w:rPr>
              <w:t xml:space="preserve">Correction: </w:t>
            </w:r>
            <w:r>
              <w:rPr>
                <w:sz w:val="17"/>
              </w:rPr>
              <w:t>State: phenobarbital responsiveness distinguishes Crigler–Najjar type II (responsive) from type I (non-responsive).</w:t>
            </w:r>
          </w:p>
          <w:p w:rsidR="00132811" w:rsidRDefault="00243C97">
            <w:pPr>
              <w:spacing w:after="80"/>
              <w:ind w:left="216"/>
            </w:pPr>
            <w:r>
              <w:rPr>
                <w:b/>
                <w:color w:val="1F3864"/>
                <w:sz w:val="17"/>
              </w:rPr>
              <w:t xml:space="preserve">Refs: </w:t>
            </w:r>
            <w:r>
              <w:rPr>
                <w:i/>
                <w:sz w:val="16"/>
              </w:rPr>
              <w:t>(1) GeneReviews — UGT1A1-Related Crigler-Najjar Syndrome. | (2) Liver Disease in Children, 5th ed.</w:t>
            </w:r>
          </w:p>
          <w:p w:rsidR="00132811" w:rsidRDefault="00243C97">
            <w:pPr>
              <w:spacing w:before="40" w:after="20"/>
            </w:pPr>
            <w:r>
              <w:rPr>
                <w:b/>
                <w:color w:val="1F3864"/>
                <w:sz w:val="18"/>
              </w:rPr>
              <w:t xml:space="preserve">2. </w:t>
            </w:r>
            <w:r>
              <w:rPr>
                <w:i/>
                <w:color w:val="2E75B6"/>
                <w:sz w:val="17"/>
              </w:rPr>
              <w:t xml:space="preserve">[Type I] </w:t>
            </w:r>
          </w:p>
          <w:p w:rsidR="00132811" w:rsidRDefault="00243C97">
            <w:pPr>
              <w:spacing w:after="20"/>
              <w:ind w:left="216"/>
            </w:pPr>
            <w:r>
              <w:rPr>
                <w:b/>
                <w:sz w:val="17"/>
              </w:rPr>
              <w:t xml:space="preserve">Issue: </w:t>
            </w:r>
            <w:r>
              <w:rPr>
                <w:sz w:val="17"/>
              </w:rPr>
              <w:t>Omission of type II clinical-pharmacological feature.</w:t>
            </w:r>
          </w:p>
          <w:p w:rsidR="00132811" w:rsidRDefault="00243C97">
            <w:pPr>
              <w:spacing w:after="20"/>
              <w:ind w:left="216"/>
            </w:pPr>
            <w:r>
              <w:rPr>
                <w:b/>
                <w:sz w:val="17"/>
              </w:rPr>
              <w:t xml:space="preserve">Correction: </w:t>
            </w:r>
            <w:r>
              <w:rPr>
                <w:sz w:val="17"/>
              </w:rPr>
              <w:t>Add: CN type II responds to phenobarbital (UGT1A1 induction).</w:t>
            </w:r>
          </w:p>
          <w:p w:rsidR="00132811" w:rsidRDefault="00243C97">
            <w:pPr>
              <w:spacing w:after="80"/>
              <w:ind w:left="216"/>
            </w:pPr>
            <w:r>
              <w:rPr>
                <w:b/>
                <w:color w:val="1F3864"/>
                <w:sz w:val="17"/>
              </w:rPr>
              <w:t xml:space="preserve">Refs: </w:t>
            </w:r>
            <w:r>
              <w:rPr>
                <w:i/>
                <w:sz w:val="16"/>
              </w:rPr>
              <w:t>(1) GeneReviews — UGT1A1. | (2) Liver Disease in Children, 5th ed.</w:t>
            </w:r>
          </w:p>
          <w:p w:rsidR="00132811" w:rsidRDefault="00243C97">
            <w:pPr>
              <w:spacing w:before="40" w:after="20"/>
            </w:pPr>
            <w:r>
              <w:rPr>
                <w:b/>
                <w:color w:val="1F3864"/>
                <w:sz w:val="18"/>
              </w:rPr>
              <w:t xml:space="preserve">3. </w:t>
            </w:r>
            <w:r>
              <w:rPr>
                <w:i/>
                <w:color w:val="2E75B6"/>
                <w:sz w:val="17"/>
              </w:rPr>
              <w:t xml:space="preserve">[Type I] </w:t>
            </w:r>
          </w:p>
          <w:p w:rsidR="00132811" w:rsidRDefault="00243C97">
            <w:pPr>
              <w:spacing w:after="20"/>
              <w:ind w:left="216"/>
            </w:pPr>
            <w:r>
              <w:rPr>
                <w:b/>
                <w:sz w:val="17"/>
              </w:rPr>
              <w:t xml:space="preserve">Issue: </w:t>
            </w:r>
            <w:r>
              <w:rPr>
                <w:sz w:val="17"/>
              </w:rPr>
              <w:t>Omission of type I clinical feature.</w:t>
            </w:r>
          </w:p>
          <w:p w:rsidR="00132811" w:rsidRDefault="00243C97">
            <w:pPr>
              <w:spacing w:after="20"/>
              <w:ind w:left="216"/>
            </w:pPr>
            <w:r>
              <w:rPr>
                <w:b/>
                <w:sz w:val="17"/>
              </w:rPr>
              <w:t xml:space="preserve">Correction: </w:t>
            </w:r>
            <w:r>
              <w:rPr>
                <w:sz w:val="17"/>
              </w:rPr>
              <w:t>Add: CN type I does not respond to phenobarbital.</w:t>
            </w:r>
          </w:p>
          <w:p w:rsidR="00132811" w:rsidRDefault="00243C97">
            <w:pPr>
              <w:spacing w:after="80"/>
              <w:ind w:left="216"/>
            </w:pPr>
            <w:r>
              <w:rPr>
                <w:b/>
                <w:color w:val="1F3864"/>
                <w:sz w:val="17"/>
              </w:rPr>
              <w:t xml:space="preserve">Refs: </w:t>
            </w:r>
            <w:r>
              <w:rPr>
                <w:i/>
                <w:sz w:val="16"/>
              </w:rPr>
              <w:t>(1) GeneReviews — UGT1A1. | (2) Liver Disease in Children, 5th ed.</w:t>
            </w:r>
          </w:p>
          <w:p w:rsidR="00132811" w:rsidRDefault="00243C97">
            <w:pPr>
              <w:spacing w:before="40" w:after="20"/>
            </w:pPr>
            <w:r>
              <w:rPr>
                <w:b/>
                <w:color w:val="1F3864"/>
                <w:sz w:val="18"/>
              </w:rPr>
              <w:t xml:space="preserve">4. </w:t>
            </w:r>
            <w:r>
              <w:rPr>
                <w:i/>
                <w:color w:val="2E75B6"/>
                <w:sz w:val="17"/>
              </w:rPr>
              <w:t xml:space="preserve">[Type I] </w:t>
            </w:r>
          </w:p>
          <w:p w:rsidR="00132811" w:rsidRDefault="00243C97">
            <w:pPr>
              <w:spacing w:after="20"/>
              <w:ind w:left="216"/>
            </w:pPr>
            <w:r>
              <w:rPr>
                <w:b/>
                <w:sz w:val="17"/>
              </w:rPr>
              <w:t xml:space="preserve">Issue: </w:t>
            </w:r>
            <w:r>
              <w:rPr>
                <w:sz w:val="17"/>
              </w:rPr>
              <w:t>Omission of primary acute management modality.</w:t>
            </w:r>
          </w:p>
          <w:p w:rsidR="00132811" w:rsidRDefault="00243C97">
            <w:pPr>
              <w:spacing w:after="20"/>
              <w:ind w:left="216"/>
            </w:pPr>
            <w:r>
              <w:rPr>
                <w:b/>
                <w:sz w:val="17"/>
              </w:rPr>
              <w:t xml:space="preserve">Correction: </w:t>
            </w:r>
            <w:r>
              <w:rPr>
                <w:sz w:val="17"/>
              </w:rPr>
              <w:t>Emphasise phototherapy as a primary acute measure in CN type I.</w:t>
            </w:r>
          </w:p>
          <w:p w:rsidR="00132811" w:rsidRDefault="00243C97">
            <w:pPr>
              <w:spacing w:after="80"/>
              <w:ind w:left="216"/>
            </w:pPr>
            <w:r>
              <w:rPr>
                <w:b/>
                <w:color w:val="1F3864"/>
                <w:sz w:val="17"/>
              </w:rPr>
              <w:t xml:space="preserve">Refs: </w:t>
            </w:r>
            <w:r>
              <w:rPr>
                <w:i/>
                <w:sz w:val="16"/>
              </w:rPr>
              <w:t>(1) Liver Disease in Children, 5th ed. | (2) GeneReviews — UGT1A1.</w:t>
            </w:r>
          </w:p>
          <w:p w:rsidR="00132811" w:rsidRDefault="00243C97">
            <w:pPr>
              <w:spacing w:before="40" w:after="20"/>
            </w:pPr>
            <w:r>
              <w:rPr>
                <w:b/>
                <w:color w:val="1F3864"/>
                <w:sz w:val="18"/>
              </w:rPr>
              <w:t xml:space="preserve">5. </w:t>
            </w:r>
            <w:r>
              <w:rPr>
                <w:i/>
                <w:color w:val="2E75B6"/>
                <w:sz w:val="17"/>
              </w:rPr>
              <w:t xml:space="preserve">[Type I] </w:t>
            </w:r>
          </w:p>
          <w:p w:rsidR="00132811" w:rsidRDefault="00243C97">
            <w:pPr>
              <w:spacing w:after="20"/>
              <w:ind w:left="216"/>
            </w:pPr>
            <w:r>
              <w:rPr>
                <w:b/>
                <w:sz w:val="17"/>
              </w:rPr>
              <w:t xml:space="preserve">Issue: </w:t>
            </w:r>
            <w:r>
              <w:rPr>
                <w:sz w:val="17"/>
              </w:rPr>
              <w:t>Omission of acute management option.</w:t>
            </w:r>
          </w:p>
          <w:p w:rsidR="00132811" w:rsidRDefault="00243C97">
            <w:pPr>
              <w:spacing w:after="20"/>
              <w:ind w:left="216"/>
            </w:pPr>
            <w:r>
              <w:rPr>
                <w:b/>
                <w:sz w:val="17"/>
              </w:rPr>
              <w:t xml:space="preserve">Correction: </w:t>
            </w:r>
            <w:r>
              <w:rPr>
                <w:sz w:val="17"/>
              </w:rPr>
              <w:t>Add: exchange transfusion as primary acute measure in severe cases.</w:t>
            </w:r>
          </w:p>
          <w:p w:rsidR="00132811" w:rsidRDefault="00243C97">
            <w:pPr>
              <w:spacing w:after="80"/>
              <w:ind w:left="216"/>
            </w:pPr>
            <w:r>
              <w:rPr>
                <w:b/>
                <w:color w:val="1F3864"/>
                <w:sz w:val="17"/>
              </w:rPr>
              <w:t xml:space="preserve">Refs: </w:t>
            </w:r>
            <w:r>
              <w:rPr>
                <w:i/>
                <w:sz w:val="16"/>
              </w:rPr>
              <w:t>(1) Liver Disease in Children, 5th ed. | (2) AAP Clinical Practice Guideline on Management of Hyperbilirubinaemia in Newborn.</w:t>
            </w:r>
          </w:p>
          <w:p w:rsidR="00132811" w:rsidRDefault="00243C97">
            <w:pPr>
              <w:spacing w:before="40" w:after="20"/>
            </w:pPr>
            <w:r>
              <w:rPr>
                <w:b/>
                <w:color w:val="1F3864"/>
                <w:sz w:val="18"/>
              </w:rPr>
              <w:t xml:space="preserve">6. </w:t>
            </w:r>
            <w:r>
              <w:rPr>
                <w:i/>
                <w:color w:val="2E75B6"/>
                <w:sz w:val="17"/>
              </w:rPr>
              <w:t xml:space="preserve">[Type I] </w:t>
            </w:r>
          </w:p>
          <w:p w:rsidR="00132811" w:rsidRDefault="00243C97">
            <w:pPr>
              <w:spacing w:after="20"/>
              <w:ind w:left="216"/>
            </w:pPr>
            <w:r>
              <w:rPr>
                <w:b/>
                <w:sz w:val="17"/>
              </w:rPr>
              <w:t xml:space="preserve">Issue: </w:t>
            </w:r>
            <w:r>
              <w:rPr>
                <w:sz w:val="17"/>
              </w:rPr>
              <w:t>Omission of definitive therapy.</w:t>
            </w:r>
          </w:p>
          <w:p w:rsidR="00132811" w:rsidRDefault="00243C97">
            <w:pPr>
              <w:spacing w:after="20"/>
              <w:ind w:left="216"/>
            </w:pPr>
            <w:r>
              <w:rPr>
                <w:b/>
                <w:sz w:val="17"/>
              </w:rPr>
              <w:t xml:space="preserve">Correction: </w:t>
            </w:r>
            <w:r>
              <w:rPr>
                <w:sz w:val="17"/>
              </w:rPr>
              <w:t>Add: OLT is curative for CN type I.</w:t>
            </w:r>
          </w:p>
          <w:p w:rsidR="00132811" w:rsidRDefault="00243C97">
            <w:pPr>
              <w:spacing w:after="80"/>
              <w:ind w:left="216"/>
            </w:pPr>
            <w:r>
              <w:rPr>
                <w:b/>
                <w:color w:val="1F3864"/>
                <w:sz w:val="17"/>
              </w:rPr>
              <w:t xml:space="preserve">Refs: </w:t>
            </w:r>
            <w:r>
              <w:rPr>
                <w:i/>
                <w:sz w:val="16"/>
              </w:rPr>
              <w:t>(1) Liver Disease in Children, 5th ed. | (2) Fagiuoli S et al. Monogenetic diseases that can be cured by liver transplantation. J Hepatol. 2013.</w:t>
            </w:r>
          </w:p>
          <w:p w:rsidR="00132811" w:rsidRDefault="00243C97">
            <w:pPr>
              <w:spacing w:before="40" w:after="20"/>
            </w:pPr>
            <w:r>
              <w:rPr>
                <w:b/>
                <w:color w:val="1F3864"/>
                <w:sz w:val="18"/>
              </w:rPr>
              <w:t xml:space="preserve">7. </w:t>
            </w:r>
            <w:r>
              <w:rPr>
                <w:i/>
                <w:color w:val="2E75B6"/>
                <w:sz w:val="17"/>
              </w:rPr>
              <w:t xml:space="preserve">[Type I] </w:t>
            </w:r>
          </w:p>
          <w:p w:rsidR="00132811" w:rsidRDefault="00243C97">
            <w:pPr>
              <w:spacing w:after="20"/>
              <w:ind w:left="216"/>
            </w:pPr>
            <w:r>
              <w:rPr>
                <w:b/>
                <w:sz w:val="17"/>
              </w:rPr>
              <w:t xml:space="preserve">Issue: </w:t>
            </w:r>
            <w:r>
              <w:rPr>
                <w:sz w:val="17"/>
              </w:rPr>
              <w:t>Omission of bridge-therapy concept.</w:t>
            </w:r>
          </w:p>
          <w:p w:rsidR="00132811" w:rsidRDefault="00243C97">
            <w:pPr>
              <w:spacing w:after="20"/>
              <w:ind w:left="216"/>
            </w:pPr>
            <w:r>
              <w:rPr>
                <w:b/>
                <w:sz w:val="17"/>
              </w:rPr>
              <w:t xml:space="preserve">Correction: </w:t>
            </w:r>
            <w:r>
              <w:rPr>
                <w:sz w:val="17"/>
              </w:rPr>
              <w:t>Add: hepatocyte transplantation as a temporary bridge to OLT.</w:t>
            </w:r>
          </w:p>
          <w:p w:rsidR="00132811" w:rsidRDefault="00243C97">
            <w:pPr>
              <w:spacing w:after="80"/>
              <w:ind w:left="216"/>
            </w:pPr>
            <w:r>
              <w:rPr>
                <w:b/>
                <w:color w:val="1F3864"/>
                <w:sz w:val="17"/>
              </w:rPr>
              <w:t xml:space="preserve">Refs: </w:t>
            </w:r>
            <w:r>
              <w:rPr>
                <w:i/>
                <w:sz w:val="16"/>
              </w:rPr>
              <w:t>(1) Fox IJ et al. Hepatocyte transplantation in CN-I. N Engl J Med. | (2) Liver Disease in Children, 5th ed.</w:t>
            </w:r>
          </w:p>
          <w:p w:rsidR="00132811" w:rsidRDefault="00243C97">
            <w:pPr>
              <w:spacing w:before="40" w:after="20"/>
            </w:pPr>
            <w:r>
              <w:rPr>
                <w:b/>
                <w:color w:val="1F3864"/>
                <w:sz w:val="18"/>
              </w:rPr>
              <w:t xml:space="preserve">8. </w:t>
            </w:r>
            <w:r>
              <w:rPr>
                <w:i/>
                <w:color w:val="2E75B6"/>
                <w:sz w:val="17"/>
              </w:rPr>
              <w:t xml:space="preserve">[Type I] </w:t>
            </w:r>
          </w:p>
          <w:p w:rsidR="00132811" w:rsidRDefault="00243C97">
            <w:pPr>
              <w:spacing w:after="20"/>
              <w:ind w:left="216"/>
            </w:pPr>
            <w:r>
              <w:rPr>
                <w:b/>
                <w:sz w:val="17"/>
              </w:rPr>
              <w:t xml:space="preserve">Issue: </w:t>
            </w:r>
            <w:r>
              <w:rPr>
                <w:sz w:val="17"/>
              </w:rPr>
              <w:t>Omission of investigational-status labelling.</w:t>
            </w:r>
          </w:p>
          <w:p w:rsidR="00132811" w:rsidRDefault="00243C97">
            <w:pPr>
              <w:spacing w:after="20"/>
              <w:ind w:left="216"/>
            </w:pPr>
            <w:r>
              <w:rPr>
                <w:b/>
                <w:sz w:val="17"/>
              </w:rPr>
              <w:t xml:space="preserve">Correction: </w:t>
            </w:r>
            <w:r>
              <w:rPr>
                <w:sz w:val="17"/>
              </w:rPr>
              <w:t>Add explicit labelling of gene therapy as experimental / investigational.</w:t>
            </w:r>
          </w:p>
          <w:p w:rsidR="00132811" w:rsidRDefault="00243C97">
            <w:pPr>
              <w:spacing w:after="80"/>
              <w:ind w:left="216"/>
            </w:pPr>
            <w:r>
              <w:rPr>
                <w:b/>
                <w:color w:val="1F3864"/>
                <w:sz w:val="17"/>
              </w:rPr>
              <w:t xml:space="preserve">Refs: </w:t>
            </w:r>
            <w:r>
              <w:rPr>
                <w:i/>
                <w:sz w:val="16"/>
              </w:rPr>
              <w:t>(1) ClinicalTrials.gov — Crigler-Najjar gene therapy entries. | (2) Liver Disease in Children, 5th ed.</w:t>
            </w:r>
          </w:p>
          <w:p w:rsidR="00132811" w:rsidRDefault="00243C97">
            <w:pPr>
              <w:spacing w:before="40" w:after="20"/>
            </w:pPr>
            <w:r>
              <w:rPr>
                <w:b/>
                <w:color w:val="1F3864"/>
                <w:sz w:val="18"/>
              </w:rPr>
              <w:t xml:space="preserve">9. </w:t>
            </w:r>
            <w:r>
              <w:rPr>
                <w:i/>
                <w:color w:val="2E75B6"/>
                <w:sz w:val="17"/>
              </w:rPr>
              <w:t xml:space="preserve">[Type I] </w:t>
            </w:r>
          </w:p>
          <w:p w:rsidR="00132811" w:rsidRDefault="00243C97">
            <w:pPr>
              <w:spacing w:after="20"/>
              <w:ind w:left="216"/>
            </w:pPr>
            <w:r>
              <w:rPr>
                <w:b/>
                <w:sz w:val="17"/>
              </w:rPr>
              <w:t xml:space="preserve">Issue: </w:t>
            </w:r>
            <w:r>
              <w:rPr>
                <w:sz w:val="17"/>
              </w:rPr>
              <w:t>Omission of investigational-status labelling.</w:t>
            </w:r>
          </w:p>
          <w:p w:rsidR="00132811" w:rsidRDefault="00243C97">
            <w:pPr>
              <w:spacing w:after="20"/>
              <w:ind w:left="216"/>
            </w:pPr>
            <w:r>
              <w:rPr>
                <w:b/>
                <w:sz w:val="17"/>
              </w:rPr>
              <w:t xml:space="preserve">Correction: </w:t>
            </w:r>
            <w:r>
              <w:rPr>
                <w:sz w:val="17"/>
              </w:rPr>
              <w:t>Add explicit labelling of heme-oxygenase inhibitors as experimental.</w:t>
            </w:r>
          </w:p>
          <w:p w:rsidR="00132811" w:rsidRDefault="00243C97">
            <w:pPr>
              <w:spacing w:after="80"/>
              <w:ind w:left="216"/>
            </w:pPr>
            <w:r>
              <w:rPr>
                <w:b/>
                <w:color w:val="1F3864"/>
                <w:sz w:val="17"/>
              </w:rPr>
              <w:t xml:space="preserve">Refs: </w:t>
            </w:r>
            <w:r>
              <w:rPr>
                <w:i/>
                <w:sz w:val="16"/>
              </w:rPr>
              <w:t>(1) Liver Disease in Children, 5th ed. | (2) Standard hepatology literature on bilirubin synthesis modulation.</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1F6E1F"/>
                <w:sz w:val="19"/>
              </w:rPr>
              <w:lastRenderedPageBreak/>
              <w:t>Acknowledged</w:t>
            </w:r>
          </w:p>
          <w:p w:rsidR="00132811" w:rsidRDefault="00243C97">
            <w:pPr>
              <w:spacing w:after="40"/>
            </w:pPr>
            <w:r>
              <w:rPr>
                <w:color w:val="333333"/>
                <w:sz w:val="17"/>
              </w:rPr>
              <w:lastRenderedPageBreak/>
              <w:t>Acknowledged — Routed to the paediatric hepatology subspecialty editor for review</w:t>
            </w:r>
          </w:p>
        </w:tc>
      </w:tr>
    </w:tbl>
    <w:p w:rsidR="00132811" w:rsidRDefault="00132811"/>
    <w:p w:rsidR="00132811" w:rsidRDefault="00243C97">
      <w:pPr>
        <w:spacing w:before="240" w:after="80"/>
      </w:pPr>
      <w:r>
        <w:rPr>
          <w:b/>
          <w:color w:val="2E75B6"/>
          <w:sz w:val="24"/>
        </w:rPr>
        <w:t>6.6  Principles of Neurological Surgery (4th ed.)</w:t>
      </w:r>
    </w:p>
    <w:p w:rsidR="00132811" w:rsidRDefault="00243C97">
      <w:pPr>
        <w:spacing w:after="40"/>
      </w:pPr>
      <w:r>
        <w:rPr>
          <w:b/>
          <w:sz w:val="20"/>
        </w:rPr>
        <w:t xml:space="preserve">Specialty: </w:t>
      </w:r>
      <w:r>
        <w:rPr>
          <w:sz w:val="20"/>
        </w:rPr>
        <w:t>Neurosurgery</w:t>
      </w:r>
    </w:p>
    <w:p w:rsidR="00132811" w:rsidRDefault="00243C97">
      <w:pPr>
        <w:spacing w:after="40"/>
      </w:pPr>
      <w:r>
        <w:rPr>
          <w:b/>
          <w:sz w:val="20"/>
        </w:rPr>
        <w:t xml:space="preserve">Total sub-contributions: </w:t>
      </w:r>
      <w:r>
        <w:rPr>
          <w:b/>
          <w:color w:val="1F3864"/>
          <w:sz w:val="20"/>
        </w:rPr>
        <w:t xml:space="preserve">11  </w:t>
      </w:r>
      <w:r>
        <w:rPr>
          <w:color w:val="606060"/>
          <w:sz w:val="19"/>
        </w:rPr>
        <w:t>(Type I: 5 · Type II: 3 · Type III: 0 · Type IV: 2 · Type V: 1)</w:t>
      </w:r>
    </w:p>
    <w:tbl>
      <w:tblPr>
        <w:tblW w:w="0" w:type="auto"/>
        <w:jc w:val="center"/>
        <w:tblLayout w:type="fixed"/>
        <w:tblLook w:val="04A0" w:firstRow="1" w:lastRow="0" w:firstColumn="1" w:lastColumn="0" w:noHBand="0" w:noVBand="1"/>
      </w:tblPr>
      <w:tblGrid>
        <w:gridCol w:w="461"/>
        <w:gridCol w:w="2232"/>
        <w:gridCol w:w="6336"/>
        <w:gridCol w:w="2779"/>
      </w:tblGrid>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lastRenderedPageBreak/>
              <w:t>#</w:t>
            </w:r>
          </w:p>
        </w:tc>
        <w:tc>
          <w:tcPr>
            <w:tcW w:w="2232"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Email submission topic</w:t>
            </w:r>
          </w:p>
        </w:tc>
        <w:tc>
          <w:tcPr>
            <w:tcW w:w="6336"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Sub-contributions (with two supporting references each)</w:t>
            </w:r>
          </w:p>
        </w:tc>
        <w:tc>
          <w:tcPr>
            <w:tcW w:w="2779"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Editorial response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1</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Operating-room equipment and instrumentation (cautery, neuronavigation)</w:t>
            </w:r>
          </w:p>
          <w:p w:rsidR="00132811" w:rsidRDefault="00243C97">
            <w:pPr>
              <w:spacing w:after="40"/>
            </w:pPr>
            <w:r>
              <w:rPr>
                <w:b/>
                <w:color w:val="2E75B6"/>
                <w:sz w:val="18"/>
              </w:rPr>
              <w:t>3 sub-contributions</w:t>
            </w:r>
          </w:p>
          <w:p w:rsidR="00132811" w:rsidRDefault="00243C97">
            <w:pPr>
              <w:spacing w:after="40"/>
            </w:pPr>
            <w:r>
              <w:rPr>
                <w:color w:val="606060"/>
                <w:sz w:val="17"/>
              </w:rPr>
              <w:t>Type IV: 2 · Type V: 1</w:t>
            </w:r>
          </w:p>
          <w:p w:rsidR="00132811" w:rsidRDefault="00243C97">
            <w:pPr>
              <w:spacing w:after="0"/>
            </w:pPr>
            <w:r>
              <w:rPr>
                <w:b/>
                <w:sz w:val="17"/>
              </w:rPr>
              <w:t xml:space="preserve">Source: </w:t>
            </w:r>
            <w:r>
              <w:rPr>
                <w:i/>
                <w:sz w:val="17"/>
              </w:rPr>
              <w:t>p. 110 — function of cautery</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IV] </w:t>
            </w:r>
          </w:p>
          <w:p w:rsidR="00132811" w:rsidRDefault="00243C97">
            <w:pPr>
              <w:spacing w:after="20"/>
              <w:ind w:left="216"/>
            </w:pPr>
            <w:r>
              <w:rPr>
                <w:b/>
                <w:sz w:val="17"/>
              </w:rPr>
              <w:t xml:space="preserve">Issue: </w:t>
            </w:r>
            <w:r>
              <w:rPr>
                <w:sz w:val="17"/>
              </w:rPr>
              <w:t>Mischaracterised mechanism — cautery does not mechanically "open" tissue.</w:t>
            </w:r>
          </w:p>
          <w:p w:rsidR="00132811" w:rsidRDefault="00243C97">
            <w:pPr>
              <w:spacing w:after="20"/>
              <w:ind w:left="216"/>
            </w:pPr>
            <w:r>
              <w:rPr>
                <w:b/>
                <w:sz w:val="17"/>
              </w:rPr>
              <w:t xml:space="preserve">Correction: </w:t>
            </w:r>
            <w:r>
              <w:rPr>
                <w:sz w:val="17"/>
              </w:rPr>
              <w:t>Cautery coagulates bleeding vessels and cuts soft tissue by thermal dissection.</w:t>
            </w:r>
          </w:p>
          <w:p w:rsidR="00132811" w:rsidRDefault="00243C97">
            <w:pPr>
              <w:spacing w:after="80"/>
              <w:ind w:left="216"/>
            </w:pPr>
            <w:r>
              <w:rPr>
                <w:b/>
                <w:color w:val="1F3864"/>
                <w:sz w:val="17"/>
              </w:rPr>
              <w:t xml:space="preserve">Refs: </w:t>
            </w:r>
            <w:r>
              <w:rPr>
                <w:i/>
                <w:sz w:val="16"/>
              </w:rPr>
              <w:t>(1) Greenberg Handbook of Neurosurgery, 9th ed. | (2) Massarweh NN et al. Electrosurgery: history, principles, and current applications. J Am Coll Surg. 2006.</w:t>
            </w:r>
          </w:p>
          <w:p w:rsidR="00132811" w:rsidRDefault="00243C97">
            <w:pPr>
              <w:spacing w:before="40" w:after="20"/>
            </w:pPr>
            <w:r>
              <w:rPr>
                <w:b/>
                <w:color w:val="1F3864"/>
                <w:sz w:val="18"/>
              </w:rPr>
              <w:t xml:space="preserve">2. </w:t>
            </w:r>
            <w:r>
              <w:rPr>
                <w:i/>
                <w:color w:val="2E75B6"/>
                <w:sz w:val="17"/>
              </w:rPr>
              <w:t xml:space="preserve">[Type IV] </w:t>
            </w:r>
          </w:p>
          <w:p w:rsidR="00132811" w:rsidRDefault="00243C97">
            <w:pPr>
              <w:spacing w:after="20"/>
              <w:ind w:left="216"/>
            </w:pPr>
            <w:r>
              <w:rPr>
                <w:b/>
                <w:sz w:val="17"/>
              </w:rPr>
              <w:t xml:space="preserve">Issue: </w:t>
            </w:r>
            <w:r>
              <w:rPr>
                <w:sz w:val="17"/>
              </w:rPr>
              <w:t>Overstates necessity.</w:t>
            </w:r>
          </w:p>
          <w:p w:rsidR="00132811" w:rsidRDefault="00243C97">
            <w:pPr>
              <w:spacing w:after="20"/>
              <w:ind w:left="216"/>
            </w:pPr>
            <w:r>
              <w:rPr>
                <w:b/>
                <w:sz w:val="17"/>
              </w:rPr>
              <w:t xml:space="preserve">Correction: </w:t>
            </w:r>
            <w:r>
              <w:rPr>
                <w:sz w:val="17"/>
              </w:rPr>
              <w:t>Neuronavigation significantly improves accuracy in MIS but is not strictly indispensable.</w:t>
            </w:r>
          </w:p>
          <w:p w:rsidR="00132811" w:rsidRDefault="00243C97">
            <w:pPr>
              <w:spacing w:after="80"/>
              <w:ind w:left="216"/>
            </w:pPr>
            <w:r>
              <w:rPr>
                <w:b/>
                <w:color w:val="1F3864"/>
                <w:sz w:val="17"/>
              </w:rPr>
              <w:t xml:space="preserve">Refs: </w:t>
            </w:r>
            <w:r>
              <w:rPr>
                <w:i/>
                <w:sz w:val="16"/>
              </w:rPr>
              <w:t>(1) Perneczky A. Keyhole Approaches in Neurosurgery (atlas). | (2) Reisch R et al. Minimally invasive supraorbital craniotomy. Neurosurg Focus. 2005.</w:t>
            </w:r>
          </w:p>
          <w:p w:rsidR="00132811" w:rsidRDefault="00243C97">
            <w:pPr>
              <w:spacing w:before="40" w:after="20"/>
            </w:pPr>
            <w:r>
              <w:rPr>
                <w:b/>
                <w:color w:val="1F3864"/>
                <w:sz w:val="18"/>
              </w:rPr>
              <w:t xml:space="preserve">3. </w:t>
            </w:r>
            <w:r>
              <w:rPr>
                <w:i/>
                <w:color w:val="2E75B6"/>
                <w:sz w:val="17"/>
              </w:rPr>
              <w:t xml:space="preserve">[Type V] </w:t>
            </w:r>
          </w:p>
          <w:p w:rsidR="00132811" w:rsidRDefault="00243C97">
            <w:pPr>
              <w:spacing w:after="20"/>
              <w:ind w:left="216"/>
            </w:pPr>
            <w:r>
              <w:rPr>
                <w:b/>
                <w:sz w:val="17"/>
              </w:rPr>
              <w:t xml:space="preserve">Issue: </w:t>
            </w:r>
            <w:r>
              <w:rPr>
                <w:sz w:val="17"/>
              </w:rPr>
              <w:t>Omission of alternative-technique framing.</w:t>
            </w:r>
          </w:p>
          <w:p w:rsidR="00132811" w:rsidRDefault="00243C97">
            <w:pPr>
              <w:spacing w:after="20"/>
              <w:ind w:left="216"/>
            </w:pPr>
            <w:r>
              <w:rPr>
                <w:b/>
                <w:sz w:val="17"/>
              </w:rPr>
              <w:t xml:space="preserve">Correction: </w:t>
            </w:r>
            <w:r>
              <w:rPr>
                <w:sz w:val="17"/>
              </w:rPr>
              <w:t>Add: certain keyhole procedures can be safely performed using anatomical landmarks and microsurgical technique.</w:t>
            </w:r>
          </w:p>
          <w:p w:rsidR="00132811" w:rsidRDefault="00243C97">
            <w:pPr>
              <w:spacing w:after="80"/>
              <w:ind w:left="216"/>
            </w:pPr>
            <w:r>
              <w:rPr>
                <w:b/>
                <w:color w:val="1F3864"/>
                <w:sz w:val="17"/>
              </w:rPr>
              <w:t xml:space="preserve">Refs: </w:t>
            </w:r>
            <w:r>
              <w:rPr>
                <w:i/>
                <w:sz w:val="16"/>
              </w:rPr>
              <w:t>(1) Perneczky A. Keyhole Approaches in Neurosurgery. | (2) Reisch R et al. Neurosurg Focus. 2005.</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2E75B6"/>
                <w:sz w:val="19"/>
              </w:rPr>
              <w:t>Forwarded</w:t>
            </w:r>
          </w:p>
          <w:p w:rsidR="00132811" w:rsidRDefault="00243C97">
            <w:pPr>
              <w:spacing w:after="40"/>
            </w:pPr>
            <w:r>
              <w:rPr>
                <w:color w:val="333333"/>
                <w:sz w:val="17"/>
              </w:rPr>
              <w:t>Forwarded by the editor to the chapter authors for next-edition consideration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t>2</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Cerebrovascular bypass surgery — classification and STA-MCA technique</w:t>
            </w:r>
          </w:p>
          <w:p w:rsidR="00132811" w:rsidRDefault="00243C97">
            <w:pPr>
              <w:spacing w:after="40"/>
            </w:pPr>
            <w:r>
              <w:rPr>
                <w:b/>
                <w:color w:val="2E75B6"/>
                <w:sz w:val="18"/>
              </w:rPr>
              <w:t>6 sub-contributions</w:t>
            </w:r>
          </w:p>
          <w:p w:rsidR="00132811" w:rsidRDefault="00243C97">
            <w:pPr>
              <w:spacing w:after="40"/>
            </w:pPr>
            <w:r>
              <w:rPr>
                <w:color w:val="606060"/>
                <w:sz w:val="17"/>
              </w:rPr>
              <w:t>Type I: 3 · Type II: 3</w:t>
            </w:r>
          </w:p>
          <w:p w:rsidR="00132811" w:rsidRDefault="00243C97">
            <w:pPr>
              <w:spacing w:after="0"/>
            </w:pPr>
            <w:r>
              <w:rPr>
                <w:b/>
                <w:sz w:val="17"/>
              </w:rPr>
              <w:t xml:space="preserve">Source: </w:t>
            </w:r>
            <w:r>
              <w:rPr>
                <w:i/>
                <w:sz w:val="17"/>
              </w:rPr>
              <w:t>p. 295 — bypass classification</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Oversimplified binary classification.</w:t>
            </w:r>
          </w:p>
          <w:p w:rsidR="00132811" w:rsidRDefault="00243C97">
            <w:pPr>
              <w:spacing w:after="20"/>
              <w:ind w:left="216"/>
            </w:pPr>
            <w:r>
              <w:rPr>
                <w:b/>
                <w:sz w:val="17"/>
              </w:rPr>
              <w:t xml:space="preserve">Correction: </w:t>
            </w:r>
            <w:r>
              <w:rPr>
                <w:sz w:val="17"/>
              </w:rPr>
              <w:t>Bypass selection should be multifactorial, not binary.</w:t>
            </w:r>
          </w:p>
          <w:p w:rsidR="00132811" w:rsidRDefault="00243C97">
            <w:pPr>
              <w:spacing w:after="80"/>
              <w:ind w:left="216"/>
            </w:pPr>
            <w:r>
              <w:rPr>
                <w:b/>
                <w:color w:val="1F3864"/>
                <w:sz w:val="17"/>
              </w:rPr>
              <w:t xml:space="preserve">Refs: </w:t>
            </w:r>
            <w:r>
              <w:rPr>
                <w:i/>
                <w:sz w:val="16"/>
              </w:rPr>
              <w:t>(1) Lawton MT. Seven Bypasses: Tenets and Techniques for Revascularization. | (2) Sundt TM. Surgical management of cerebrovascular disease. Stroke. 1985.</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contemporary flow-demand framework.</w:t>
            </w:r>
          </w:p>
          <w:p w:rsidR="00132811" w:rsidRDefault="00243C97">
            <w:pPr>
              <w:spacing w:after="20"/>
              <w:ind w:left="216"/>
            </w:pPr>
            <w:r>
              <w:rPr>
                <w:b/>
                <w:sz w:val="17"/>
              </w:rPr>
              <w:t xml:space="preserve">Correction: </w:t>
            </w:r>
            <w:r>
              <w:rPr>
                <w:sz w:val="17"/>
              </w:rPr>
              <w:t>Add: bypass selection should be based on quantitative flow demand.</w:t>
            </w:r>
          </w:p>
          <w:p w:rsidR="00132811" w:rsidRDefault="00243C97">
            <w:pPr>
              <w:spacing w:after="80"/>
              <w:ind w:left="216"/>
            </w:pPr>
            <w:r>
              <w:rPr>
                <w:b/>
                <w:color w:val="1F3864"/>
                <w:sz w:val="17"/>
              </w:rPr>
              <w:t xml:space="preserve">Refs: </w:t>
            </w:r>
            <w:r>
              <w:rPr>
                <w:i/>
                <w:sz w:val="16"/>
              </w:rPr>
              <w:t>(1) Lawton MT. Seven Bypasses. | (2) Charbel FT et al. Intraoperative flow measurement in cerebrovascular bypass. Neurosurgery. 2005.</w:t>
            </w:r>
          </w:p>
          <w:p w:rsidR="00132811" w:rsidRDefault="00243C97">
            <w:pPr>
              <w:spacing w:before="40" w:after="20"/>
            </w:pPr>
            <w:r>
              <w:rPr>
                <w:b/>
                <w:color w:val="1F3864"/>
                <w:sz w:val="18"/>
              </w:rPr>
              <w:t xml:space="preserve">3. </w:t>
            </w:r>
            <w:r>
              <w:rPr>
                <w:i/>
                <w:color w:val="2E75B6"/>
                <w:sz w:val="17"/>
              </w:rPr>
              <w:t xml:space="preserve">[Type II] </w:t>
            </w:r>
          </w:p>
          <w:p w:rsidR="00132811" w:rsidRDefault="00243C97">
            <w:pPr>
              <w:spacing w:after="20"/>
              <w:ind w:left="216"/>
            </w:pPr>
            <w:r>
              <w:rPr>
                <w:b/>
                <w:sz w:val="17"/>
              </w:rPr>
              <w:t xml:space="preserve">Issue: </w:t>
            </w:r>
            <w:r>
              <w:rPr>
                <w:sz w:val="17"/>
              </w:rPr>
              <w:t>Omission of graft-capacity element.</w:t>
            </w:r>
          </w:p>
          <w:p w:rsidR="00132811" w:rsidRDefault="00243C97">
            <w:pPr>
              <w:spacing w:after="20"/>
              <w:ind w:left="216"/>
            </w:pPr>
            <w:r>
              <w:rPr>
                <w:b/>
                <w:sz w:val="17"/>
              </w:rPr>
              <w:t xml:space="preserve">Correction: </w:t>
            </w:r>
            <w:r>
              <w:rPr>
                <w:sz w:val="17"/>
              </w:rPr>
              <w:t>Add: graft capacity should be assessed when selecting bypass strategy.</w:t>
            </w:r>
          </w:p>
          <w:p w:rsidR="00132811" w:rsidRDefault="00243C97">
            <w:pPr>
              <w:spacing w:after="80"/>
              <w:ind w:left="216"/>
            </w:pPr>
            <w:r>
              <w:rPr>
                <w:b/>
                <w:color w:val="1F3864"/>
                <w:sz w:val="17"/>
              </w:rPr>
              <w:t xml:space="preserve">Refs: </w:t>
            </w:r>
            <w:r>
              <w:rPr>
                <w:i/>
                <w:sz w:val="16"/>
              </w:rPr>
              <w:t>(1) Lawton MT. Seven Bypasses. | (2) Charbel FT et al. Neurosurgery. 2005.</w:t>
            </w:r>
          </w:p>
          <w:p w:rsidR="00132811" w:rsidRDefault="00243C97">
            <w:pPr>
              <w:spacing w:before="40" w:after="20"/>
            </w:pPr>
            <w:r>
              <w:rPr>
                <w:b/>
                <w:color w:val="1F3864"/>
                <w:sz w:val="18"/>
              </w:rPr>
              <w:t xml:space="preserve">4. </w:t>
            </w:r>
            <w:r>
              <w:rPr>
                <w:i/>
                <w:color w:val="2E75B6"/>
                <w:sz w:val="17"/>
              </w:rPr>
              <w:t xml:space="preserve">[Type II] </w:t>
            </w:r>
          </w:p>
          <w:p w:rsidR="00132811" w:rsidRDefault="00243C97">
            <w:pPr>
              <w:spacing w:after="20"/>
              <w:ind w:left="216"/>
            </w:pPr>
            <w:r>
              <w:rPr>
                <w:b/>
                <w:sz w:val="17"/>
              </w:rPr>
              <w:t xml:space="preserve">Issue: </w:t>
            </w:r>
            <w:r>
              <w:rPr>
                <w:sz w:val="17"/>
              </w:rPr>
              <w:t>Omission of recipient-vessel framing.</w:t>
            </w:r>
          </w:p>
          <w:p w:rsidR="00132811" w:rsidRDefault="00243C97">
            <w:pPr>
              <w:spacing w:after="20"/>
              <w:ind w:left="216"/>
            </w:pPr>
            <w:r>
              <w:rPr>
                <w:b/>
                <w:sz w:val="17"/>
              </w:rPr>
              <w:t xml:space="preserve">Correction: </w:t>
            </w:r>
            <w:r>
              <w:rPr>
                <w:sz w:val="17"/>
              </w:rPr>
              <w:t>Add: recipient vessel requirements should guide bypass strategy.</w:t>
            </w:r>
          </w:p>
          <w:p w:rsidR="00132811" w:rsidRDefault="00243C97">
            <w:pPr>
              <w:spacing w:after="80"/>
              <w:ind w:left="216"/>
            </w:pPr>
            <w:r>
              <w:rPr>
                <w:b/>
                <w:color w:val="1F3864"/>
                <w:sz w:val="17"/>
              </w:rPr>
              <w:t xml:space="preserve">Refs: </w:t>
            </w:r>
            <w:r>
              <w:rPr>
                <w:i/>
                <w:sz w:val="16"/>
              </w:rPr>
              <w:t>(1) Lawton MT. Seven Bypasses. | (2) Sundt TM. Stroke. 1985.</w:t>
            </w:r>
          </w:p>
          <w:p w:rsidR="00132811" w:rsidRDefault="00243C97">
            <w:pPr>
              <w:spacing w:before="40" w:after="20"/>
            </w:pPr>
            <w:r>
              <w:rPr>
                <w:b/>
                <w:color w:val="1F3864"/>
                <w:sz w:val="18"/>
              </w:rPr>
              <w:t xml:space="preserve">5. </w:t>
            </w:r>
            <w:r>
              <w:rPr>
                <w:i/>
                <w:color w:val="2E75B6"/>
                <w:sz w:val="17"/>
              </w:rPr>
              <w:t xml:space="preserve">[Type I] </w:t>
            </w:r>
          </w:p>
          <w:p w:rsidR="00132811" w:rsidRDefault="00243C97">
            <w:pPr>
              <w:spacing w:after="20"/>
              <w:ind w:left="216"/>
            </w:pPr>
            <w:r>
              <w:rPr>
                <w:b/>
                <w:sz w:val="17"/>
              </w:rPr>
              <w:t xml:space="preserve">Issue: </w:t>
            </w:r>
            <w:r>
              <w:rPr>
                <w:sz w:val="17"/>
              </w:rPr>
              <w:t>Mechanism mischaracterised.</w:t>
            </w:r>
          </w:p>
          <w:p w:rsidR="00132811" w:rsidRDefault="00243C97">
            <w:pPr>
              <w:spacing w:after="20"/>
              <w:ind w:left="216"/>
            </w:pPr>
            <w:r>
              <w:rPr>
                <w:b/>
                <w:sz w:val="17"/>
              </w:rPr>
              <w:t xml:space="preserve">Correction: </w:t>
            </w:r>
            <w:r>
              <w:rPr>
                <w:sz w:val="17"/>
              </w:rPr>
              <w:t>Fish-mouthing primarily increases suture-line length and facilitates anastomosis.</w:t>
            </w:r>
          </w:p>
          <w:p w:rsidR="00132811" w:rsidRDefault="00243C97">
            <w:pPr>
              <w:spacing w:after="80"/>
              <w:ind w:left="216"/>
            </w:pPr>
            <w:r>
              <w:rPr>
                <w:b/>
                <w:color w:val="1F3864"/>
                <w:sz w:val="17"/>
              </w:rPr>
              <w:t xml:space="preserve">Refs: </w:t>
            </w:r>
            <w:r>
              <w:rPr>
                <w:i/>
                <w:sz w:val="16"/>
              </w:rPr>
              <w:t>(1) Lawton MT. Seven Bypasses. | (2) Acland RD. Microsurgery Practice Manual.</w:t>
            </w:r>
          </w:p>
          <w:p w:rsidR="00132811" w:rsidRDefault="00243C97">
            <w:pPr>
              <w:spacing w:before="40" w:after="20"/>
            </w:pPr>
            <w:r>
              <w:rPr>
                <w:b/>
                <w:color w:val="1F3864"/>
                <w:sz w:val="18"/>
              </w:rPr>
              <w:t xml:space="preserve">6. </w:t>
            </w:r>
            <w:r>
              <w:rPr>
                <w:i/>
                <w:color w:val="2E75B6"/>
                <w:sz w:val="17"/>
              </w:rPr>
              <w:t xml:space="preserve">[Type I] </w:t>
            </w:r>
          </w:p>
          <w:p w:rsidR="00132811" w:rsidRDefault="00243C97">
            <w:pPr>
              <w:spacing w:after="20"/>
              <w:ind w:left="216"/>
            </w:pPr>
            <w:r>
              <w:rPr>
                <w:b/>
                <w:sz w:val="17"/>
              </w:rPr>
              <w:t xml:space="preserve">Issue: </w:t>
            </w:r>
            <w:r>
              <w:rPr>
                <w:sz w:val="17"/>
              </w:rPr>
              <w:t>Overstated mechanical effect.</w:t>
            </w:r>
          </w:p>
          <w:p w:rsidR="00132811" w:rsidRDefault="00243C97">
            <w:pPr>
              <w:spacing w:after="20"/>
              <w:ind w:left="216"/>
            </w:pPr>
            <w:r>
              <w:rPr>
                <w:b/>
                <w:sz w:val="17"/>
              </w:rPr>
              <w:t xml:space="preserve">Correction: </w:t>
            </w:r>
            <w:r>
              <w:rPr>
                <w:sz w:val="17"/>
              </w:rPr>
              <w:t>Clarify: fish-mouthing does NOT increase the true luminal diameter itself.</w:t>
            </w:r>
          </w:p>
          <w:p w:rsidR="00132811" w:rsidRDefault="00243C97">
            <w:pPr>
              <w:spacing w:after="80"/>
              <w:ind w:left="216"/>
            </w:pPr>
            <w:r>
              <w:rPr>
                <w:b/>
                <w:color w:val="1F3864"/>
                <w:sz w:val="17"/>
              </w:rPr>
              <w:t xml:space="preserve">Refs: </w:t>
            </w:r>
            <w:r>
              <w:rPr>
                <w:i/>
                <w:sz w:val="16"/>
              </w:rPr>
              <w:t>(1) Lawton MT. Seven Bypasses. | (2) Acland RD. Microsurgery Practice Manual.</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2E75B6"/>
                <w:sz w:val="19"/>
              </w:rPr>
              <w:t>Forwarded</w:t>
            </w:r>
          </w:p>
          <w:p w:rsidR="00132811" w:rsidRDefault="00243C97">
            <w:pPr>
              <w:spacing w:after="40"/>
            </w:pPr>
            <w:r>
              <w:rPr>
                <w:color w:val="333333"/>
                <w:sz w:val="17"/>
              </w:rPr>
              <w:t>Forwarded by the editor to the cerebrovascular chapter authors for next-edition consideration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lastRenderedPageBreak/>
              <w:t>3</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Patient positioning and intraoperative safety</w:t>
            </w:r>
          </w:p>
          <w:p w:rsidR="00132811" w:rsidRDefault="00243C97">
            <w:pPr>
              <w:spacing w:after="40"/>
            </w:pPr>
            <w:r>
              <w:rPr>
                <w:b/>
                <w:color w:val="2E75B6"/>
                <w:sz w:val="18"/>
              </w:rPr>
              <w:t>2 sub-contributions</w:t>
            </w:r>
          </w:p>
          <w:p w:rsidR="00132811" w:rsidRDefault="00243C97">
            <w:pPr>
              <w:spacing w:after="40"/>
            </w:pPr>
            <w:r>
              <w:rPr>
                <w:color w:val="606060"/>
                <w:sz w:val="17"/>
              </w:rPr>
              <w:t>Type I: 2</w:t>
            </w:r>
          </w:p>
          <w:p w:rsidR="00132811" w:rsidRDefault="00243C97">
            <w:pPr>
              <w:spacing w:after="0"/>
            </w:pPr>
            <w:r>
              <w:rPr>
                <w:b/>
                <w:sz w:val="17"/>
              </w:rPr>
              <w:t xml:space="preserve">Source: </w:t>
            </w:r>
            <w:r>
              <w:rPr>
                <w:i/>
                <w:sz w:val="17"/>
              </w:rPr>
              <w:t>p. 103 — patient positioning</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Incomplete framing of venous-drainage considerations.</w:t>
            </w:r>
          </w:p>
          <w:p w:rsidR="00132811" w:rsidRDefault="00243C97">
            <w:pPr>
              <w:spacing w:after="20"/>
              <w:ind w:left="216"/>
            </w:pPr>
            <w:r>
              <w:rPr>
                <w:b/>
                <w:sz w:val="17"/>
              </w:rPr>
              <w:t xml:space="preserve">Correction: </w:t>
            </w:r>
            <w:r>
              <w:rPr>
                <w:sz w:val="17"/>
              </w:rPr>
              <w:t>Positioning should minimise brain retraction and avoid obstruction of ALL major cerebral venous outflow pathways.</w:t>
            </w:r>
          </w:p>
          <w:p w:rsidR="00132811" w:rsidRDefault="00243C97">
            <w:pPr>
              <w:spacing w:after="80"/>
              <w:ind w:left="216"/>
            </w:pPr>
            <w:r>
              <w:rPr>
                <w:b/>
                <w:color w:val="1F3864"/>
                <w:sz w:val="17"/>
              </w:rPr>
              <w:t xml:space="preserve">Refs: </w:t>
            </w:r>
            <w:r>
              <w:rPr>
                <w:i/>
                <w:sz w:val="16"/>
              </w:rPr>
              <w:t>(1) Greenberg Handbook of Neurosurgery, 9th ed. | (2) Standard neurosurgical positioning literature.</w:t>
            </w:r>
          </w:p>
          <w:p w:rsidR="00132811" w:rsidRDefault="00243C97">
            <w:pPr>
              <w:spacing w:before="40" w:after="20"/>
            </w:pPr>
            <w:r>
              <w:rPr>
                <w:b/>
                <w:color w:val="1F3864"/>
                <w:sz w:val="18"/>
              </w:rPr>
              <w:t xml:space="preserve">2. </w:t>
            </w:r>
            <w:r>
              <w:rPr>
                <w:i/>
                <w:color w:val="2E75B6"/>
                <w:sz w:val="17"/>
              </w:rPr>
              <w:t xml:space="preserve">[Type I] </w:t>
            </w:r>
          </w:p>
          <w:p w:rsidR="00132811" w:rsidRDefault="00243C97">
            <w:pPr>
              <w:spacing w:after="20"/>
              <w:ind w:left="216"/>
            </w:pPr>
            <w:r>
              <w:rPr>
                <w:b/>
                <w:sz w:val="17"/>
              </w:rPr>
              <w:t xml:space="preserve">Issue: </w:t>
            </w:r>
            <w:r>
              <w:rPr>
                <w:sz w:val="17"/>
              </w:rPr>
              <w:t>Omission of vertebral-plexus drainage relevance.</w:t>
            </w:r>
          </w:p>
          <w:p w:rsidR="00132811" w:rsidRDefault="00243C97">
            <w:pPr>
              <w:spacing w:after="20"/>
              <w:ind w:left="216"/>
            </w:pPr>
            <w:r>
              <w:rPr>
                <w:b/>
                <w:sz w:val="17"/>
              </w:rPr>
              <w:t xml:space="preserve">Correction: </w:t>
            </w:r>
            <w:r>
              <w:rPr>
                <w:sz w:val="17"/>
              </w:rPr>
              <w:t>Add: include vertebral venous drainage among pathways to be preserved.</w:t>
            </w:r>
          </w:p>
          <w:p w:rsidR="00132811" w:rsidRDefault="00243C97">
            <w:pPr>
              <w:spacing w:after="80"/>
              <w:ind w:left="216"/>
            </w:pPr>
            <w:r>
              <w:rPr>
                <w:b/>
                <w:color w:val="1F3864"/>
                <w:sz w:val="17"/>
              </w:rPr>
              <w:t xml:space="preserve">Refs: </w:t>
            </w:r>
            <w:r>
              <w:rPr>
                <w:i/>
                <w:sz w:val="16"/>
              </w:rPr>
              <w:t>(1) Tobinick E. The vertebral venous system. Med Hypotheses. 2006. | (2) Standard neurosurgical positioning references.</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2E75B6"/>
                <w:sz w:val="19"/>
              </w:rPr>
              <w:t>Forwarded</w:t>
            </w:r>
          </w:p>
          <w:p w:rsidR="00132811" w:rsidRDefault="00243C97">
            <w:pPr>
              <w:spacing w:after="40"/>
            </w:pPr>
            <w:r>
              <w:rPr>
                <w:color w:val="333333"/>
                <w:sz w:val="17"/>
              </w:rPr>
              <w:t>Forwarded by the editor to the general neurosurgery chapter authors for next-edition consideration</w:t>
            </w:r>
          </w:p>
        </w:tc>
      </w:tr>
    </w:tbl>
    <w:p w:rsidR="00132811" w:rsidRDefault="00132811"/>
    <w:p w:rsidR="00132811" w:rsidRDefault="00243C97">
      <w:pPr>
        <w:spacing w:before="240" w:after="80"/>
      </w:pPr>
      <w:r>
        <w:rPr>
          <w:b/>
          <w:color w:val="2E75B6"/>
          <w:sz w:val="24"/>
        </w:rPr>
        <w:t>6.7  Dermatology Essentials (2nd ed.)</w:t>
      </w:r>
    </w:p>
    <w:p w:rsidR="00132811" w:rsidRDefault="00243C97">
      <w:pPr>
        <w:spacing w:after="40"/>
      </w:pPr>
      <w:r>
        <w:rPr>
          <w:b/>
          <w:sz w:val="20"/>
        </w:rPr>
        <w:t xml:space="preserve">Specialty: </w:t>
      </w:r>
      <w:r>
        <w:rPr>
          <w:sz w:val="20"/>
        </w:rPr>
        <w:t>Dermatology</w:t>
      </w:r>
    </w:p>
    <w:p w:rsidR="00132811" w:rsidRDefault="00243C97">
      <w:pPr>
        <w:spacing w:after="40"/>
      </w:pPr>
      <w:r>
        <w:rPr>
          <w:b/>
          <w:sz w:val="20"/>
        </w:rPr>
        <w:t xml:space="preserve">Total sub-contributions: </w:t>
      </w:r>
      <w:r>
        <w:rPr>
          <w:b/>
          <w:color w:val="1F3864"/>
          <w:sz w:val="20"/>
        </w:rPr>
        <w:t xml:space="preserve">11  </w:t>
      </w:r>
      <w:r>
        <w:rPr>
          <w:color w:val="606060"/>
          <w:sz w:val="19"/>
        </w:rPr>
        <w:t>(Type I: 5 · Type II: 0 · Type III: 0 · Type IV: 4 · Type V: 2)</w:t>
      </w:r>
    </w:p>
    <w:tbl>
      <w:tblPr>
        <w:tblW w:w="0" w:type="auto"/>
        <w:jc w:val="center"/>
        <w:tblLayout w:type="fixed"/>
        <w:tblLook w:val="04A0" w:firstRow="1" w:lastRow="0" w:firstColumn="1" w:lastColumn="0" w:noHBand="0" w:noVBand="1"/>
      </w:tblPr>
      <w:tblGrid>
        <w:gridCol w:w="461"/>
        <w:gridCol w:w="2232"/>
        <w:gridCol w:w="6336"/>
        <w:gridCol w:w="2779"/>
      </w:tblGrid>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w:t>
            </w:r>
          </w:p>
        </w:tc>
        <w:tc>
          <w:tcPr>
            <w:tcW w:w="2232"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Email submission topic</w:t>
            </w:r>
          </w:p>
        </w:tc>
        <w:tc>
          <w:tcPr>
            <w:tcW w:w="6336"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Sub-contributions (with two supporting references each)</w:t>
            </w:r>
          </w:p>
        </w:tc>
        <w:tc>
          <w:tcPr>
            <w:tcW w:w="2779"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Editorial response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1</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Koebner phenomenon — entities and clinical context (p. 95)</w:t>
            </w:r>
          </w:p>
          <w:p w:rsidR="00132811" w:rsidRDefault="00243C97">
            <w:pPr>
              <w:spacing w:after="40"/>
            </w:pPr>
            <w:r>
              <w:rPr>
                <w:b/>
                <w:color w:val="2E75B6"/>
                <w:sz w:val="18"/>
              </w:rPr>
              <w:t>11 sub-contributions</w:t>
            </w:r>
          </w:p>
          <w:p w:rsidR="00132811" w:rsidRDefault="00243C97">
            <w:pPr>
              <w:spacing w:after="40"/>
            </w:pPr>
            <w:r>
              <w:rPr>
                <w:color w:val="606060"/>
                <w:sz w:val="17"/>
              </w:rPr>
              <w:t>Type I: 5 · Type IV: 4 · Type V: 2</w:t>
            </w:r>
          </w:p>
          <w:p w:rsidR="00132811" w:rsidRDefault="00243C97">
            <w:pPr>
              <w:spacing w:after="0"/>
            </w:pPr>
            <w:r>
              <w:rPr>
                <w:b/>
                <w:sz w:val="17"/>
              </w:rPr>
              <w:t xml:space="preserve">Source: </w:t>
            </w:r>
            <w:r>
              <w:rPr>
                <w:i/>
                <w:sz w:val="17"/>
              </w:rPr>
              <w:t>p. 95 — Koebner phenomenon entities</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IV] </w:t>
            </w:r>
          </w:p>
          <w:p w:rsidR="00132811" w:rsidRDefault="00243C97">
            <w:pPr>
              <w:spacing w:after="20"/>
              <w:ind w:left="216"/>
            </w:pPr>
            <w:r>
              <w:rPr>
                <w:b/>
                <w:sz w:val="17"/>
              </w:rPr>
              <w:t xml:space="preserve">Issue: </w:t>
            </w:r>
            <w:r>
              <w:rPr>
                <w:sz w:val="17"/>
              </w:rPr>
              <w:t>Still disease is not a recognised dermatologic condition associated with the Koebner phenomenon.</w:t>
            </w:r>
          </w:p>
          <w:p w:rsidR="00132811" w:rsidRDefault="00243C97">
            <w:pPr>
              <w:spacing w:after="20"/>
              <w:ind w:left="216"/>
            </w:pPr>
            <w:r>
              <w:rPr>
                <w:b/>
                <w:sz w:val="17"/>
              </w:rPr>
              <w:t xml:space="preserve">Correction: </w:t>
            </w:r>
            <w:r>
              <w:rPr>
                <w:sz w:val="17"/>
              </w:rPr>
              <w:t>Remove Still disease from the Koebner-phenomenon list.</w:t>
            </w:r>
          </w:p>
          <w:p w:rsidR="00132811" w:rsidRDefault="00243C97">
            <w:pPr>
              <w:spacing w:after="80"/>
              <w:ind w:left="216"/>
            </w:pPr>
            <w:r>
              <w:rPr>
                <w:b/>
                <w:color w:val="1F3864"/>
                <w:sz w:val="17"/>
              </w:rPr>
              <w:t xml:space="preserve">Refs: </w:t>
            </w:r>
            <w:r>
              <w:rPr>
                <w:i/>
                <w:sz w:val="16"/>
              </w:rPr>
              <w:t>(1) Rook's Textbook of Dermatology, 10th ed. | (2) Bolognia Dermatology, 5th ed. | (3) Sagi L, Trau H. The Koebner phenomenon. Clin Dermatol. 2011;29(2):231–236.</w:t>
            </w:r>
          </w:p>
          <w:p w:rsidR="00132811" w:rsidRDefault="00243C97">
            <w:pPr>
              <w:spacing w:before="40" w:after="20"/>
            </w:pPr>
            <w:r>
              <w:rPr>
                <w:b/>
                <w:color w:val="1F3864"/>
                <w:sz w:val="18"/>
              </w:rPr>
              <w:t xml:space="preserve">2. </w:t>
            </w:r>
            <w:r>
              <w:rPr>
                <w:i/>
                <w:color w:val="2E75B6"/>
                <w:sz w:val="17"/>
              </w:rPr>
              <w:t xml:space="preserve">[Type IV] </w:t>
            </w:r>
          </w:p>
          <w:p w:rsidR="00132811" w:rsidRDefault="00243C97">
            <w:pPr>
              <w:spacing w:after="20"/>
              <w:ind w:left="216"/>
            </w:pPr>
            <w:r>
              <w:rPr>
                <w:b/>
                <w:sz w:val="17"/>
              </w:rPr>
              <w:t xml:space="preserve">Issue: </w:t>
            </w:r>
            <w:r>
              <w:rPr>
                <w:sz w:val="17"/>
              </w:rPr>
              <w:t>Omission of conceptually important distinction.</w:t>
            </w:r>
          </w:p>
          <w:p w:rsidR="00132811" w:rsidRDefault="00243C97">
            <w:pPr>
              <w:spacing w:after="20"/>
              <w:ind w:left="216"/>
            </w:pPr>
            <w:r>
              <w:rPr>
                <w:b/>
                <w:sz w:val="17"/>
              </w:rPr>
              <w:t xml:space="preserve">Correction: </w:t>
            </w:r>
            <w:r>
              <w:rPr>
                <w:sz w:val="17"/>
              </w:rPr>
              <w:t>Add explicit distinction: true Koebner (psoriasis, vitiligo, lichen planus) vs pseudo-Koebner (viral inoculation phenomenon).</w:t>
            </w:r>
          </w:p>
          <w:p w:rsidR="00132811" w:rsidRDefault="00243C97">
            <w:pPr>
              <w:spacing w:after="80"/>
              <w:ind w:left="216"/>
            </w:pPr>
            <w:r>
              <w:rPr>
                <w:b/>
                <w:color w:val="1F3864"/>
                <w:sz w:val="17"/>
              </w:rPr>
              <w:t xml:space="preserve">Refs: </w:t>
            </w:r>
            <w:r>
              <w:rPr>
                <w:i/>
                <w:sz w:val="16"/>
              </w:rPr>
              <w:t>(1) Boyd AS, Neldner KH. The isomorphic response of Koebner. Int J Dermatol. 1990. | (2) Weiss G et al. The Koebner phenomenon: review of the literature. J Eur Acad Dermatol Venereol. 2002;16(3):241–248.</w:t>
            </w:r>
          </w:p>
          <w:p w:rsidR="00132811" w:rsidRDefault="00243C97">
            <w:pPr>
              <w:spacing w:before="40" w:after="20"/>
            </w:pPr>
            <w:r>
              <w:rPr>
                <w:b/>
                <w:color w:val="1F3864"/>
                <w:sz w:val="18"/>
              </w:rPr>
              <w:t xml:space="preserve">3. </w:t>
            </w:r>
            <w:r>
              <w:rPr>
                <w:i/>
                <w:color w:val="2E75B6"/>
                <w:sz w:val="17"/>
              </w:rPr>
              <w:t xml:space="preserve">[Type IV] </w:t>
            </w:r>
          </w:p>
          <w:p w:rsidR="00132811" w:rsidRDefault="00243C97">
            <w:pPr>
              <w:spacing w:after="20"/>
              <w:ind w:left="216"/>
            </w:pPr>
            <w:r>
              <w:rPr>
                <w:b/>
                <w:sz w:val="17"/>
              </w:rPr>
              <w:t xml:space="preserve">Issue: </w:t>
            </w:r>
            <w:r>
              <w:rPr>
                <w:sz w:val="17"/>
              </w:rPr>
              <w:t>Misclassification: viral inoculation is pseudo-Koebnerization.</w:t>
            </w:r>
          </w:p>
          <w:p w:rsidR="00132811" w:rsidRDefault="00243C97">
            <w:pPr>
              <w:spacing w:after="20"/>
              <w:ind w:left="216"/>
            </w:pPr>
            <w:r>
              <w:rPr>
                <w:b/>
                <w:sz w:val="17"/>
              </w:rPr>
              <w:t xml:space="preserve">Correction: </w:t>
            </w:r>
            <w:r>
              <w:rPr>
                <w:sz w:val="17"/>
              </w:rPr>
              <w:t>Reclassify verrucae as pseudo-Koebnerization (inoculation), not true Koebner.</w:t>
            </w:r>
          </w:p>
          <w:p w:rsidR="00132811" w:rsidRDefault="00243C97">
            <w:pPr>
              <w:spacing w:after="80"/>
              <w:ind w:left="216"/>
            </w:pPr>
            <w:r>
              <w:rPr>
                <w:b/>
                <w:color w:val="1F3864"/>
                <w:sz w:val="17"/>
              </w:rPr>
              <w:t xml:space="preserve">Refs: </w:t>
            </w:r>
            <w:r>
              <w:rPr>
                <w:i/>
                <w:sz w:val="16"/>
              </w:rPr>
              <w:t>(1) Rook's Textbook of Dermatology, 10th ed. | (2) Boyd AS, Neldner KH. Int J Dermatol. 1990.</w:t>
            </w:r>
          </w:p>
          <w:p w:rsidR="00132811" w:rsidRDefault="00243C97">
            <w:pPr>
              <w:spacing w:before="40" w:after="20"/>
            </w:pPr>
            <w:r>
              <w:rPr>
                <w:b/>
                <w:color w:val="1F3864"/>
                <w:sz w:val="18"/>
              </w:rPr>
              <w:t xml:space="preserve">4. </w:t>
            </w:r>
            <w:r>
              <w:rPr>
                <w:i/>
                <w:color w:val="2E75B6"/>
                <w:sz w:val="17"/>
              </w:rPr>
              <w:t xml:space="preserve">[Type IV] </w:t>
            </w:r>
          </w:p>
          <w:p w:rsidR="00132811" w:rsidRDefault="00243C97">
            <w:pPr>
              <w:spacing w:after="20"/>
              <w:ind w:left="216"/>
            </w:pPr>
            <w:r>
              <w:rPr>
                <w:b/>
                <w:sz w:val="17"/>
              </w:rPr>
              <w:t xml:space="preserve">Issue: </w:t>
            </w:r>
            <w:r>
              <w:rPr>
                <w:sz w:val="17"/>
              </w:rPr>
              <w:t>Same misclassification as for verrucae.</w:t>
            </w:r>
          </w:p>
          <w:p w:rsidR="00132811" w:rsidRDefault="00243C97">
            <w:pPr>
              <w:spacing w:after="20"/>
              <w:ind w:left="216"/>
            </w:pPr>
            <w:r>
              <w:rPr>
                <w:b/>
                <w:sz w:val="17"/>
              </w:rPr>
              <w:t xml:space="preserve">Correction: </w:t>
            </w:r>
            <w:r>
              <w:rPr>
                <w:sz w:val="17"/>
              </w:rPr>
              <w:t>Reclassify molluscum contagiosum as pseudo-Koebnerization.</w:t>
            </w:r>
          </w:p>
          <w:p w:rsidR="00132811" w:rsidRDefault="00243C97">
            <w:pPr>
              <w:spacing w:after="80"/>
              <w:ind w:left="216"/>
            </w:pPr>
            <w:r>
              <w:rPr>
                <w:b/>
                <w:color w:val="1F3864"/>
                <w:sz w:val="17"/>
              </w:rPr>
              <w:t xml:space="preserve">Refs: </w:t>
            </w:r>
            <w:r>
              <w:rPr>
                <w:i/>
                <w:sz w:val="16"/>
              </w:rPr>
              <w:t>(1) Rook's Textbook of Dermatology, 10th ed. | (2) Bolognia Dermatology, 5th ed.</w:t>
            </w:r>
          </w:p>
          <w:p w:rsidR="00132811" w:rsidRDefault="00243C97">
            <w:pPr>
              <w:spacing w:before="40" w:after="20"/>
            </w:pPr>
            <w:r>
              <w:rPr>
                <w:b/>
                <w:color w:val="1F3864"/>
                <w:sz w:val="18"/>
              </w:rPr>
              <w:t xml:space="preserve">5. </w:t>
            </w:r>
            <w:r>
              <w:rPr>
                <w:i/>
                <w:color w:val="2E75B6"/>
                <w:sz w:val="17"/>
              </w:rPr>
              <w:t xml:space="preserve">[Type V] </w:t>
            </w:r>
          </w:p>
          <w:p w:rsidR="00132811" w:rsidRDefault="00243C97">
            <w:pPr>
              <w:spacing w:after="20"/>
              <w:ind w:left="216"/>
            </w:pPr>
            <w:r>
              <w:rPr>
                <w:b/>
                <w:sz w:val="17"/>
              </w:rPr>
              <w:t xml:space="preserve">Issue: </w:t>
            </w:r>
            <w:r>
              <w:rPr>
                <w:sz w:val="17"/>
              </w:rPr>
              <w:t>Omission of recognised Koebner-associated condition.</w:t>
            </w:r>
          </w:p>
          <w:p w:rsidR="00132811" w:rsidRDefault="00243C97">
            <w:pPr>
              <w:spacing w:after="20"/>
              <w:ind w:left="216"/>
            </w:pPr>
            <w:r>
              <w:rPr>
                <w:b/>
                <w:sz w:val="17"/>
              </w:rPr>
              <w:t xml:space="preserve">Correction: </w:t>
            </w:r>
            <w:r>
              <w:rPr>
                <w:sz w:val="17"/>
              </w:rPr>
              <w:t>Add Darier disease — commonly reported to exhibit Koebner phenomenon.</w:t>
            </w:r>
          </w:p>
          <w:p w:rsidR="00132811" w:rsidRDefault="00243C97">
            <w:pPr>
              <w:spacing w:after="80"/>
              <w:ind w:left="216"/>
            </w:pPr>
            <w:r>
              <w:rPr>
                <w:b/>
                <w:color w:val="1F3864"/>
                <w:sz w:val="17"/>
              </w:rPr>
              <w:lastRenderedPageBreak/>
              <w:t xml:space="preserve">Refs: </w:t>
            </w:r>
            <w:r>
              <w:rPr>
                <w:i/>
                <w:sz w:val="16"/>
              </w:rPr>
              <w:t>(1) Rook's Textbook of Dermatology, 10th ed. | (2) Bolognia Dermatology, 5th ed.</w:t>
            </w:r>
          </w:p>
          <w:p w:rsidR="00132811" w:rsidRDefault="00243C97">
            <w:pPr>
              <w:spacing w:before="40" w:after="20"/>
            </w:pPr>
            <w:r>
              <w:rPr>
                <w:b/>
                <w:color w:val="1F3864"/>
                <w:sz w:val="18"/>
              </w:rPr>
              <w:t xml:space="preserve">6. </w:t>
            </w:r>
            <w:r>
              <w:rPr>
                <w:i/>
                <w:color w:val="2E75B6"/>
                <w:sz w:val="17"/>
              </w:rPr>
              <w:t xml:space="preserve">[Type V] </w:t>
            </w:r>
          </w:p>
          <w:p w:rsidR="00132811" w:rsidRDefault="00243C97">
            <w:pPr>
              <w:spacing w:after="20"/>
              <w:ind w:left="216"/>
            </w:pPr>
            <w:r>
              <w:rPr>
                <w:b/>
                <w:sz w:val="17"/>
              </w:rPr>
              <w:t xml:space="preserve">Issue: </w:t>
            </w:r>
            <w:r>
              <w:rPr>
                <w:sz w:val="17"/>
              </w:rPr>
              <w:t>Omission.</w:t>
            </w:r>
          </w:p>
          <w:p w:rsidR="00132811" w:rsidRDefault="00243C97">
            <w:pPr>
              <w:spacing w:after="20"/>
              <w:ind w:left="216"/>
            </w:pPr>
            <w:r>
              <w:rPr>
                <w:b/>
                <w:sz w:val="17"/>
              </w:rPr>
              <w:t xml:space="preserve">Correction: </w:t>
            </w:r>
            <w:r>
              <w:rPr>
                <w:sz w:val="17"/>
              </w:rPr>
              <w:t>Add mycosis fungoides — reported to demonstrate Koebner phenomenon.</w:t>
            </w:r>
          </w:p>
          <w:p w:rsidR="00132811" w:rsidRDefault="00243C97">
            <w:pPr>
              <w:spacing w:after="80"/>
              <w:ind w:left="216"/>
            </w:pPr>
            <w:r>
              <w:rPr>
                <w:b/>
                <w:color w:val="1F3864"/>
                <w:sz w:val="17"/>
              </w:rPr>
              <w:t xml:space="preserve">Refs: </w:t>
            </w:r>
            <w:r>
              <w:rPr>
                <w:i/>
                <w:sz w:val="16"/>
              </w:rPr>
              <w:t>(1) Rook's Textbook of Dermatology, 10th ed. | (2) Boyd AS, Neldner KH. Int J Dermatol. 1990.</w:t>
            </w:r>
          </w:p>
          <w:p w:rsidR="00132811" w:rsidRDefault="00243C97">
            <w:pPr>
              <w:spacing w:before="40" w:after="20"/>
            </w:pPr>
            <w:r>
              <w:rPr>
                <w:b/>
                <w:color w:val="1F3864"/>
                <w:sz w:val="18"/>
              </w:rPr>
              <w:t xml:space="preserve">7. </w:t>
            </w:r>
            <w:r>
              <w:rPr>
                <w:i/>
                <w:color w:val="2E75B6"/>
                <w:sz w:val="17"/>
              </w:rPr>
              <w:t xml:space="preserve">[Type I] </w:t>
            </w:r>
          </w:p>
          <w:p w:rsidR="00132811" w:rsidRDefault="00243C97">
            <w:pPr>
              <w:spacing w:after="20"/>
              <w:ind w:left="216"/>
            </w:pPr>
            <w:r>
              <w:rPr>
                <w:b/>
                <w:sz w:val="17"/>
              </w:rPr>
              <w:t xml:space="preserve">Issue: </w:t>
            </w:r>
            <w:r>
              <w:rPr>
                <w:sz w:val="17"/>
              </w:rPr>
              <w:t>Omission.</w:t>
            </w:r>
          </w:p>
          <w:p w:rsidR="00132811" w:rsidRDefault="00243C97">
            <w:pPr>
              <w:spacing w:after="20"/>
              <w:ind w:left="216"/>
            </w:pPr>
            <w:r>
              <w:rPr>
                <w:b/>
                <w:sz w:val="17"/>
              </w:rPr>
              <w:t xml:space="preserve">Correction: </w:t>
            </w:r>
            <w:r>
              <w:rPr>
                <w:sz w:val="17"/>
              </w:rPr>
              <w:t>Add erythema multiforme — can demonstrate Koebner phenomenon (post-trauma/sunburn).</w:t>
            </w:r>
          </w:p>
          <w:p w:rsidR="00132811" w:rsidRDefault="00243C97">
            <w:pPr>
              <w:spacing w:after="80"/>
              <w:ind w:left="216"/>
            </w:pPr>
            <w:r>
              <w:rPr>
                <w:b/>
                <w:color w:val="1F3864"/>
                <w:sz w:val="17"/>
              </w:rPr>
              <w:t xml:space="preserve">Refs: </w:t>
            </w:r>
            <w:r>
              <w:rPr>
                <w:i/>
                <w:sz w:val="16"/>
              </w:rPr>
              <w:t>(1) Rook's Textbook of Dermatology, 10th ed. | (2) Bolognia Dermatology, 5th ed.</w:t>
            </w:r>
          </w:p>
          <w:p w:rsidR="00132811" w:rsidRDefault="00243C97">
            <w:pPr>
              <w:spacing w:before="40" w:after="20"/>
            </w:pPr>
            <w:r>
              <w:rPr>
                <w:b/>
                <w:color w:val="1F3864"/>
                <w:sz w:val="18"/>
              </w:rPr>
              <w:t xml:space="preserve">8. </w:t>
            </w:r>
            <w:r>
              <w:rPr>
                <w:i/>
                <w:color w:val="2E75B6"/>
                <w:sz w:val="17"/>
              </w:rPr>
              <w:t xml:space="preserve">[Type I] </w:t>
            </w:r>
          </w:p>
          <w:p w:rsidR="00132811" w:rsidRDefault="00243C97">
            <w:pPr>
              <w:spacing w:after="20"/>
              <w:ind w:left="216"/>
            </w:pPr>
            <w:r>
              <w:rPr>
                <w:b/>
                <w:sz w:val="17"/>
              </w:rPr>
              <w:t xml:space="preserve">Issue: </w:t>
            </w:r>
            <w:r>
              <w:rPr>
                <w:sz w:val="17"/>
              </w:rPr>
              <w:t>Omission of structured categorisation.</w:t>
            </w:r>
          </w:p>
          <w:p w:rsidR="00132811" w:rsidRDefault="00243C97">
            <w:pPr>
              <w:spacing w:after="20"/>
              <w:ind w:left="216"/>
            </w:pPr>
            <w:r>
              <w:rPr>
                <w:b/>
                <w:sz w:val="17"/>
              </w:rPr>
              <w:t xml:space="preserve">Correction: </w:t>
            </w:r>
            <w:r>
              <w:rPr>
                <w:sz w:val="17"/>
              </w:rPr>
              <w:t>Add structured categorisation of Koebner-related conditions.</w:t>
            </w:r>
          </w:p>
          <w:p w:rsidR="00132811" w:rsidRDefault="00243C97">
            <w:pPr>
              <w:spacing w:after="80"/>
              <w:ind w:left="216"/>
            </w:pPr>
            <w:r>
              <w:rPr>
                <w:b/>
                <w:color w:val="1F3864"/>
                <w:sz w:val="17"/>
              </w:rPr>
              <w:t xml:space="preserve">Refs: </w:t>
            </w:r>
            <w:r>
              <w:rPr>
                <w:i/>
                <w:sz w:val="16"/>
              </w:rPr>
              <w:t>(1) Boyd AS, Neldner KH. Int J Dermatol. 1990. | (2) Weiss G et al. J Eur Acad Dermatol Venereol. 2002.</w:t>
            </w:r>
          </w:p>
          <w:p w:rsidR="00132811" w:rsidRDefault="00243C97">
            <w:pPr>
              <w:spacing w:before="40" w:after="20"/>
            </w:pPr>
            <w:r>
              <w:rPr>
                <w:b/>
                <w:color w:val="1F3864"/>
                <w:sz w:val="18"/>
              </w:rPr>
              <w:t xml:space="preserve">9. </w:t>
            </w:r>
            <w:r>
              <w:rPr>
                <w:i/>
                <w:color w:val="2E75B6"/>
                <w:sz w:val="17"/>
              </w:rPr>
              <w:t xml:space="preserve">[Type I] </w:t>
            </w:r>
          </w:p>
          <w:p w:rsidR="00132811" w:rsidRDefault="00243C97">
            <w:pPr>
              <w:spacing w:after="20"/>
              <w:ind w:left="216"/>
            </w:pPr>
            <w:r>
              <w:rPr>
                <w:b/>
                <w:sz w:val="17"/>
              </w:rPr>
              <w:t xml:space="preserve">Issue: </w:t>
            </w:r>
            <w:r>
              <w:rPr>
                <w:sz w:val="17"/>
              </w:rPr>
              <w:t>Omission of category.</w:t>
            </w:r>
          </w:p>
          <w:p w:rsidR="00132811" w:rsidRDefault="00243C97">
            <w:pPr>
              <w:spacing w:after="20"/>
              <w:ind w:left="216"/>
            </w:pPr>
            <w:r>
              <w:rPr>
                <w:b/>
                <w:sz w:val="17"/>
              </w:rPr>
              <w:t xml:space="preserve">Correction: </w:t>
            </w:r>
            <w:r>
              <w:rPr>
                <w:sz w:val="17"/>
              </w:rPr>
              <w:t>Add explicit "True Koebner" category: psoriasis, vitiligo, lichen planus.</w:t>
            </w:r>
          </w:p>
          <w:p w:rsidR="00132811" w:rsidRDefault="00243C97">
            <w:pPr>
              <w:spacing w:after="80"/>
              <w:ind w:left="216"/>
            </w:pPr>
            <w:r>
              <w:rPr>
                <w:b/>
                <w:color w:val="1F3864"/>
                <w:sz w:val="17"/>
              </w:rPr>
              <w:t xml:space="preserve">Refs: </w:t>
            </w:r>
            <w:r>
              <w:rPr>
                <w:i/>
                <w:sz w:val="16"/>
              </w:rPr>
              <w:t>(1) Boyd AS, Neldner KH. Int J Dermatol. 1990. | (2) Sagi L, Trau H. Clin Dermatol. 2011.</w:t>
            </w:r>
          </w:p>
          <w:p w:rsidR="00132811" w:rsidRDefault="00243C97">
            <w:pPr>
              <w:spacing w:before="40" w:after="20"/>
            </w:pPr>
            <w:r>
              <w:rPr>
                <w:b/>
                <w:color w:val="1F3864"/>
                <w:sz w:val="18"/>
              </w:rPr>
              <w:t xml:space="preserve">10. </w:t>
            </w:r>
            <w:r>
              <w:rPr>
                <w:i/>
                <w:color w:val="2E75B6"/>
                <w:sz w:val="17"/>
              </w:rPr>
              <w:t xml:space="preserve">[Type I] </w:t>
            </w:r>
          </w:p>
          <w:p w:rsidR="00132811" w:rsidRDefault="00243C97">
            <w:pPr>
              <w:spacing w:after="20"/>
              <w:ind w:left="216"/>
            </w:pPr>
            <w:r>
              <w:rPr>
                <w:b/>
                <w:sz w:val="17"/>
              </w:rPr>
              <w:t xml:space="preserve">Issue: </w:t>
            </w:r>
            <w:r>
              <w:rPr>
                <w:sz w:val="17"/>
              </w:rPr>
              <w:t>Omission of category.</w:t>
            </w:r>
          </w:p>
          <w:p w:rsidR="00132811" w:rsidRDefault="00243C97">
            <w:pPr>
              <w:spacing w:after="20"/>
              <w:ind w:left="216"/>
            </w:pPr>
            <w:r>
              <w:rPr>
                <w:b/>
                <w:sz w:val="17"/>
              </w:rPr>
              <w:t xml:space="preserve">Correction: </w:t>
            </w:r>
            <w:r>
              <w:rPr>
                <w:sz w:val="17"/>
              </w:rPr>
              <w:t>Add explicit "Pseudo-Koebner" category: viral infections (verrucae, molluscum).</w:t>
            </w:r>
          </w:p>
          <w:p w:rsidR="00132811" w:rsidRDefault="00243C97">
            <w:pPr>
              <w:spacing w:after="80"/>
              <w:ind w:left="216"/>
            </w:pPr>
            <w:r>
              <w:rPr>
                <w:b/>
                <w:color w:val="1F3864"/>
                <w:sz w:val="17"/>
              </w:rPr>
              <w:t xml:space="preserve">Refs: </w:t>
            </w:r>
            <w:r>
              <w:rPr>
                <w:i/>
                <w:sz w:val="16"/>
              </w:rPr>
              <w:t>(1) Boyd AS, Neldner KH. Int J Dermatol. 1990. | (2) Weiss G et al. J Eur Acad Dermatol Venereol. 2002.</w:t>
            </w:r>
          </w:p>
          <w:p w:rsidR="00132811" w:rsidRDefault="00243C97">
            <w:pPr>
              <w:spacing w:before="40" w:after="20"/>
            </w:pPr>
            <w:r>
              <w:rPr>
                <w:b/>
                <w:color w:val="1F3864"/>
                <w:sz w:val="18"/>
              </w:rPr>
              <w:t xml:space="preserve">11. </w:t>
            </w:r>
            <w:r>
              <w:rPr>
                <w:i/>
                <w:color w:val="2E75B6"/>
                <w:sz w:val="17"/>
              </w:rPr>
              <w:t xml:space="preserve">[Type I] </w:t>
            </w:r>
          </w:p>
          <w:p w:rsidR="00132811" w:rsidRDefault="00243C97">
            <w:pPr>
              <w:spacing w:after="20"/>
              <w:ind w:left="216"/>
            </w:pPr>
            <w:r>
              <w:rPr>
                <w:b/>
                <w:sz w:val="17"/>
              </w:rPr>
              <w:t xml:space="preserve">Issue: </w:t>
            </w:r>
            <w:r>
              <w:rPr>
                <w:sz w:val="17"/>
              </w:rPr>
              <w:t>Omission of intermediate-evidence category.</w:t>
            </w:r>
          </w:p>
          <w:p w:rsidR="00132811" w:rsidRDefault="00243C97">
            <w:pPr>
              <w:spacing w:after="20"/>
              <w:ind w:left="216"/>
            </w:pPr>
            <w:r>
              <w:rPr>
                <w:b/>
                <w:sz w:val="17"/>
              </w:rPr>
              <w:t xml:space="preserve">Correction: </w:t>
            </w:r>
            <w:r>
              <w:rPr>
                <w:sz w:val="17"/>
              </w:rPr>
              <w:t>Add explicit "Occasional / less consistent associations" category.</w:t>
            </w:r>
          </w:p>
          <w:p w:rsidR="00132811" w:rsidRDefault="00243C97">
            <w:pPr>
              <w:spacing w:after="80"/>
              <w:ind w:left="216"/>
            </w:pPr>
            <w:r>
              <w:rPr>
                <w:b/>
                <w:color w:val="1F3864"/>
                <w:sz w:val="17"/>
              </w:rPr>
              <w:t xml:space="preserve">Refs: </w:t>
            </w:r>
            <w:r>
              <w:rPr>
                <w:i/>
                <w:sz w:val="16"/>
              </w:rPr>
              <w:t>(1) Boyd AS, Neldner KH. Int J Dermatol. 1990. | (2) Sagi L, Trau H. Clin Dermatol. 2011.</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C47C00"/>
                <w:sz w:val="19"/>
              </w:rPr>
              <w:lastRenderedPageBreak/>
              <w:t>Under discussion</w:t>
            </w:r>
          </w:p>
          <w:p w:rsidR="00132811" w:rsidRDefault="00243C97">
            <w:pPr>
              <w:spacing w:after="40"/>
            </w:pPr>
            <w:r>
              <w:rPr>
                <w:color w:val="333333"/>
                <w:sz w:val="17"/>
              </w:rPr>
              <w:t>Rejected — scientific discussion in progress regarding the rejection; the proposed corrections are fully defensible per the cited canonical dermatology references (Bolognia et al., Fitzpatrick's, Wolff &amp; Johnson) and follow-up correspondence has been initiated</w:t>
            </w:r>
          </w:p>
        </w:tc>
      </w:tr>
    </w:tbl>
    <w:p w:rsidR="00132811" w:rsidRDefault="00132811"/>
    <w:p w:rsidR="00132811" w:rsidRDefault="00243C97">
      <w:pPr>
        <w:spacing w:before="240" w:after="80"/>
      </w:pPr>
      <w:r>
        <w:rPr>
          <w:b/>
          <w:color w:val="2E75B6"/>
          <w:sz w:val="24"/>
        </w:rPr>
        <w:t>6.8  Basic and Clinical Pharmacology (Katzung, 2013)</w:t>
      </w:r>
    </w:p>
    <w:p w:rsidR="00132811" w:rsidRDefault="00243C97">
      <w:pPr>
        <w:spacing w:after="40"/>
      </w:pPr>
      <w:r>
        <w:rPr>
          <w:b/>
          <w:sz w:val="20"/>
        </w:rPr>
        <w:t xml:space="preserve">Specialty: </w:t>
      </w:r>
      <w:r>
        <w:rPr>
          <w:sz w:val="20"/>
        </w:rPr>
        <w:t>Clinical Pharmacology</w:t>
      </w:r>
    </w:p>
    <w:p w:rsidR="00132811" w:rsidRDefault="00243C97">
      <w:pPr>
        <w:spacing w:after="40"/>
      </w:pPr>
      <w:r>
        <w:rPr>
          <w:b/>
          <w:sz w:val="20"/>
        </w:rPr>
        <w:t xml:space="preserve">Total sub-contributions: </w:t>
      </w:r>
      <w:r>
        <w:rPr>
          <w:b/>
          <w:color w:val="1F3864"/>
          <w:sz w:val="20"/>
        </w:rPr>
        <w:t xml:space="preserve">7  </w:t>
      </w:r>
      <w:r>
        <w:rPr>
          <w:color w:val="606060"/>
          <w:sz w:val="19"/>
        </w:rPr>
        <w:t>(Type I: 2 · Type II: 2 · Type III: 3 · Type IV: 0 · Type V: 0)</w:t>
      </w:r>
    </w:p>
    <w:tbl>
      <w:tblPr>
        <w:tblW w:w="0" w:type="auto"/>
        <w:jc w:val="center"/>
        <w:tblLayout w:type="fixed"/>
        <w:tblLook w:val="04A0" w:firstRow="1" w:lastRow="0" w:firstColumn="1" w:lastColumn="0" w:noHBand="0" w:noVBand="1"/>
      </w:tblPr>
      <w:tblGrid>
        <w:gridCol w:w="461"/>
        <w:gridCol w:w="2232"/>
        <w:gridCol w:w="6336"/>
        <w:gridCol w:w="2779"/>
      </w:tblGrid>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w:t>
            </w:r>
          </w:p>
        </w:tc>
        <w:tc>
          <w:tcPr>
            <w:tcW w:w="2232"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Email submission topic</w:t>
            </w:r>
          </w:p>
        </w:tc>
        <w:tc>
          <w:tcPr>
            <w:tcW w:w="6336"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Sub-contributions (with two supporting references each)</w:t>
            </w:r>
          </w:p>
        </w:tc>
        <w:tc>
          <w:tcPr>
            <w:tcW w:w="2779"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Editorial response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1</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Alpha-2 adrenoceptor anatomical locations (Table 9-1)</w:t>
            </w:r>
          </w:p>
          <w:p w:rsidR="00132811" w:rsidRDefault="00243C97">
            <w:pPr>
              <w:spacing w:after="40"/>
            </w:pPr>
            <w:r>
              <w:rPr>
                <w:b/>
                <w:color w:val="2E75B6"/>
                <w:sz w:val="18"/>
              </w:rPr>
              <w:t>4 sub-contributions</w:t>
            </w:r>
          </w:p>
          <w:p w:rsidR="00132811" w:rsidRDefault="00243C97">
            <w:pPr>
              <w:spacing w:after="40"/>
            </w:pPr>
            <w:r>
              <w:rPr>
                <w:color w:val="606060"/>
                <w:sz w:val="17"/>
              </w:rPr>
              <w:t>Type II: 1 · Type III: 3</w:t>
            </w:r>
          </w:p>
          <w:p w:rsidR="00132811" w:rsidRDefault="00243C97">
            <w:pPr>
              <w:spacing w:after="0"/>
            </w:pPr>
            <w:r>
              <w:rPr>
                <w:b/>
                <w:sz w:val="17"/>
              </w:rPr>
              <w:t xml:space="preserve">Source: </w:t>
            </w:r>
            <w:r>
              <w:rPr>
                <w:i/>
                <w:sz w:val="17"/>
              </w:rPr>
              <w:t>Table 9-1, p. 77 — alpha-2 receptor locations</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III] </w:t>
            </w:r>
          </w:p>
          <w:p w:rsidR="00132811" w:rsidRDefault="00243C97">
            <w:pPr>
              <w:spacing w:after="20"/>
              <w:ind w:left="216"/>
            </w:pPr>
            <w:r>
              <w:rPr>
                <w:b/>
                <w:sz w:val="17"/>
              </w:rPr>
              <w:t xml:space="preserve">Issue: </w:t>
            </w:r>
            <w:r>
              <w:rPr>
                <w:sz w:val="17"/>
              </w:rPr>
              <w:t>Misleading primary attribution.</w:t>
            </w:r>
          </w:p>
          <w:p w:rsidR="00132811" w:rsidRDefault="00243C97">
            <w:pPr>
              <w:spacing w:after="20"/>
              <w:ind w:left="216"/>
            </w:pPr>
            <w:r>
              <w:rPr>
                <w:b/>
                <w:sz w:val="17"/>
              </w:rPr>
              <w:t xml:space="preserve">Correction: </w:t>
            </w:r>
            <w:r>
              <w:rPr>
                <w:sz w:val="17"/>
              </w:rPr>
              <w:t>Alpha-2 adrenergic receptors are PRIMARILY on adrenergic nerve terminals.</w:t>
            </w:r>
          </w:p>
          <w:p w:rsidR="00132811" w:rsidRDefault="00243C97">
            <w:pPr>
              <w:spacing w:after="80"/>
              <w:ind w:left="216"/>
            </w:pPr>
            <w:r>
              <w:rPr>
                <w:b/>
                <w:color w:val="1F3864"/>
                <w:sz w:val="17"/>
              </w:rPr>
              <w:t xml:space="preserve">Refs: </w:t>
            </w:r>
            <w:r>
              <w:rPr>
                <w:i/>
                <w:sz w:val="16"/>
              </w:rPr>
              <w:t>(1) Goodman &amp; Gilman's The Pharmacological Basis of Therapeutics, 14th ed. | (2) Lippincott Illustrated Reviews: Pharmacology, 8th ed. | (3) Westfall TC, Westfall DP. Adrenergic agonists and antagonists. In: Goodman &amp; Gilman's. 14th ed., 2023.</w:t>
            </w:r>
          </w:p>
          <w:p w:rsidR="00132811" w:rsidRDefault="00243C97">
            <w:pPr>
              <w:spacing w:before="40" w:after="20"/>
            </w:pPr>
            <w:r>
              <w:rPr>
                <w:b/>
                <w:color w:val="1F3864"/>
                <w:sz w:val="18"/>
              </w:rPr>
              <w:t xml:space="preserve">2. </w:t>
            </w:r>
            <w:r>
              <w:rPr>
                <w:i/>
                <w:color w:val="2E75B6"/>
                <w:sz w:val="17"/>
              </w:rPr>
              <w:t xml:space="preserve">[Type III] </w:t>
            </w:r>
          </w:p>
          <w:p w:rsidR="00132811" w:rsidRDefault="00243C97">
            <w:pPr>
              <w:spacing w:after="20"/>
              <w:ind w:left="216"/>
            </w:pPr>
            <w:r>
              <w:rPr>
                <w:b/>
                <w:sz w:val="17"/>
              </w:rPr>
              <w:lastRenderedPageBreak/>
              <w:t xml:space="preserve">Issue: </w:t>
            </w:r>
            <w:r>
              <w:rPr>
                <w:sz w:val="17"/>
              </w:rPr>
              <w:t>Omission of primary physiological function.</w:t>
            </w:r>
          </w:p>
          <w:p w:rsidR="00132811" w:rsidRDefault="00243C97">
            <w:pPr>
              <w:spacing w:after="20"/>
              <w:ind w:left="216"/>
            </w:pPr>
            <w:r>
              <w:rPr>
                <w:b/>
                <w:sz w:val="17"/>
              </w:rPr>
              <w:t xml:space="preserve">Correction: </w:t>
            </w:r>
            <w:r>
              <w:rPr>
                <w:sz w:val="17"/>
              </w:rPr>
              <w:t>State explicitly: alpha-2 receptors act primarily as autoreceptors on adrenergic neurons, mediating feedback inhibition of noradrenaline release.</w:t>
            </w:r>
          </w:p>
          <w:p w:rsidR="00132811" w:rsidRDefault="00243C97">
            <w:pPr>
              <w:spacing w:after="80"/>
              <w:ind w:left="216"/>
            </w:pPr>
            <w:r>
              <w:rPr>
                <w:b/>
                <w:color w:val="1F3864"/>
                <w:sz w:val="17"/>
              </w:rPr>
              <w:t xml:space="preserve">Refs: </w:t>
            </w:r>
            <w:r>
              <w:rPr>
                <w:i/>
                <w:sz w:val="16"/>
              </w:rPr>
              <w:t>(1) Goodman &amp; Gilman's, 14th ed. | (2) Starke K. Presynaptic autoreceptors in the third decade. Rev Physiol Biochem Pharmacol. 2001.</w:t>
            </w:r>
          </w:p>
          <w:p w:rsidR="00132811" w:rsidRDefault="00243C97">
            <w:pPr>
              <w:spacing w:before="40" w:after="20"/>
            </w:pPr>
            <w:r>
              <w:rPr>
                <w:b/>
                <w:color w:val="1F3864"/>
                <w:sz w:val="18"/>
              </w:rPr>
              <w:t xml:space="preserve">3. </w:t>
            </w:r>
            <w:r>
              <w:rPr>
                <w:i/>
                <w:color w:val="2E75B6"/>
                <w:sz w:val="17"/>
              </w:rPr>
              <w:t xml:space="preserve">[Type III] </w:t>
            </w:r>
          </w:p>
          <w:p w:rsidR="00132811" w:rsidRDefault="00243C97">
            <w:pPr>
              <w:spacing w:after="20"/>
              <w:ind w:left="216"/>
            </w:pPr>
            <w:r>
              <w:rPr>
                <w:b/>
                <w:sz w:val="17"/>
              </w:rPr>
              <w:t xml:space="preserve">Issue: </w:t>
            </w:r>
            <w:r>
              <w:rPr>
                <w:sz w:val="17"/>
              </w:rPr>
              <w:t>Lack of qualifier distinguishing primary vs secondary role.</w:t>
            </w:r>
          </w:p>
          <w:p w:rsidR="00132811" w:rsidRDefault="00243C97">
            <w:pPr>
              <w:spacing w:after="20"/>
              <w:ind w:left="216"/>
            </w:pPr>
            <w:r>
              <w:rPr>
                <w:b/>
                <w:sz w:val="17"/>
              </w:rPr>
              <w:t xml:space="preserve">Correction: </w:t>
            </w:r>
            <w:r>
              <w:rPr>
                <w:sz w:val="17"/>
              </w:rPr>
              <w:t>Note: cholinergic-terminal heteroreceptor function is secondary and infrequent.</w:t>
            </w:r>
          </w:p>
          <w:p w:rsidR="00132811" w:rsidRDefault="00243C97">
            <w:pPr>
              <w:spacing w:after="80"/>
              <w:ind w:left="216"/>
            </w:pPr>
            <w:r>
              <w:rPr>
                <w:b/>
                <w:color w:val="1F3864"/>
                <w:sz w:val="17"/>
              </w:rPr>
              <w:t xml:space="preserve">Refs: </w:t>
            </w:r>
            <w:r>
              <w:rPr>
                <w:i/>
                <w:sz w:val="16"/>
              </w:rPr>
              <w:t>(1) Goodman &amp; Gilman's, 14th ed. | (2) Starke K. Rev Physiol Biochem Pharmacol. 2001.</w:t>
            </w:r>
          </w:p>
          <w:p w:rsidR="00132811" w:rsidRDefault="00243C97">
            <w:pPr>
              <w:spacing w:before="40" w:after="20"/>
            </w:pPr>
            <w:r>
              <w:rPr>
                <w:b/>
                <w:color w:val="1F3864"/>
                <w:sz w:val="18"/>
              </w:rPr>
              <w:t xml:space="preserve">4. </w:t>
            </w:r>
            <w:r>
              <w:rPr>
                <w:i/>
                <w:color w:val="2E75B6"/>
                <w:sz w:val="17"/>
              </w:rPr>
              <w:t xml:space="preserve">[Type II] </w:t>
            </w:r>
          </w:p>
          <w:p w:rsidR="00132811" w:rsidRDefault="00243C97">
            <w:pPr>
              <w:spacing w:after="20"/>
              <w:ind w:left="216"/>
            </w:pPr>
            <w:r>
              <w:rPr>
                <w:b/>
                <w:sz w:val="17"/>
              </w:rPr>
              <w:t xml:space="preserve">Issue: </w:t>
            </w:r>
            <w:r>
              <w:rPr>
                <w:sz w:val="17"/>
              </w:rPr>
              <w:t>Omission of principal physiological mechanism.</w:t>
            </w:r>
          </w:p>
          <w:p w:rsidR="00132811" w:rsidRDefault="00243C97">
            <w:pPr>
              <w:spacing w:after="20"/>
              <w:ind w:left="216"/>
            </w:pPr>
            <w:r>
              <w:rPr>
                <w:b/>
                <w:sz w:val="17"/>
              </w:rPr>
              <w:t xml:space="preserve">Correction: </w:t>
            </w:r>
            <w:r>
              <w:rPr>
                <w:sz w:val="17"/>
              </w:rPr>
              <w:t>Add: principal physiological function is feedback inhibition of noradrenaline release.</w:t>
            </w:r>
          </w:p>
          <w:p w:rsidR="00132811" w:rsidRDefault="00243C97">
            <w:pPr>
              <w:spacing w:after="80"/>
              <w:ind w:left="216"/>
            </w:pPr>
            <w:r>
              <w:rPr>
                <w:b/>
                <w:color w:val="1F3864"/>
                <w:sz w:val="17"/>
              </w:rPr>
              <w:t xml:space="preserve">Refs: </w:t>
            </w:r>
            <w:r>
              <w:rPr>
                <w:i/>
                <w:sz w:val="16"/>
              </w:rPr>
              <w:t>(1) Lippincott Illustrated Reviews: Pharmacology, 8th ed. | (2) Goodman &amp; Gilman's, 14th ed.</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1F6E1F"/>
                <w:sz w:val="19"/>
              </w:rPr>
              <w:lastRenderedPageBreak/>
              <w:t>Accepted</w:t>
            </w:r>
          </w:p>
          <w:p w:rsidR="00132811" w:rsidRDefault="00243C97">
            <w:pPr>
              <w:spacing w:after="40"/>
            </w:pPr>
            <w:r>
              <w:rPr>
                <w:color w:val="333333"/>
                <w:sz w:val="17"/>
              </w:rPr>
              <w:t>Accepted — Confirmed by the McGraw-Hill editorial team for the next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lastRenderedPageBreak/>
              <w:t>2</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Minoxidil clinical case (Question 2, p. 57)</w:t>
            </w:r>
          </w:p>
          <w:p w:rsidR="00132811" w:rsidRDefault="00243C97">
            <w:pPr>
              <w:spacing w:after="40"/>
            </w:pPr>
            <w:r>
              <w:rPr>
                <w:b/>
                <w:color w:val="2E75B6"/>
                <w:sz w:val="18"/>
              </w:rPr>
              <w:t>3 sub-contributions</w:t>
            </w:r>
          </w:p>
          <w:p w:rsidR="00132811" w:rsidRDefault="00243C97">
            <w:pPr>
              <w:spacing w:after="40"/>
            </w:pPr>
            <w:r>
              <w:rPr>
                <w:color w:val="606060"/>
                <w:sz w:val="17"/>
              </w:rPr>
              <w:t>Type I: 2 · Type II: 1</w:t>
            </w:r>
          </w:p>
          <w:p w:rsidR="00132811" w:rsidRDefault="00243C97">
            <w:pPr>
              <w:spacing w:after="0"/>
            </w:pPr>
            <w:r>
              <w:rPr>
                <w:b/>
                <w:sz w:val="17"/>
              </w:rPr>
              <w:t xml:space="preserve">Source: </w:t>
            </w:r>
            <w:r>
              <w:rPr>
                <w:i/>
                <w:sz w:val="17"/>
              </w:rPr>
              <w:t>Question 2, p. 57 — minoxidil case</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 </w:t>
            </w:r>
          </w:p>
          <w:p w:rsidR="00132811" w:rsidRDefault="00243C97">
            <w:pPr>
              <w:spacing w:after="20"/>
              <w:ind w:left="216"/>
            </w:pPr>
            <w:r>
              <w:rPr>
                <w:b/>
                <w:sz w:val="17"/>
              </w:rPr>
              <w:t xml:space="preserve">Issue: </w:t>
            </w:r>
            <w:r>
              <w:rPr>
                <w:sz w:val="17"/>
              </w:rPr>
              <w:t>Pedagogically obscured primary mechanism.</w:t>
            </w:r>
          </w:p>
          <w:p w:rsidR="00132811" w:rsidRDefault="00243C97">
            <w:pPr>
              <w:spacing w:after="20"/>
              <w:ind w:left="216"/>
            </w:pPr>
            <w:r>
              <w:rPr>
                <w:b/>
                <w:sz w:val="17"/>
              </w:rPr>
              <w:t xml:space="preserve">Correction: </w:t>
            </w:r>
            <w:r>
              <w:rPr>
                <w:sz w:val="17"/>
              </w:rPr>
              <w:t>Reword to specify: minoxidil's primary action is BP reduction (powerful arteriolar vasodilator; no autonomic receptor activity).</w:t>
            </w:r>
          </w:p>
          <w:p w:rsidR="00132811" w:rsidRDefault="00243C97">
            <w:pPr>
              <w:spacing w:after="80"/>
              <w:ind w:left="216"/>
            </w:pPr>
            <w:r>
              <w:rPr>
                <w:b/>
                <w:color w:val="1F3864"/>
                <w:sz w:val="17"/>
              </w:rPr>
              <w:t xml:space="preserve">Refs: </w:t>
            </w:r>
            <w:r>
              <w:rPr>
                <w:i/>
                <w:sz w:val="16"/>
              </w:rPr>
              <w:t>(1) Katzung Basic &amp; Clinical Pharmacology, 16th ed., Ch on antihypertensives. | (2) Lippincott Illustrated Reviews: Pharmacology, 8th ed.</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explicit MAP-reduction statement.</w:t>
            </w:r>
          </w:p>
          <w:p w:rsidR="00132811" w:rsidRDefault="00243C97">
            <w:pPr>
              <w:spacing w:after="20"/>
              <w:ind w:left="216"/>
            </w:pPr>
            <w:r>
              <w:rPr>
                <w:b/>
                <w:sz w:val="17"/>
              </w:rPr>
              <w:t xml:space="preserve">Correction: </w:t>
            </w:r>
            <w:r>
              <w:rPr>
                <w:sz w:val="17"/>
              </w:rPr>
              <w:t>Add explicit statement that MAP reduction is the primary haemodynamic outcome.</w:t>
            </w:r>
          </w:p>
          <w:p w:rsidR="00132811" w:rsidRDefault="00243C97">
            <w:pPr>
              <w:spacing w:after="80"/>
              <w:ind w:left="216"/>
            </w:pPr>
            <w:r>
              <w:rPr>
                <w:b/>
                <w:color w:val="1F3864"/>
                <w:sz w:val="17"/>
              </w:rPr>
              <w:t xml:space="preserve">Refs: </w:t>
            </w:r>
            <w:r>
              <w:rPr>
                <w:i/>
                <w:sz w:val="16"/>
              </w:rPr>
              <w:t>(1) Katzung Basic &amp; Clinical Pharmacology, 16th ed. | (2) Lippincott Illustrated Reviews: Pharmacology, 8th ed.</w:t>
            </w:r>
          </w:p>
          <w:p w:rsidR="00132811" w:rsidRDefault="00243C97">
            <w:pPr>
              <w:spacing w:before="40" w:after="20"/>
            </w:pPr>
            <w:r>
              <w:rPr>
                <w:b/>
                <w:color w:val="1F3864"/>
                <w:sz w:val="18"/>
              </w:rPr>
              <w:t xml:space="preserve">3. </w:t>
            </w:r>
            <w:r>
              <w:rPr>
                <w:i/>
                <w:color w:val="2E75B6"/>
                <w:sz w:val="17"/>
              </w:rPr>
              <w:t xml:space="preserve">[Type I] </w:t>
            </w:r>
          </w:p>
          <w:p w:rsidR="00132811" w:rsidRDefault="00243C97">
            <w:pPr>
              <w:spacing w:after="20"/>
              <w:ind w:left="216"/>
            </w:pPr>
            <w:r>
              <w:rPr>
                <w:b/>
                <w:sz w:val="17"/>
              </w:rPr>
              <w:t xml:space="preserve">Issue: </w:t>
            </w:r>
            <w:r>
              <w:rPr>
                <w:sz w:val="17"/>
              </w:rPr>
              <w:t>Omission of pedagogically helpful framing.</w:t>
            </w:r>
          </w:p>
          <w:p w:rsidR="00132811" w:rsidRDefault="00243C97">
            <w:pPr>
              <w:spacing w:after="20"/>
              <w:ind w:left="216"/>
            </w:pPr>
            <w:r>
              <w:rPr>
                <w:b/>
                <w:sz w:val="17"/>
              </w:rPr>
              <w:t xml:space="preserve">Correction: </w:t>
            </w:r>
            <w:r>
              <w:rPr>
                <w:sz w:val="17"/>
              </w:rPr>
              <w:t>Frame tachycardia / increased contractility as compensatory responses to BP reduction.</w:t>
            </w:r>
          </w:p>
          <w:p w:rsidR="00132811" w:rsidRDefault="00243C97">
            <w:pPr>
              <w:spacing w:after="80"/>
              <w:ind w:left="216"/>
            </w:pPr>
            <w:r>
              <w:rPr>
                <w:b/>
                <w:color w:val="1F3864"/>
                <w:sz w:val="17"/>
              </w:rPr>
              <w:t xml:space="preserve">Refs: </w:t>
            </w:r>
            <w:r>
              <w:rPr>
                <w:i/>
                <w:sz w:val="16"/>
              </w:rPr>
              <w:t>(1) Katzung Basic &amp; Clinical Pharmacology, 16th ed. | (2) Goodman &amp; Gilman's, 14th ed.</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1F6E1F"/>
                <w:sz w:val="19"/>
              </w:rPr>
              <w:t>Accepted</w:t>
            </w:r>
          </w:p>
          <w:p w:rsidR="00132811" w:rsidRDefault="00243C97">
            <w:pPr>
              <w:spacing w:after="40"/>
            </w:pPr>
            <w:r>
              <w:rPr>
                <w:color w:val="333333"/>
                <w:sz w:val="17"/>
              </w:rPr>
              <w:t>Accepted — Confirmed by the McGraw-Hill editorial team for the next edition</w:t>
            </w:r>
          </w:p>
        </w:tc>
      </w:tr>
    </w:tbl>
    <w:p w:rsidR="00132811" w:rsidRDefault="00132811"/>
    <w:p w:rsidR="00132811" w:rsidRDefault="00243C97">
      <w:pPr>
        <w:spacing w:before="240" w:after="80"/>
      </w:pPr>
      <w:r>
        <w:rPr>
          <w:b/>
          <w:color w:val="2E75B6"/>
          <w:sz w:val="24"/>
        </w:rPr>
        <w:t>6.9  Apley &amp; Solomon's System of Orthopaedics and Trauma</w:t>
      </w:r>
    </w:p>
    <w:p w:rsidR="00132811" w:rsidRDefault="00243C97">
      <w:pPr>
        <w:spacing w:after="40"/>
      </w:pPr>
      <w:r>
        <w:rPr>
          <w:b/>
          <w:sz w:val="20"/>
        </w:rPr>
        <w:t xml:space="preserve">Specialty: </w:t>
      </w:r>
      <w:r>
        <w:rPr>
          <w:sz w:val="20"/>
        </w:rPr>
        <w:t>Orthopaedics &amp; Trauma</w:t>
      </w:r>
    </w:p>
    <w:p w:rsidR="00132811" w:rsidRDefault="00243C97">
      <w:pPr>
        <w:spacing w:after="40"/>
      </w:pPr>
      <w:r>
        <w:rPr>
          <w:b/>
          <w:sz w:val="20"/>
        </w:rPr>
        <w:t xml:space="preserve">Total sub-contributions: </w:t>
      </w:r>
      <w:r>
        <w:rPr>
          <w:b/>
          <w:color w:val="1F3864"/>
          <w:sz w:val="20"/>
        </w:rPr>
        <w:t xml:space="preserve">19  </w:t>
      </w:r>
      <w:r>
        <w:rPr>
          <w:color w:val="606060"/>
          <w:sz w:val="19"/>
        </w:rPr>
        <w:t>(Type I: 8 · Type II: 4 · Type III: 0 · Type IV: 3 · Type V: 4)</w:t>
      </w:r>
    </w:p>
    <w:tbl>
      <w:tblPr>
        <w:tblW w:w="0" w:type="auto"/>
        <w:jc w:val="center"/>
        <w:tblLayout w:type="fixed"/>
        <w:tblLook w:val="04A0" w:firstRow="1" w:lastRow="0" w:firstColumn="1" w:lastColumn="0" w:noHBand="0" w:noVBand="1"/>
      </w:tblPr>
      <w:tblGrid>
        <w:gridCol w:w="461"/>
        <w:gridCol w:w="2232"/>
        <w:gridCol w:w="6336"/>
        <w:gridCol w:w="2779"/>
      </w:tblGrid>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w:t>
            </w:r>
          </w:p>
        </w:tc>
        <w:tc>
          <w:tcPr>
            <w:tcW w:w="2232"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Email submission topic</w:t>
            </w:r>
          </w:p>
        </w:tc>
        <w:tc>
          <w:tcPr>
            <w:tcW w:w="6336"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Sub-contributions (with two supporting references each)</w:t>
            </w:r>
          </w:p>
        </w:tc>
        <w:tc>
          <w:tcPr>
            <w:tcW w:w="2779"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Editorial response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1</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Cerebral palsy chapter — aetiology, terminology, treatment, classification</w:t>
            </w:r>
          </w:p>
          <w:p w:rsidR="00132811" w:rsidRDefault="00243C97">
            <w:pPr>
              <w:spacing w:after="40"/>
            </w:pPr>
            <w:r>
              <w:rPr>
                <w:b/>
                <w:color w:val="2E75B6"/>
                <w:sz w:val="18"/>
              </w:rPr>
              <w:t>14 sub-contributions</w:t>
            </w:r>
          </w:p>
          <w:p w:rsidR="00132811" w:rsidRDefault="00243C97">
            <w:pPr>
              <w:spacing w:after="40"/>
            </w:pPr>
            <w:r>
              <w:rPr>
                <w:color w:val="606060"/>
                <w:sz w:val="17"/>
              </w:rPr>
              <w:t>Type I: 5 · Type II: 2 · Type IV: 3 · Type V: 4</w:t>
            </w:r>
          </w:p>
          <w:p w:rsidR="00132811" w:rsidRDefault="00243C97">
            <w:pPr>
              <w:spacing w:after="0"/>
            </w:pPr>
            <w:r>
              <w:rPr>
                <w:b/>
                <w:sz w:val="17"/>
              </w:rPr>
              <w:lastRenderedPageBreak/>
              <w:t xml:space="preserve">Source: </w:t>
            </w:r>
            <w:r>
              <w:rPr>
                <w:i/>
                <w:sz w:val="17"/>
              </w:rPr>
              <w:t>Ch on cerebral palsy — Aetiology table</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IV] </w:t>
            </w:r>
          </w:p>
          <w:p w:rsidR="00132811" w:rsidRDefault="00243C97">
            <w:pPr>
              <w:spacing w:after="20"/>
              <w:ind w:left="216"/>
            </w:pPr>
            <w:r>
              <w:rPr>
                <w:b/>
                <w:sz w:val="17"/>
              </w:rPr>
              <w:t xml:space="preserve">Issue: </w:t>
            </w:r>
            <w:r>
              <w:rPr>
                <w:sz w:val="17"/>
              </w:rPr>
              <w:t>Omission of severity qualifier; only grade 3/4 IVH and PVL are reliably linked to CP.</w:t>
            </w:r>
          </w:p>
          <w:p w:rsidR="00132811" w:rsidRDefault="00243C97">
            <w:pPr>
              <w:spacing w:after="20"/>
              <w:ind w:left="216"/>
            </w:pPr>
            <w:r>
              <w:rPr>
                <w:b/>
                <w:sz w:val="17"/>
              </w:rPr>
              <w:t xml:space="preserve">Correction: </w:t>
            </w:r>
            <w:r>
              <w:rPr>
                <w:sz w:val="17"/>
              </w:rPr>
              <w:t>Add qualifier: only severe IVH (grade III–IV) and PVL are reliably linked to cerebral palsy.</w:t>
            </w:r>
          </w:p>
          <w:p w:rsidR="00132811" w:rsidRDefault="00243C97">
            <w:pPr>
              <w:spacing w:after="80"/>
              <w:ind w:left="216"/>
            </w:pPr>
            <w:r>
              <w:rPr>
                <w:b/>
                <w:color w:val="1F3864"/>
                <w:sz w:val="17"/>
              </w:rPr>
              <w:lastRenderedPageBreak/>
              <w:t xml:space="preserve">Refs: </w:t>
            </w:r>
            <w:r>
              <w:rPr>
                <w:i/>
                <w:sz w:val="16"/>
              </w:rPr>
              <w:t>(1) Volpe's Neurology of the Newborn, 6th ed. | (2) de Vries LS, Volpe JJ. Periventricular leukomalacia. In: Volpe's Neurology of the Newborn. 6th ed. Elsevier; 2025. | (3) Papile LA et al. Incidence and evolution of subependymal and intraventricular haemorrhage. J Pediatr. 1978.</w:t>
            </w:r>
          </w:p>
          <w:p w:rsidR="00132811" w:rsidRDefault="00243C97">
            <w:pPr>
              <w:spacing w:before="40" w:after="20"/>
            </w:pPr>
            <w:r>
              <w:rPr>
                <w:b/>
                <w:color w:val="1F3864"/>
                <w:sz w:val="18"/>
              </w:rPr>
              <w:t xml:space="preserve">2. </w:t>
            </w:r>
            <w:r>
              <w:rPr>
                <w:i/>
                <w:color w:val="2E75B6"/>
                <w:sz w:val="17"/>
              </w:rPr>
              <w:t xml:space="preserve">[Type IV] </w:t>
            </w:r>
          </w:p>
          <w:p w:rsidR="00132811" w:rsidRDefault="00243C97">
            <w:pPr>
              <w:spacing w:after="20"/>
              <w:ind w:left="216"/>
            </w:pPr>
            <w:r>
              <w:rPr>
                <w:b/>
                <w:sz w:val="17"/>
              </w:rPr>
              <w:t xml:space="preserve">Issue: </w:t>
            </w:r>
            <w:r>
              <w:rPr>
                <w:sz w:val="17"/>
              </w:rPr>
              <w:t>Omission of leading aetiology.</w:t>
            </w:r>
          </w:p>
          <w:p w:rsidR="00132811" w:rsidRDefault="00243C97">
            <w:pPr>
              <w:spacing w:after="20"/>
              <w:ind w:left="216"/>
            </w:pPr>
            <w:r>
              <w:rPr>
                <w:b/>
                <w:sz w:val="17"/>
              </w:rPr>
              <w:t xml:space="preserve">Correction: </w:t>
            </w:r>
            <w:r>
              <w:rPr>
                <w:sz w:val="17"/>
              </w:rPr>
              <w:t>Add: HIE is a leading aetiology of cerebral palsy in term infants.</w:t>
            </w:r>
          </w:p>
          <w:p w:rsidR="00132811" w:rsidRDefault="00243C97">
            <w:pPr>
              <w:spacing w:after="80"/>
              <w:ind w:left="216"/>
            </w:pPr>
            <w:r>
              <w:rPr>
                <w:b/>
                <w:color w:val="1F3864"/>
                <w:sz w:val="17"/>
              </w:rPr>
              <w:t xml:space="preserve">Refs: </w:t>
            </w:r>
            <w:r>
              <w:rPr>
                <w:i/>
                <w:sz w:val="16"/>
              </w:rPr>
              <w:t>(1) Volpe's Neurology of the Newborn, 6th ed. | (2) ACOG/AAP. Neonatal Encephalopathy and Neurologic Outcome (2nd ed.). 2014.</w:t>
            </w:r>
          </w:p>
          <w:p w:rsidR="00132811" w:rsidRDefault="00243C97">
            <w:pPr>
              <w:spacing w:before="40" w:after="20"/>
            </w:pPr>
            <w:r>
              <w:rPr>
                <w:b/>
                <w:color w:val="1F3864"/>
                <w:sz w:val="18"/>
              </w:rPr>
              <w:t xml:space="preserve">3. </w:t>
            </w:r>
            <w:r>
              <w:rPr>
                <w:i/>
                <w:color w:val="2E75B6"/>
                <w:sz w:val="17"/>
              </w:rPr>
              <w:t xml:space="preserve">[Type V] </w:t>
            </w:r>
          </w:p>
          <w:p w:rsidR="00132811" w:rsidRDefault="00243C97">
            <w:pPr>
              <w:spacing w:after="20"/>
              <w:ind w:left="216"/>
            </w:pPr>
            <w:r>
              <w:rPr>
                <w:b/>
                <w:sz w:val="17"/>
              </w:rPr>
              <w:t xml:space="preserve">Issue: </w:t>
            </w:r>
            <w:r>
              <w:rPr>
                <w:sz w:val="17"/>
              </w:rPr>
              <w:t>Critical anatomical / clinical error — catheter is placed in subarachnoid space.</w:t>
            </w:r>
          </w:p>
          <w:p w:rsidR="00132811" w:rsidRDefault="00243C97">
            <w:pPr>
              <w:spacing w:after="20"/>
              <w:ind w:left="216"/>
            </w:pPr>
            <w:r>
              <w:rPr>
                <w:b/>
                <w:sz w:val="17"/>
              </w:rPr>
              <w:t xml:space="preserve">Correction: </w:t>
            </w:r>
            <w:r>
              <w:rPr>
                <w:sz w:val="17"/>
              </w:rPr>
              <w:t>Intrathecal baclofen pumps deliver baclofen into the subarachnoid (intrathecal) space — NOT epidural.</w:t>
            </w:r>
          </w:p>
          <w:p w:rsidR="00132811" w:rsidRDefault="00243C97">
            <w:pPr>
              <w:spacing w:after="80"/>
              <w:ind w:left="216"/>
            </w:pPr>
            <w:r>
              <w:rPr>
                <w:b/>
                <w:color w:val="1F3864"/>
                <w:sz w:val="17"/>
              </w:rPr>
              <w:t xml:space="preserve">Refs: </w:t>
            </w:r>
            <w:r>
              <w:rPr>
                <w:i/>
                <w:sz w:val="16"/>
              </w:rPr>
              <w:t>(1) Medtronic Intrathecal Baclofen Therapy — Prescribing and Pump Implantation Manual. | (2) Albright AL et al. Intrathecal baclofen for childhood hypertonia. Pediatr Neurosurg. 2003. | (3) Albright AL et al. Intrathecal baclofen in cerebral palsy. JAMA. 1991.</w:t>
            </w:r>
          </w:p>
          <w:p w:rsidR="00132811" w:rsidRDefault="00243C97">
            <w:pPr>
              <w:spacing w:before="40" w:after="20"/>
            </w:pPr>
            <w:r>
              <w:rPr>
                <w:b/>
                <w:color w:val="1F3864"/>
                <w:sz w:val="18"/>
              </w:rPr>
              <w:t xml:space="preserve">4. </w:t>
            </w:r>
            <w:r>
              <w:rPr>
                <w:i/>
                <w:color w:val="2E75B6"/>
                <w:sz w:val="17"/>
              </w:rPr>
              <w:t xml:space="preserve">[Type V] </w:t>
            </w:r>
          </w:p>
          <w:p w:rsidR="00132811" w:rsidRDefault="00243C97">
            <w:pPr>
              <w:spacing w:after="20"/>
              <w:ind w:left="216"/>
            </w:pPr>
            <w:r>
              <w:rPr>
                <w:b/>
                <w:sz w:val="17"/>
              </w:rPr>
              <w:t xml:space="preserve">Issue: </w:t>
            </w:r>
            <w:r>
              <w:rPr>
                <w:sz w:val="17"/>
              </w:rPr>
              <w:t>Anatomically incorrect tract location.</w:t>
            </w:r>
          </w:p>
          <w:p w:rsidR="00132811" w:rsidRDefault="00243C97">
            <w:pPr>
              <w:spacing w:after="20"/>
              <w:ind w:left="216"/>
            </w:pPr>
            <w:r>
              <w:rPr>
                <w:b/>
                <w:sz w:val="17"/>
              </w:rPr>
              <w:t xml:space="preserve">Correction: </w:t>
            </w:r>
            <w:r>
              <w:rPr>
                <w:sz w:val="17"/>
              </w:rPr>
              <w:t>Corticospinal tracts are principally located in the lateral columns of the spinal cord.</w:t>
            </w:r>
          </w:p>
          <w:p w:rsidR="00132811" w:rsidRDefault="00243C97">
            <w:pPr>
              <w:spacing w:after="80"/>
              <w:ind w:left="216"/>
            </w:pPr>
            <w:r>
              <w:rPr>
                <w:b/>
                <w:color w:val="1F3864"/>
                <w:sz w:val="17"/>
              </w:rPr>
              <w:t xml:space="preserve">Refs: </w:t>
            </w:r>
            <w:r>
              <w:rPr>
                <w:i/>
                <w:sz w:val="16"/>
              </w:rPr>
              <w:t>(1) Gray's Anatomy, 42nd ed. | (2) Snell's Clinical Neuroanatomy, 8th ed.</w:t>
            </w:r>
          </w:p>
          <w:p w:rsidR="00132811" w:rsidRDefault="00243C97">
            <w:pPr>
              <w:spacing w:before="40" w:after="20"/>
            </w:pPr>
            <w:r>
              <w:rPr>
                <w:b/>
                <w:color w:val="1F3864"/>
                <w:sz w:val="18"/>
              </w:rPr>
              <w:t xml:space="preserve">5. </w:t>
            </w:r>
            <w:r>
              <w:rPr>
                <w:i/>
                <w:color w:val="2E75B6"/>
                <w:sz w:val="17"/>
              </w:rPr>
              <w:t xml:space="preserve">[Type V] </w:t>
            </w:r>
          </w:p>
          <w:p w:rsidR="00132811" w:rsidRDefault="00243C97">
            <w:pPr>
              <w:spacing w:after="20"/>
              <w:ind w:left="216"/>
            </w:pPr>
            <w:r>
              <w:rPr>
                <w:b/>
                <w:sz w:val="17"/>
              </w:rPr>
              <w:t xml:space="preserve">Issue: </w:t>
            </w:r>
            <w:r>
              <w:rPr>
                <w:sz w:val="17"/>
              </w:rPr>
              <w:t>Misclassification: dystonia is a hyperkinetic disorder per international consensus.</w:t>
            </w:r>
          </w:p>
          <w:p w:rsidR="00132811" w:rsidRDefault="00243C97">
            <w:pPr>
              <w:spacing w:after="20"/>
              <w:ind w:left="216"/>
            </w:pPr>
            <w:r>
              <w:rPr>
                <w:b/>
                <w:sz w:val="17"/>
              </w:rPr>
              <w:t xml:space="preserve">Correction: </w:t>
            </w:r>
            <w:r>
              <w:rPr>
                <w:sz w:val="17"/>
              </w:rPr>
              <w:t>Dystonia is a HYPERKINETIC movement disorder: sustained or intermittent involuntary muscle contractions causing twisting, repetitive movements, or abnormal postures.</w:t>
            </w:r>
          </w:p>
          <w:p w:rsidR="00132811" w:rsidRDefault="00243C97">
            <w:pPr>
              <w:spacing w:after="80"/>
              <w:ind w:left="216"/>
            </w:pPr>
            <w:r>
              <w:rPr>
                <w:b/>
                <w:color w:val="1F3864"/>
                <w:sz w:val="17"/>
              </w:rPr>
              <w:t xml:space="preserve">Refs: </w:t>
            </w:r>
            <w:r>
              <w:rPr>
                <w:i/>
                <w:sz w:val="16"/>
              </w:rPr>
              <w:t>(1) Albanese A et al. Phenomenology and classification of dystonia: a consensus update. Mov Disord. 2013;28(7):863–873. | (2) Movement Disorder Society Consensus on Dystonia.</w:t>
            </w:r>
          </w:p>
          <w:p w:rsidR="00132811" w:rsidRDefault="00243C97">
            <w:pPr>
              <w:spacing w:before="40" w:after="20"/>
            </w:pPr>
            <w:r>
              <w:rPr>
                <w:b/>
                <w:color w:val="1F3864"/>
                <w:sz w:val="18"/>
              </w:rPr>
              <w:t xml:space="preserve">6. </w:t>
            </w:r>
            <w:r>
              <w:rPr>
                <w:i/>
                <w:color w:val="2E75B6"/>
                <w:sz w:val="17"/>
              </w:rPr>
              <w:t xml:space="preserve">[Type V] </w:t>
            </w:r>
          </w:p>
          <w:p w:rsidR="00132811" w:rsidRDefault="00243C97">
            <w:pPr>
              <w:spacing w:after="20"/>
              <w:ind w:left="216"/>
            </w:pPr>
            <w:r>
              <w:rPr>
                <w:b/>
                <w:sz w:val="17"/>
              </w:rPr>
              <w:t xml:space="preserve">Issue: </w:t>
            </w:r>
            <w:r>
              <w:rPr>
                <w:sz w:val="17"/>
              </w:rPr>
              <w:t>Definitional inaccuracy: choreoathetosis is chorea + athetosis.</w:t>
            </w:r>
          </w:p>
          <w:p w:rsidR="00132811" w:rsidRDefault="00243C97">
            <w:pPr>
              <w:spacing w:after="20"/>
              <w:ind w:left="216"/>
            </w:pPr>
            <w:r>
              <w:rPr>
                <w:b/>
                <w:sz w:val="17"/>
              </w:rPr>
              <w:t xml:space="preserve">Correction: </w:t>
            </w:r>
            <w:r>
              <w:rPr>
                <w:sz w:val="17"/>
              </w:rPr>
              <w:t>Choreoathetosis = combination of chorea and athetosis (NOT chorea + dystonia).</w:t>
            </w:r>
          </w:p>
          <w:p w:rsidR="00132811" w:rsidRDefault="00243C97">
            <w:pPr>
              <w:spacing w:after="80"/>
              <w:ind w:left="216"/>
            </w:pPr>
            <w:r>
              <w:rPr>
                <w:b/>
                <w:color w:val="1F3864"/>
                <w:sz w:val="17"/>
              </w:rPr>
              <w:t xml:space="preserve">Refs: </w:t>
            </w:r>
            <w:r>
              <w:rPr>
                <w:i/>
                <w:sz w:val="16"/>
              </w:rPr>
              <w:t>(1) Albanese A et al. Mov Disord. 2013;28(7):863–873. | (2) Bradley's Neurology in Clinical Practice, 8th ed.</w:t>
            </w:r>
          </w:p>
          <w:p w:rsidR="00132811" w:rsidRDefault="00243C97">
            <w:pPr>
              <w:spacing w:before="40" w:after="20"/>
            </w:pPr>
            <w:r>
              <w:rPr>
                <w:b/>
                <w:color w:val="1F3864"/>
                <w:sz w:val="18"/>
              </w:rPr>
              <w:t xml:space="preserve">7. </w:t>
            </w:r>
            <w:r>
              <w:rPr>
                <w:i/>
                <w:color w:val="2E75B6"/>
                <w:sz w:val="17"/>
              </w:rPr>
              <w:t xml:space="preserve">[Type I] </w:t>
            </w:r>
          </w:p>
          <w:p w:rsidR="00132811" w:rsidRDefault="00243C97">
            <w:pPr>
              <w:spacing w:after="20"/>
              <w:ind w:left="216"/>
            </w:pPr>
            <w:r>
              <w:rPr>
                <w:b/>
                <w:sz w:val="17"/>
              </w:rPr>
              <w:t xml:space="preserve">Issue: </w:t>
            </w:r>
            <w:r>
              <w:rPr>
                <w:sz w:val="17"/>
              </w:rPr>
              <w:t>Outdated epidemiological claim; bilateral spastic CP overall (which includes both diplegia and quadriplegia) is the most prevalent category.</w:t>
            </w:r>
          </w:p>
          <w:p w:rsidR="00132811" w:rsidRDefault="00243C97">
            <w:pPr>
              <w:spacing w:after="20"/>
              <w:ind w:left="216"/>
            </w:pPr>
            <w:r>
              <w:rPr>
                <w:b/>
                <w:sz w:val="17"/>
              </w:rPr>
              <w:t xml:space="preserve">Correction: </w:t>
            </w:r>
            <w:r>
              <w:rPr>
                <w:sz w:val="17"/>
              </w:rPr>
              <w:t>Bilateral spastic CP (encompassing diplegia and quadriplegia) is the most prevalent CP category.</w:t>
            </w:r>
          </w:p>
          <w:p w:rsidR="00132811" w:rsidRDefault="00243C97">
            <w:pPr>
              <w:spacing w:after="80"/>
              <w:ind w:left="216"/>
            </w:pPr>
            <w:r>
              <w:rPr>
                <w:b/>
                <w:color w:val="1F3864"/>
                <w:sz w:val="17"/>
              </w:rPr>
              <w:t xml:space="preserve">Refs: </w:t>
            </w:r>
            <w:r>
              <w:rPr>
                <w:i/>
                <w:sz w:val="16"/>
              </w:rPr>
              <w:t>(1) Surveillance of Cerebral Palsy in Europe (SCPE). Dev Med Child Neurol. 2000;42:816–824. | (2) Cans C, et al. SCPE: a collaboration of cerebral palsy surveys and registers. Dev Med Child Neurol. 2007.</w:t>
            </w:r>
          </w:p>
          <w:p w:rsidR="00132811" w:rsidRDefault="00243C97">
            <w:pPr>
              <w:spacing w:before="40" w:after="20"/>
            </w:pPr>
            <w:r>
              <w:rPr>
                <w:b/>
                <w:color w:val="1F3864"/>
                <w:sz w:val="18"/>
              </w:rPr>
              <w:t xml:space="preserve">8. </w:t>
            </w:r>
            <w:r>
              <w:rPr>
                <w:i/>
                <w:color w:val="2E75B6"/>
                <w:sz w:val="17"/>
              </w:rPr>
              <w:t xml:space="preserve">[Type IV] </w:t>
            </w:r>
          </w:p>
          <w:p w:rsidR="00132811" w:rsidRDefault="00243C97">
            <w:pPr>
              <w:spacing w:after="20"/>
              <w:ind w:left="216"/>
            </w:pPr>
            <w:r>
              <w:rPr>
                <w:b/>
                <w:sz w:val="17"/>
              </w:rPr>
              <w:t xml:space="preserve">Issue: </w:t>
            </w:r>
            <w:r>
              <w:rPr>
                <w:sz w:val="17"/>
              </w:rPr>
              <w:t>Deprecated / contradictory terminology ("bilateral hemiplegia" is internally inconsistent).</w:t>
            </w:r>
          </w:p>
          <w:p w:rsidR="00132811" w:rsidRDefault="00243C97">
            <w:pPr>
              <w:spacing w:after="20"/>
              <w:ind w:left="216"/>
            </w:pPr>
            <w:r>
              <w:rPr>
                <w:b/>
                <w:sz w:val="17"/>
              </w:rPr>
              <w:t xml:space="preserve">Correction: </w:t>
            </w:r>
            <w:r>
              <w:rPr>
                <w:sz w:val="17"/>
              </w:rPr>
              <w:t>The accepted SCPE terminology is BILATERAL SPASTIC CP (subdivided into diplegia or quadriplegia).</w:t>
            </w:r>
          </w:p>
          <w:p w:rsidR="00132811" w:rsidRDefault="00243C97">
            <w:pPr>
              <w:spacing w:after="80"/>
              <w:ind w:left="216"/>
            </w:pPr>
            <w:r>
              <w:rPr>
                <w:b/>
                <w:color w:val="1F3864"/>
                <w:sz w:val="17"/>
              </w:rPr>
              <w:t xml:space="preserve">Refs: </w:t>
            </w:r>
            <w:r>
              <w:rPr>
                <w:i/>
                <w:sz w:val="16"/>
              </w:rPr>
              <w:t>(1) Surveillance of Cerebral Palsy in Europe (SCPE). Dev Med Child Neurol. 2000;42:816–824. | (2) Rosenbaum P et al. A report: the definition and classification of cerebral palsy. Dev Med Child Neurol Suppl. 2007;109:8–14.</w:t>
            </w:r>
          </w:p>
          <w:p w:rsidR="00132811" w:rsidRDefault="00243C97">
            <w:pPr>
              <w:spacing w:before="40" w:after="20"/>
            </w:pPr>
            <w:r>
              <w:rPr>
                <w:b/>
                <w:color w:val="1F3864"/>
                <w:sz w:val="18"/>
              </w:rPr>
              <w:lastRenderedPageBreak/>
              <w:t xml:space="preserve">9. </w:t>
            </w:r>
            <w:r>
              <w:rPr>
                <w:i/>
                <w:color w:val="2E75B6"/>
                <w:sz w:val="17"/>
              </w:rPr>
              <w:t xml:space="preserve">[Type II] </w:t>
            </w:r>
          </w:p>
          <w:p w:rsidR="00132811" w:rsidRDefault="00243C97">
            <w:pPr>
              <w:spacing w:after="20"/>
              <w:ind w:left="216"/>
            </w:pPr>
            <w:r>
              <w:rPr>
                <w:b/>
                <w:sz w:val="17"/>
              </w:rPr>
              <w:t xml:space="preserve">Issue: </w:t>
            </w:r>
            <w:r>
              <w:rPr>
                <w:sz w:val="17"/>
              </w:rPr>
              <w:t>Omission of asymmetric subtype.</w:t>
            </w:r>
          </w:p>
          <w:p w:rsidR="00132811" w:rsidRDefault="00243C97">
            <w:pPr>
              <w:spacing w:after="20"/>
              <w:ind w:left="216"/>
            </w:pPr>
            <w:r>
              <w:rPr>
                <w:b/>
                <w:sz w:val="17"/>
              </w:rPr>
              <w:t xml:space="preserve">Correction: </w:t>
            </w:r>
            <w:r>
              <w:rPr>
                <w:sz w:val="17"/>
              </w:rPr>
              <w:t>Diplegia may be asymmetric — many cases show side-to-side asymmetry of severity.</w:t>
            </w:r>
          </w:p>
          <w:p w:rsidR="00132811" w:rsidRDefault="00243C97">
            <w:pPr>
              <w:spacing w:after="80"/>
              <w:ind w:left="216"/>
            </w:pPr>
            <w:r>
              <w:rPr>
                <w:b/>
                <w:color w:val="1F3864"/>
                <w:sz w:val="17"/>
              </w:rPr>
              <w:t xml:space="preserve">Refs: </w:t>
            </w:r>
            <w:r>
              <w:rPr>
                <w:i/>
                <w:sz w:val="16"/>
              </w:rPr>
              <w:t>(1) Surveillance of Cerebral Palsy in Europe (SCPE). | (2) Rosenbaum P et al. Dev Med Child Neurol Suppl. 2007;109:8–14.</w:t>
            </w:r>
          </w:p>
          <w:p w:rsidR="00132811" w:rsidRDefault="00243C97">
            <w:pPr>
              <w:spacing w:before="40" w:after="20"/>
            </w:pPr>
            <w:r>
              <w:rPr>
                <w:b/>
                <w:color w:val="1F3864"/>
                <w:sz w:val="18"/>
              </w:rPr>
              <w:t xml:space="preserve">10. </w:t>
            </w:r>
            <w:r>
              <w:rPr>
                <w:i/>
                <w:color w:val="2E75B6"/>
                <w:sz w:val="17"/>
              </w:rPr>
              <w:t xml:space="preserve">[Type I] </w:t>
            </w:r>
          </w:p>
          <w:p w:rsidR="00132811" w:rsidRDefault="00243C97">
            <w:pPr>
              <w:spacing w:after="20"/>
              <w:ind w:left="216"/>
            </w:pPr>
            <w:r>
              <w:rPr>
                <w:b/>
                <w:sz w:val="17"/>
              </w:rPr>
              <w:t xml:space="preserve">Issue: </w:t>
            </w:r>
            <w:r>
              <w:rPr>
                <w:sz w:val="17"/>
              </w:rPr>
              <w:t>Inverted statement — PERSISTENCE (not absence) is abnormal.</w:t>
            </w:r>
          </w:p>
          <w:p w:rsidR="00132811" w:rsidRDefault="00243C97">
            <w:pPr>
              <w:spacing w:after="20"/>
              <w:ind w:left="216"/>
            </w:pPr>
            <w:r>
              <w:rPr>
                <w:b/>
                <w:sz w:val="17"/>
              </w:rPr>
              <w:t xml:space="preserve">Correction: </w:t>
            </w:r>
            <w:r>
              <w:rPr>
                <w:sz w:val="17"/>
              </w:rPr>
              <w:t>The PERSISTENCE of primitive reflexes beyond expected age is abnormal — not their absence.</w:t>
            </w:r>
          </w:p>
          <w:p w:rsidR="00132811" w:rsidRDefault="00243C97">
            <w:pPr>
              <w:spacing w:after="80"/>
              <w:ind w:left="216"/>
            </w:pPr>
            <w:r>
              <w:rPr>
                <w:b/>
                <w:color w:val="1F3864"/>
                <w:sz w:val="17"/>
              </w:rPr>
              <w:t xml:space="preserve">Refs: </w:t>
            </w:r>
            <w:r>
              <w:rPr>
                <w:i/>
                <w:sz w:val="16"/>
              </w:rPr>
              <w:t>(1) Nelson Textbook of Pediatrics, latest edition. | (2) Volpe's Neurology of the Newborn, 6th ed.</w:t>
            </w:r>
          </w:p>
          <w:p w:rsidR="00132811" w:rsidRDefault="00243C97">
            <w:pPr>
              <w:spacing w:before="40" w:after="20"/>
            </w:pPr>
            <w:r>
              <w:rPr>
                <w:b/>
                <w:color w:val="1F3864"/>
                <w:sz w:val="18"/>
              </w:rPr>
              <w:t xml:space="preserve">11. </w:t>
            </w:r>
            <w:r>
              <w:rPr>
                <w:i/>
                <w:color w:val="2E75B6"/>
                <w:sz w:val="17"/>
              </w:rPr>
              <w:t xml:space="preserve">[Type II] </w:t>
            </w:r>
          </w:p>
          <w:p w:rsidR="00132811" w:rsidRDefault="00243C97">
            <w:pPr>
              <w:spacing w:after="20"/>
              <w:ind w:left="216"/>
            </w:pPr>
            <w:r>
              <w:rPr>
                <w:b/>
                <w:sz w:val="17"/>
              </w:rPr>
              <w:t xml:space="preserve">Issue: </w:t>
            </w:r>
            <w:r>
              <w:rPr>
                <w:sz w:val="17"/>
              </w:rPr>
              <w:t>Omission of validated prognostic utility.</w:t>
            </w:r>
          </w:p>
          <w:p w:rsidR="00132811" w:rsidRDefault="00243C97">
            <w:pPr>
              <w:spacing w:after="20"/>
              <w:ind w:left="216"/>
            </w:pPr>
            <w:r>
              <w:rPr>
                <w:b/>
                <w:sz w:val="17"/>
              </w:rPr>
              <w:t xml:space="preserve">Correction: </w:t>
            </w:r>
            <w:r>
              <w:rPr>
                <w:sz w:val="17"/>
              </w:rPr>
              <w:t>Add: GMFCS has validated prognostic value for ambulation outcomes.</w:t>
            </w:r>
          </w:p>
          <w:p w:rsidR="00132811" w:rsidRDefault="00243C97">
            <w:pPr>
              <w:spacing w:after="80"/>
              <w:ind w:left="216"/>
            </w:pPr>
            <w:r>
              <w:rPr>
                <w:b/>
                <w:color w:val="1F3864"/>
                <w:sz w:val="17"/>
              </w:rPr>
              <w:t xml:space="preserve">Refs: </w:t>
            </w:r>
            <w:r>
              <w:rPr>
                <w:i/>
                <w:sz w:val="16"/>
              </w:rPr>
              <w:t>(1) Rosenbaum P et al. Development of the GMFCS for cerebral palsy. Dev Med Child Neurol. 1997;39:214–223. | (2) Palisano R et al. Content validity of the expanded and revised GMFCS. Dev Med Child Neurol. 2008.</w:t>
            </w:r>
          </w:p>
          <w:p w:rsidR="00132811" w:rsidRDefault="00243C97">
            <w:pPr>
              <w:spacing w:before="40" w:after="20"/>
            </w:pPr>
            <w:r>
              <w:rPr>
                <w:b/>
                <w:color w:val="1F3864"/>
                <w:sz w:val="18"/>
              </w:rPr>
              <w:t xml:space="preserve">12. </w:t>
            </w:r>
            <w:r>
              <w:rPr>
                <w:i/>
                <w:color w:val="2E75B6"/>
                <w:sz w:val="17"/>
              </w:rPr>
              <w:t xml:space="preserve">[Type I] </w:t>
            </w:r>
          </w:p>
          <w:p w:rsidR="00132811" w:rsidRDefault="00243C97">
            <w:pPr>
              <w:spacing w:after="20"/>
              <w:ind w:left="216"/>
            </w:pPr>
            <w:r>
              <w:rPr>
                <w:b/>
                <w:sz w:val="17"/>
              </w:rPr>
              <w:t xml:space="preserve">Issue: </w:t>
            </w:r>
            <w:r>
              <w:rPr>
                <w:sz w:val="17"/>
              </w:rPr>
              <w:t>Overgeneralised observation.</w:t>
            </w:r>
          </w:p>
          <w:p w:rsidR="00132811" w:rsidRDefault="00243C97">
            <w:pPr>
              <w:spacing w:after="20"/>
              <w:ind w:left="216"/>
            </w:pPr>
            <w:r>
              <w:rPr>
                <w:b/>
                <w:sz w:val="17"/>
              </w:rPr>
              <w:t xml:space="preserve">Correction: </w:t>
            </w:r>
            <w:r>
              <w:rPr>
                <w:sz w:val="17"/>
              </w:rPr>
              <w:t>Re-frame: motor and cognitive deficits often co-occur but are not strictly inversely related; many children with significant motor disability have preserved cognition.</w:t>
            </w:r>
          </w:p>
          <w:p w:rsidR="00132811" w:rsidRDefault="00243C97">
            <w:pPr>
              <w:spacing w:after="80"/>
              <w:ind w:left="216"/>
            </w:pPr>
            <w:r>
              <w:rPr>
                <w:b/>
                <w:color w:val="1F3864"/>
                <w:sz w:val="17"/>
              </w:rPr>
              <w:t xml:space="preserve">Refs: </w:t>
            </w:r>
            <w:r>
              <w:rPr>
                <w:i/>
                <w:sz w:val="16"/>
              </w:rPr>
              <w:t>(1) Rosenbaum P et al. Dev Med Child Neurol. 2007. | (2) Standard CP rehabilitation textbooks (e.g., Miller F. Cerebral Palsy. Springer).</w:t>
            </w:r>
          </w:p>
          <w:p w:rsidR="00132811" w:rsidRDefault="00243C97">
            <w:pPr>
              <w:spacing w:before="40" w:after="20"/>
            </w:pPr>
            <w:r>
              <w:rPr>
                <w:b/>
                <w:color w:val="1F3864"/>
                <w:sz w:val="18"/>
              </w:rPr>
              <w:t xml:space="preserve">13. </w:t>
            </w:r>
            <w:r>
              <w:rPr>
                <w:i/>
                <w:color w:val="2E75B6"/>
                <w:sz w:val="17"/>
              </w:rPr>
              <w:t xml:space="preserve">[Type I] </w:t>
            </w:r>
          </w:p>
          <w:p w:rsidR="00132811" w:rsidRDefault="00243C97">
            <w:pPr>
              <w:spacing w:after="20"/>
              <w:ind w:left="216"/>
            </w:pPr>
            <w:r>
              <w:rPr>
                <w:b/>
                <w:sz w:val="17"/>
              </w:rPr>
              <w:t xml:space="preserve">Issue: </w:t>
            </w:r>
            <w:r>
              <w:rPr>
                <w:sz w:val="17"/>
              </w:rPr>
              <w:t>Under-stated cognitive preservation in dyskinetic subtype.</w:t>
            </w:r>
          </w:p>
          <w:p w:rsidR="00132811" w:rsidRDefault="00243C97">
            <w:pPr>
              <w:spacing w:after="20"/>
              <w:ind w:left="216"/>
            </w:pPr>
            <w:r>
              <w:rPr>
                <w:b/>
                <w:sz w:val="17"/>
              </w:rPr>
              <w:t xml:space="preserve">Correction: </w:t>
            </w:r>
            <w:r>
              <w:rPr>
                <w:sz w:val="17"/>
              </w:rPr>
              <w:t>Children with dyskinetic CP frequently have well-preserved cognition; motor severity does not predict cognitive impairment.</w:t>
            </w:r>
          </w:p>
          <w:p w:rsidR="00132811" w:rsidRDefault="00243C97">
            <w:pPr>
              <w:spacing w:after="80"/>
              <w:ind w:left="216"/>
            </w:pPr>
            <w:r>
              <w:rPr>
                <w:b/>
                <w:color w:val="1F3864"/>
                <w:sz w:val="17"/>
              </w:rPr>
              <w:t xml:space="preserve">Refs: </w:t>
            </w:r>
            <w:r>
              <w:rPr>
                <w:i/>
                <w:sz w:val="16"/>
              </w:rPr>
              <w:t>(1) Himmelmann K, Uvebrant P. Function and neuroimaging in cerebral palsy. Dev Med Child Neurol. | (2) Surveillance of Cerebral Palsy in Europe (SCPE).</w:t>
            </w:r>
          </w:p>
          <w:p w:rsidR="00132811" w:rsidRDefault="00243C97">
            <w:pPr>
              <w:spacing w:before="40" w:after="20"/>
            </w:pPr>
            <w:r>
              <w:rPr>
                <w:b/>
                <w:color w:val="1F3864"/>
                <w:sz w:val="18"/>
              </w:rPr>
              <w:t xml:space="preserve">14. </w:t>
            </w:r>
            <w:r>
              <w:rPr>
                <w:i/>
                <w:color w:val="2E75B6"/>
                <w:sz w:val="17"/>
              </w:rPr>
              <w:t xml:space="preserve">[Type I] </w:t>
            </w:r>
          </w:p>
          <w:p w:rsidR="00132811" w:rsidRDefault="00243C97">
            <w:pPr>
              <w:spacing w:after="20"/>
              <w:ind w:left="216"/>
            </w:pPr>
            <w:r>
              <w:rPr>
                <w:b/>
                <w:sz w:val="17"/>
              </w:rPr>
              <w:t xml:space="preserve">Issue: </w:t>
            </w:r>
            <w:r>
              <w:rPr>
                <w:sz w:val="17"/>
              </w:rPr>
              <w:t>Overstated association.</w:t>
            </w:r>
          </w:p>
          <w:p w:rsidR="00132811" w:rsidRDefault="00243C97">
            <w:pPr>
              <w:spacing w:after="20"/>
              <w:ind w:left="216"/>
            </w:pPr>
            <w:r>
              <w:rPr>
                <w:b/>
                <w:sz w:val="17"/>
              </w:rPr>
              <w:t xml:space="preserve">Correction: </w:t>
            </w:r>
            <w:r>
              <w:rPr>
                <w:sz w:val="17"/>
              </w:rPr>
              <w:t>Ataxic CP is not strongly linked to cognitive impairment; many affected children have preserved cognition.</w:t>
            </w:r>
          </w:p>
          <w:p w:rsidR="00132811" w:rsidRDefault="00243C97">
            <w:pPr>
              <w:spacing w:after="80"/>
              <w:ind w:left="216"/>
            </w:pPr>
            <w:r>
              <w:rPr>
                <w:b/>
                <w:color w:val="1F3864"/>
                <w:sz w:val="17"/>
              </w:rPr>
              <w:t xml:space="preserve">Refs: </w:t>
            </w:r>
            <w:r>
              <w:rPr>
                <w:i/>
                <w:sz w:val="16"/>
              </w:rPr>
              <w:t>(1) Surveillance of Cerebral Palsy in Europe (SCPE). | (2) Himmelmann K, Uvebrant P. Dev Med Child Neurol.</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2E75B6"/>
                <w:sz w:val="19"/>
              </w:rPr>
              <w:lastRenderedPageBreak/>
              <w:t>Forwarded</w:t>
            </w:r>
          </w:p>
          <w:p w:rsidR="00132811" w:rsidRDefault="00243C97">
            <w:pPr>
              <w:spacing w:after="40"/>
            </w:pPr>
            <w:r>
              <w:rPr>
                <w:color w:val="333333"/>
                <w:sz w:val="17"/>
              </w:rPr>
              <w:t>Forwarded by Prof. Ashley Blom (editor) to the incoming editorial team for the next edition</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jc w:val="center"/>
            </w:pPr>
            <w:r>
              <w:rPr>
                <w:b/>
                <w:color w:val="1F3864"/>
                <w:sz w:val="20"/>
              </w:rPr>
              <w:lastRenderedPageBreak/>
              <w:t>2</w:t>
            </w:r>
          </w:p>
        </w:tc>
        <w:tc>
          <w:tcPr>
            <w:tcW w:w="2232"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pPr>
              <w:spacing w:after="60"/>
            </w:pPr>
            <w:r>
              <w:rPr>
                <w:b/>
                <w:color w:val="1F3864"/>
                <w:sz w:val="19"/>
              </w:rPr>
              <w:t>Bone tumours chapter — soft-tissue mass workup, immunohistochemistry, classification</w:t>
            </w:r>
          </w:p>
          <w:p w:rsidR="00132811" w:rsidRDefault="00243C97">
            <w:pPr>
              <w:spacing w:after="40"/>
            </w:pPr>
            <w:r>
              <w:rPr>
                <w:b/>
                <w:color w:val="2E75B6"/>
                <w:sz w:val="18"/>
              </w:rPr>
              <w:t>5 sub-contributions</w:t>
            </w:r>
          </w:p>
          <w:p w:rsidR="00132811" w:rsidRDefault="00243C97">
            <w:pPr>
              <w:spacing w:after="40"/>
            </w:pPr>
            <w:r>
              <w:rPr>
                <w:color w:val="606060"/>
                <w:sz w:val="17"/>
              </w:rPr>
              <w:t>Type I: 3 · Type II: 2</w:t>
            </w:r>
          </w:p>
          <w:p w:rsidR="00132811" w:rsidRDefault="00243C97">
            <w:pPr>
              <w:spacing w:after="0"/>
            </w:pPr>
            <w:r>
              <w:rPr>
                <w:b/>
                <w:sz w:val="17"/>
              </w:rPr>
              <w:t xml:space="preserve">Source: </w:t>
            </w:r>
            <w:r>
              <w:rPr>
                <w:i/>
                <w:sz w:val="17"/>
              </w:rPr>
              <w:t>Ch on bone tumours — Soft-tissue mass workup</w:t>
            </w:r>
          </w:p>
        </w:tc>
        <w:tc>
          <w:tcPr>
            <w:tcW w:w="6336"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132811"/>
          <w:p w:rsidR="00132811" w:rsidRDefault="00243C97">
            <w:pPr>
              <w:spacing w:before="40" w:after="20"/>
            </w:pPr>
            <w:r>
              <w:rPr>
                <w:b/>
                <w:color w:val="1F3864"/>
                <w:sz w:val="18"/>
              </w:rPr>
              <w:t xml:space="preserve">1. </w:t>
            </w:r>
            <w:r>
              <w:rPr>
                <w:i/>
                <w:color w:val="2E75B6"/>
                <w:sz w:val="17"/>
              </w:rPr>
              <w:t xml:space="preserve">[Type II] </w:t>
            </w:r>
          </w:p>
          <w:p w:rsidR="00132811" w:rsidRDefault="00243C97">
            <w:pPr>
              <w:spacing w:after="20"/>
              <w:ind w:left="216"/>
            </w:pPr>
            <w:r>
              <w:rPr>
                <w:b/>
                <w:sz w:val="17"/>
              </w:rPr>
              <w:t xml:space="preserve">Issue: </w:t>
            </w:r>
            <w:r>
              <w:rPr>
                <w:sz w:val="17"/>
              </w:rPr>
              <w:t>Omission of biopsy as the diagnostic standard.</w:t>
            </w:r>
          </w:p>
          <w:p w:rsidR="00132811" w:rsidRDefault="00243C97">
            <w:pPr>
              <w:spacing w:after="20"/>
              <w:ind w:left="216"/>
            </w:pPr>
            <w:r>
              <w:rPr>
                <w:b/>
                <w:sz w:val="17"/>
              </w:rPr>
              <w:t xml:space="preserve">Correction: </w:t>
            </w:r>
            <w:r>
              <w:rPr>
                <w:sz w:val="17"/>
              </w:rPr>
              <w:t>State that biopsy remains the diagnostic gold standard for soft-tissue masses suspected of malignancy.</w:t>
            </w:r>
          </w:p>
          <w:p w:rsidR="00132811" w:rsidRDefault="00243C97">
            <w:pPr>
              <w:spacing w:after="80"/>
              <w:ind w:left="216"/>
            </w:pPr>
            <w:r>
              <w:rPr>
                <w:b/>
                <w:color w:val="1F3864"/>
                <w:sz w:val="17"/>
              </w:rPr>
              <w:t xml:space="preserve">Refs: </w:t>
            </w:r>
            <w:r>
              <w:rPr>
                <w:i/>
                <w:sz w:val="16"/>
              </w:rPr>
              <w:t>(1) NCCN Guidelines — Soft Tissue Sarcoma (current version). | (2) ESMO Clinical Practice Guidelines — Soft Tissue Sarcoma.</w:t>
            </w:r>
          </w:p>
          <w:p w:rsidR="00132811" w:rsidRDefault="00243C97">
            <w:pPr>
              <w:spacing w:before="40" w:after="20"/>
            </w:pPr>
            <w:r>
              <w:rPr>
                <w:b/>
                <w:color w:val="1F3864"/>
                <w:sz w:val="18"/>
              </w:rPr>
              <w:t xml:space="preserve">2. </w:t>
            </w:r>
            <w:r>
              <w:rPr>
                <w:i/>
                <w:color w:val="2E75B6"/>
                <w:sz w:val="17"/>
              </w:rPr>
              <w:t xml:space="preserve">[Type II] </w:t>
            </w:r>
          </w:p>
          <w:p w:rsidR="00132811" w:rsidRDefault="00243C97">
            <w:pPr>
              <w:spacing w:after="20"/>
              <w:ind w:left="216"/>
            </w:pPr>
            <w:r>
              <w:rPr>
                <w:b/>
                <w:sz w:val="17"/>
              </w:rPr>
              <w:t xml:space="preserve">Issue: </w:t>
            </w:r>
            <w:r>
              <w:rPr>
                <w:sz w:val="17"/>
              </w:rPr>
              <w:t>Omission of essential characterisation tool.</w:t>
            </w:r>
          </w:p>
          <w:p w:rsidR="00132811" w:rsidRDefault="00243C97">
            <w:pPr>
              <w:spacing w:after="20"/>
              <w:ind w:left="216"/>
            </w:pPr>
            <w:r>
              <w:rPr>
                <w:b/>
                <w:sz w:val="17"/>
              </w:rPr>
              <w:t xml:space="preserve">Correction: </w:t>
            </w:r>
            <w:r>
              <w:rPr>
                <w:sz w:val="17"/>
              </w:rPr>
              <w:t>Add: immunohistochemistry is essential for subtype characterisation in soft-tissue tumours.</w:t>
            </w:r>
          </w:p>
          <w:p w:rsidR="00132811" w:rsidRDefault="00243C97">
            <w:pPr>
              <w:spacing w:after="80"/>
              <w:ind w:left="216"/>
            </w:pPr>
            <w:r>
              <w:rPr>
                <w:b/>
                <w:color w:val="1F3864"/>
                <w:sz w:val="17"/>
              </w:rPr>
              <w:t xml:space="preserve">Refs: </w:t>
            </w:r>
            <w:r>
              <w:rPr>
                <w:i/>
                <w:sz w:val="16"/>
              </w:rPr>
              <w:t>(1) WHO Classification of Tumours of Soft Tissue and Bone. 5th ed. IARC; 2020. | (2) Goldblum JR et al. Enzinger and Weiss's Soft Tissue Tumors, 7th ed.</w:t>
            </w:r>
          </w:p>
          <w:p w:rsidR="00132811" w:rsidRDefault="00243C97">
            <w:pPr>
              <w:spacing w:before="40" w:after="20"/>
            </w:pPr>
            <w:r>
              <w:rPr>
                <w:b/>
                <w:color w:val="1F3864"/>
                <w:sz w:val="18"/>
              </w:rPr>
              <w:lastRenderedPageBreak/>
              <w:t xml:space="preserve">3. </w:t>
            </w:r>
            <w:r>
              <w:rPr>
                <w:i/>
                <w:color w:val="2E75B6"/>
                <w:sz w:val="17"/>
              </w:rPr>
              <w:t xml:space="preserve">[Type I] </w:t>
            </w:r>
          </w:p>
          <w:p w:rsidR="00132811" w:rsidRDefault="00243C97">
            <w:pPr>
              <w:spacing w:after="20"/>
              <w:ind w:left="216"/>
            </w:pPr>
            <w:r>
              <w:rPr>
                <w:b/>
                <w:sz w:val="17"/>
              </w:rPr>
              <w:t xml:space="preserve">Issue: </w:t>
            </w:r>
            <w:r>
              <w:rPr>
                <w:sz w:val="17"/>
              </w:rPr>
              <w:t>Mischaracterisation of the entity.</w:t>
            </w:r>
          </w:p>
          <w:p w:rsidR="00132811" w:rsidRDefault="00243C97">
            <w:pPr>
              <w:spacing w:after="20"/>
              <w:ind w:left="216"/>
            </w:pPr>
            <w:r>
              <w:rPr>
                <w:b/>
                <w:sz w:val="17"/>
              </w:rPr>
              <w:t xml:space="preserve">Correction: </w:t>
            </w:r>
            <w:r>
              <w:rPr>
                <w:sz w:val="17"/>
              </w:rPr>
              <w:t>Osteofibrous dysplasia is a distinct benign fibro-osseous lesion of long bones (typically tibia) in children; it should not be treated as a variant of adamantinoma despite an unclear histogenetic relationship.</w:t>
            </w:r>
          </w:p>
          <w:p w:rsidR="00132811" w:rsidRDefault="00243C97">
            <w:pPr>
              <w:spacing w:after="80"/>
              <w:ind w:left="216"/>
            </w:pPr>
            <w:r>
              <w:rPr>
                <w:b/>
                <w:color w:val="1F3864"/>
                <w:sz w:val="17"/>
              </w:rPr>
              <w:t xml:space="preserve">Refs: </w:t>
            </w:r>
            <w:r>
              <w:rPr>
                <w:i/>
                <w:sz w:val="16"/>
              </w:rPr>
              <w:t>(1) WHO Classification of Tumours of Soft Tissue and Bone. 5th ed. IARC; 2020. | (2) Most MJ et al. Osteofibrous dysplasia and adamantinoma. J Am Acad Orthop Surg. 2010.</w:t>
            </w:r>
          </w:p>
          <w:p w:rsidR="00132811" w:rsidRDefault="00243C97">
            <w:pPr>
              <w:spacing w:before="40" w:after="20"/>
            </w:pPr>
            <w:r>
              <w:rPr>
                <w:b/>
                <w:color w:val="1F3864"/>
                <w:sz w:val="18"/>
              </w:rPr>
              <w:t xml:space="preserve">4. </w:t>
            </w:r>
            <w:r>
              <w:rPr>
                <w:i/>
                <w:color w:val="2E75B6"/>
                <w:sz w:val="17"/>
              </w:rPr>
              <w:t xml:space="preserve">[Type I] </w:t>
            </w:r>
          </w:p>
          <w:p w:rsidR="00132811" w:rsidRDefault="00243C97">
            <w:pPr>
              <w:spacing w:after="20"/>
              <w:ind w:left="216"/>
            </w:pPr>
            <w:r>
              <w:rPr>
                <w:b/>
                <w:sz w:val="17"/>
              </w:rPr>
              <w:t xml:space="preserve">Issue: </w:t>
            </w:r>
            <w:r>
              <w:rPr>
                <w:sz w:val="17"/>
              </w:rPr>
              <w:t>Outdated cell-of-origin attribution.</w:t>
            </w:r>
          </w:p>
          <w:p w:rsidR="00132811" w:rsidRDefault="00243C97">
            <w:pPr>
              <w:spacing w:after="20"/>
              <w:ind w:left="216"/>
            </w:pPr>
            <w:r>
              <w:rPr>
                <w:b/>
                <w:sz w:val="17"/>
              </w:rPr>
              <w:t xml:space="preserve">Correction: </w:t>
            </w:r>
            <w:r>
              <w:rPr>
                <w:sz w:val="17"/>
              </w:rPr>
              <w:t>Current evidence supports origin from mesenchymal stem cells, not neuroectodermal cells.</w:t>
            </w:r>
          </w:p>
          <w:p w:rsidR="00132811" w:rsidRDefault="00243C97">
            <w:pPr>
              <w:spacing w:after="80"/>
              <w:ind w:left="216"/>
            </w:pPr>
            <w:r>
              <w:rPr>
                <w:b/>
                <w:color w:val="1F3864"/>
                <w:sz w:val="17"/>
              </w:rPr>
              <w:t xml:space="preserve">Refs: </w:t>
            </w:r>
            <w:r>
              <w:rPr>
                <w:i/>
                <w:sz w:val="16"/>
              </w:rPr>
              <w:t>(1) Grünewald TGP et al. Ewing sarcoma. Nat Rev Dis Primers. 2018. | (2) Hernandez-Munoz I et al. EWS::FLI1 expression in human embryonic mesenchymal stem cells. Nat Commun. 2025;16:8234.</w:t>
            </w:r>
          </w:p>
          <w:p w:rsidR="00132811" w:rsidRDefault="00243C97">
            <w:pPr>
              <w:spacing w:before="40" w:after="20"/>
            </w:pPr>
            <w:r>
              <w:rPr>
                <w:b/>
                <w:color w:val="1F3864"/>
                <w:sz w:val="18"/>
              </w:rPr>
              <w:t xml:space="preserve">5. </w:t>
            </w:r>
            <w:r>
              <w:rPr>
                <w:i/>
                <w:color w:val="2E75B6"/>
                <w:sz w:val="17"/>
              </w:rPr>
              <w:t xml:space="preserve">[Type I] </w:t>
            </w:r>
          </w:p>
          <w:p w:rsidR="00132811" w:rsidRDefault="00243C97">
            <w:pPr>
              <w:spacing w:after="20"/>
              <w:ind w:left="216"/>
            </w:pPr>
            <w:r>
              <w:rPr>
                <w:b/>
                <w:sz w:val="17"/>
              </w:rPr>
              <w:t xml:space="preserve">Issue: </w:t>
            </w:r>
            <w:r>
              <w:rPr>
                <w:sz w:val="17"/>
              </w:rPr>
              <w:t>Omission of pathognomonic translocation.</w:t>
            </w:r>
          </w:p>
          <w:p w:rsidR="00132811" w:rsidRDefault="00243C97">
            <w:pPr>
              <w:spacing w:after="20"/>
              <w:ind w:left="216"/>
            </w:pPr>
            <w:r>
              <w:rPr>
                <w:b/>
                <w:sz w:val="17"/>
              </w:rPr>
              <w:t xml:space="preserve">Correction: </w:t>
            </w:r>
            <w:r>
              <w:rPr>
                <w:sz w:val="17"/>
              </w:rPr>
              <w:t>EWSR1-FLI1 translocation (t(11;22)) is the principal pathognomonic molecular event.</w:t>
            </w:r>
          </w:p>
          <w:p w:rsidR="00132811" w:rsidRDefault="00243C97">
            <w:pPr>
              <w:spacing w:after="80"/>
              <w:ind w:left="216"/>
            </w:pPr>
            <w:r>
              <w:rPr>
                <w:b/>
                <w:color w:val="1F3864"/>
                <w:sz w:val="17"/>
              </w:rPr>
              <w:t xml:space="preserve">Refs: </w:t>
            </w:r>
            <w:r>
              <w:rPr>
                <w:i/>
                <w:sz w:val="16"/>
              </w:rPr>
              <w:t>(1) Grünewald TGP et al. Ewing sarcoma. Nat Rev Dis Primers. 2018. | (2) WHO Classification of Tumours of Soft Tissue and Bone. 5th ed. IARC; 2020.</w:t>
            </w:r>
          </w:p>
        </w:tc>
        <w:tc>
          <w:tcPr>
            <w:tcW w:w="2779" w:type="dxa"/>
            <w:tcBorders>
              <w:top w:val="single" w:sz="4" w:space="0" w:color="BFBFBF"/>
              <w:left w:val="single" w:sz="4" w:space="0" w:color="BFBFBF"/>
              <w:bottom w:val="single" w:sz="4" w:space="0" w:color="BFBFBF"/>
              <w:right w:val="single" w:sz="4" w:space="0" w:color="BFBFBF"/>
            </w:tcBorders>
            <w:shd w:val="clear" w:color="auto" w:fill="F8FAFC"/>
          </w:tcPr>
          <w:p w:rsidR="00132811" w:rsidRDefault="00243C97">
            <w:r>
              <w:rPr>
                <w:b/>
                <w:color w:val="2E75B6"/>
                <w:sz w:val="19"/>
              </w:rPr>
              <w:lastRenderedPageBreak/>
              <w:t>Forwarded</w:t>
            </w:r>
          </w:p>
          <w:p w:rsidR="00132811" w:rsidRDefault="00243C97">
            <w:pPr>
              <w:spacing w:after="40"/>
            </w:pPr>
            <w:r>
              <w:rPr>
                <w:color w:val="333333"/>
                <w:sz w:val="17"/>
              </w:rPr>
              <w:t>Forwarded by Prof. Ashley Blom (editor) to the incoming editorial team for the next edition</w:t>
            </w:r>
          </w:p>
        </w:tc>
      </w:tr>
    </w:tbl>
    <w:p w:rsidR="00132811" w:rsidRDefault="00132811"/>
    <w:p w:rsidR="00132811" w:rsidRDefault="00243C97">
      <w:pPr>
        <w:spacing w:before="240" w:after="80"/>
      </w:pPr>
      <w:r>
        <w:rPr>
          <w:b/>
          <w:color w:val="2E75B6"/>
          <w:sz w:val="24"/>
        </w:rPr>
        <w:t>6.10  Orthobullets — Sciatic Nerve module</w:t>
      </w:r>
    </w:p>
    <w:p w:rsidR="00132811" w:rsidRDefault="00243C97">
      <w:pPr>
        <w:spacing w:after="40"/>
      </w:pPr>
      <w:r>
        <w:rPr>
          <w:b/>
          <w:sz w:val="20"/>
        </w:rPr>
        <w:t xml:space="preserve">Specialty: </w:t>
      </w:r>
      <w:r>
        <w:rPr>
          <w:sz w:val="20"/>
        </w:rPr>
        <w:t>Orthopaedics / Clinical Anatomy (online platform)</w:t>
      </w:r>
    </w:p>
    <w:p w:rsidR="00132811" w:rsidRDefault="00243C97">
      <w:pPr>
        <w:spacing w:after="40"/>
      </w:pPr>
      <w:r>
        <w:rPr>
          <w:b/>
          <w:sz w:val="20"/>
        </w:rPr>
        <w:t xml:space="preserve">Total sub-contributions: </w:t>
      </w:r>
      <w:r>
        <w:rPr>
          <w:b/>
          <w:color w:val="1F3864"/>
          <w:sz w:val="20"/>
        </w:rPr>
        <w:t xml:space="preserve">8  </w:t>
      </w:r>
      <w:r>
        <w:rPr>
          <w:color w:val="606060"/>
          <w:sz w:val="19"/>
        </w:rPr>
        <w:t>(Type I: 3 · Type II: 1 · Type III: 0 · Type IV: 2 · Type V: 2)</w:t>
      </w:r>
    </w:p>
    <w:tbl>
      <w:tblPr>
        <w:tblW w:w="0" w:type="auto"/>
        <w:jc w:val="center"/>
        <w:tblLayout w:type="fixed"/>
        <w:tblLook w:val="04A0" w:firstRow="1" w:lastRow="0" w:firstColumn="1" w:lastColumn="0" w:noHBand="0" w:noVBand="1"/>
      </w:tblPr>
      <w:tblGrid>
        <w:gridCol w:w="461"/>
        <w:gridCol w:w="2232"/>
        <w:gridCol w:w="6336"/>
        <w:gridCol w:w="2779"/>
      </w:tblGrid>
      <w:tr w:rsidR="00132811">
        <w:trPr>
          <w:jc w:val="center"/>
        </w:trPr>
        <w:tc>
          <w:tcPr>
            <w:tcW w:w="461"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w:t>
            </w:r>
          </w:p>
        </w:tc>
        <w:tc>
          <w:tcPr>
            <w:tcW w:w="2232"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Email submission topic</w:t>
            </w:r>
          </w:p>
        </w:tc>
        <w:tc>
          <w:tcPr>
            <w:tcW w:w="6336"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Sub-contributions (with two supporting references each)</w:t>
            </w:r>
          </w:p>
        </w:tc>
        <w:tc>
          <w:tcPr>
            <w:tcW w:w="2779" w:type="dxa"/>
            <w:tcBorders>
              <w:top w:val="single" w:sz="4" w:space="0" w:color="BFBFBF"/>
              <w:left w:val="single" w:sz="4" w:space="0" w:color="BFBFBF"/>
              <w:bottom w:val="single" w:sz="4" w:space="0" w:color="BFBFBF"/>
              <w:right w:val="single" w:sz="4" w:space="0" w:color="BFBFBF"/>
            </w:tcBorders>
            <w:shd w:val="clear" w:color="auto" w:fill="1F3864"/>
            <w:vAlign w:val="center"/>
          </w:tcPr>
          <w:p w:rsidR="00132811" w:rsidRDefault="00243C97">
            <w:pPr>
              <w:jc w:val="center"/>
            </w:pPr>
            <w:r>
              <w:rPr>
                <w:b/>
                <w:color w:val="FFFFFF"/>
                <w:sz w:val="20"/>
              </w:rPr>
              <w:t>Editorial response</w:t>
            </w:r>
          </w:p>
        </w:tc>
      </w:tr>
      <w:tr w:rsidR="00132811">
        <w:trPr>
          <w:jc w:val="center"/>
        </w:trPr>
        <w:tc>
          <w:tcPr>
            <w:tcW w:w="461"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color w:val="1F3864"/>
                <w:sz w:val="20"/>
              </w:rPr>
              <w:t>1</w:t>
            </w:r>
          </w:p>
        </w:tc>
        <w:tc>
          <w:tcPr>
            <w:tcW w:w="2232" w:type="dxa"/>
            <w:tcBorders>
              <w:top w:val="single" w:sz="4" w:space="0" w:color="BFBFBF"/>
              <w:left w:val="single" w:sz="4" w:space="0" w:color="BFBFBF"/>
              <w:bottom w:val="single" w:sz="4" w:space="0" w:color="BFBFBF"/>
              <w:right w:val="single" w:sz="4" w:space="0" w:color="BFBFBF"/>
            </w:tcBorders>
          </w:tcPr>
          <w:p w:rsidR="00132811" w:rsidRDefault="00243C97">
            <w:pPr>
              <w:spacing w:after="60"/>
            </w:pPr>
            <w:r>
              <w:rPr>
                <w:b/>
                <w:color w:val="1F3864"/>
                <w:sz w:val="19"/>
              </w:rPr>
              <w:t>Sciatic Nerve module — anatomy and innervation (online platform, &gt;7 million users)</w:t>
            </w:r>
          </w:p>
          <w:p w:rsidR="00132811" w:rsidRDefault="00243C97">
            <w:pPr>
              <w:spacing w:after="40"/>
            </w:pPr>
            <w:r>
              <w:rPr>
                <w:b/>
                <w:color w:val="2E75B6"/>
                <w:sz w:val="18"/>
              </w:rPr>
              <w:t>8 sub-contributions</w:t>
            </w:r>
          </w:p>
          <w:p w:rsidR="00132811" w:rsidRDefault="00243C97">
            <w:pPr>
              <w:spacing w:after="40"/>
            </w:pPr>
            <w:r>
              <w:rPr>
                <w:color w:val="606060"/>
                <w:sz w:val="17"/>
              </w:rPr>
              <w:t>Type I: 3 · Type II: 1 · Type IV: 2 · Type V: 2</w:t>
            </w:r>
          </w:p>
          <w:p w:rsidR="00132811" w:rsidRDefault="00243C97">
            <w:pPr>
              <w:spacing w:after="0"/>
            </w:pPr>
            <w:r>
              <w:rPr>
                <w:b/>
                <w:sz w:val="17"/>
              </w:rPr>
              <w:t xml:space="preserve">Source: </w:t>
            </w:r>
            <w:r>
              <w:rPr>
                <w:i/>
                <w:sz w:val="17"/>
              </w:rPr>
              <w:t>Sciatic Nerve — Tibial component sensory innervation</w:t>
            </w:r>
          </w:p>
        </w:tc>
        <w:tc>
          <w:tcPr>
            <w:tcW w:w="6336" w:type="dxa"/>
            <w:tcBorders>
              <w:top w:val="single" w:sz="4" w:space="0" w:color="BFBFBF"/>
              <w:left w:val="single" w:sz="4" w:space="0" w:color="BFBFBF"/>
              <w:bottom w:val="single" w:sz="4" w:space="0" w:color="BFBFBF"/>
              <w:right w:val="single" w:sz="4" w:space="0" w:color="BFBFBF"/>
            </w:tcBorders>
          </w:tcPr>
          <w:p w:rsidR="00132811" w:rsidRDefault="00132811"/>
          <w:p w:rsidR="00132811" w:rsidRDefault="00243C97">
            <w:pPr>
              <w:spacing w:before="40" w:after="20"/>
            </w:pPr>
            <w:r>
              <w:rPr>
                <w:b/>
                <w:color w:val="1F3864"/>
                <w:sz w:val="18"/>
              </w:rPr>
              <w:t xml:space="preserve">1. </w:t>
            </w:r>
            <w:r>
              <w:rPr>
                <w:i/>
                <w:color w:val="2E75B6"/>
                <w:sz w:val="17"/>
              </w:rPr>
              <w:t xml:space="preserve">[Type IV] </w:t>
            </w:r>
          </w:p>
          <w:p w:rsidR="00132811" w:rsidRDefault="00243C97">
            <w:pPr>
              <w:spacing w:after="20"/>
              <w:ind w:left="216"/>
            </w:pPr>
            <w:r>
              <w:rPr>
                <w:b/>
                <w:sz w:val="17"/>
              </w:rPr>
              <w:t xml:space="preserve">Issue: </w:t>
            </w:r>
            <w:r>
              <w:rPr>
                <w:sz w:val="17"/>
              </w:rPr>
              <w:t>Incorrect attribution.</w:t>
            </w:r>
          </w:p>
          <w:p w:rsidR="00132811" w:rsidRDefault="00243C97">
            <w:pPr>
              <w:spacing w:after="20"/>
              <w:ind w:left="216"/>
            </w:pPr>
            <w:r>
              <w:rPr>
                <w:b/>
                <w:sz w:val="17"/>
              </w:rPr>
              <w:t xml:space="preserve">Correction: </w:t>
            </w:r>
            <w:r>
              <w:rPr>
                <w:sz w:val="17"/>
              </w:rPr>
              <w:t>Posterior calf sensation is mediated by the medial sural cutaneous nerve (a branch of the tibial nerve) combined with the sural communicating branch from the common peroneal nerve.</w:t>
            </w:r>
          </w:p>
          <w:p w:rsidR="00132811" w:rsidRDefault="00243C97">
            <w:pPr>
              <w:spacing w:after="80"/>
              <w:ind w:left="216"/>
            </w:pPr>
            <w:r>
              <w:rPr>
                <w:b/>
                <w:color w:val="1F3864"/>
                <w:sz w:val="17"/>
              </w:rPr>
              <w:t xml:space="preserve">Refs: </w:t>
            </w:r>
            <w:r>
              <w:rPr>
                <w:i/>
                <w:sz w:val="16"/>
              </w:rPr>
              <w:t>(1) Gray's Anatomy, 42nd ed. | (2) Snell's Clinical Anatomy by Regions, 10th ed. | (3) Standring S, ed. Gray's Anatomy: The Anatomical Basis of Clinical Practice. 42nd ed.</w:t>
            </w:r>
          </w:p>
          <w:p w:rsidR="00132811" w:rsidRDefault="00243C97">
            <w:pPr>
              <w:spacing w:before="40" w:after="20"/>
            </w:pPr>
            <w:r>
              <w:rPr>
                <w:b/>
                <w:color w:val="1F3864"/>
                <w:sz w:val="18"/>
              </w:rPr>
              <w:t xml:space="preserve">2. </w:t>
            </w:r>
            <w:r>
              <w:rPr>
                <w:i/>
                <w:color w:val="2E75B6"/>
                <w:sz w:val="17"/>
              </w:rPr>
              <w:t xml:space="preserve">[Type V] </w:t>
            </w:r>
          </w:p>
          <w:p w:rsidR="00132811" w:rsidRDefault="00243C97">
            <w:pPr>
              <w:spacing w:after="20"/>
              <w:ind w:left="216"/>
            </w:pPr>
            <w:r>
              <w:rPr>
                <w:b/>
                <w:sz w:val="17"/>
              </w:rPr>
              <w:t xml:space="preserve">Issue: </w:t>
            </w:r>
            <w:r>
              <w:rPr>
                <w:sz w:val="17"/>
              </w:rPr>
              <w:t>Erroneous motor attribution.</w:t>
            </w:r>
          </w:p>
          <w:p w:rsidR="00132811" w:rsidRDefault="00243C97">
            <w:pPr>
              <w:spacing w:after="20"/>
              <w:ind w:left="216"/>
            </w:pPr>
            <w:r>
              <w:rPr>
                <w:b/>
                <w:sz w:val="17"/>
              </w:rPr>
              <w:t xml:space="preserve">Correction: </w:t>
            </w:r>
            <w:r>
              <w:rPr>
                <w:sz w:val="17"/>
              </w:rPr>
              <w:t>These muscles are innervated by the tibial nerve, not the common peroneal nerve.</w:t>
            </w:r>
          </w:p>
          <w:p w:rsidR="00132811" w:rsidRDefault="00243C97">
            <w:pPr>
              <w:spacing w:after="80"/>
              <w:ind w:left="216"/>
            </w:pPr>
            <w:r>
              <w:rPr>
                <w:b/>
                <w:color w:val="1F3864"/>
                <w:sz w:val="17"/>
              </w:rPr>
              <w:t xml:space="preserve">Refs: </w:t>
            </w:r>
            <w:r>
              <w:rPr>
                <w:i/>
                <w:sz w:val="16"/>
              </w:rPr>
              <w:t>(1) Moore's Clinically Oriented Anatomy, 9th ed. | (2) Standring S, ed. Gray's Anatomy, 42nd ed.</w:t>
            </w:r>
          </w:p>
          <w:p w:rsidR="00132811" w:rsidRDefault="00243C97">
            <w:pPr>
              <w:spacing w:before="40" w:after="20"/>
            </w:pPr>
            <w:r>
              <w:rPr>
                <w:b/>
                <w:color w:val="1F3864"/>
                <w:sz w:val="18"/>
              </w:rPr>
              <w:t xml:space="preserve">3. </w:t>
            </w:r>
            <w:r>
              <w:rPr>
                <w:i/>
                <w:color w:val="2E75B6"/>
                <w:sz w:val="17"/>
              </w:rPr>
              <w:t xml:space="preserve">[Type V] </w:t>
            </w:r>
          </w:p>
          <w:p w:rsidR="00132811" w:rsidRDefault="00243C97">
            <w:pPr>
              <w:spacing w:after="20"/>
              <w:ind w:left="216"/>
            </w:pPr>
            <w:r>
              <w:rPr>
                <w:b/>
                <w:sz w:val="17"/>
              </w:rPr>
              <w:t xml:space="preserve">Issue: </w:t>
            </w:r>
            <w:r>
              <w:rPr>
                <w:sz w:val="17"/>
              </w:rPr>
              <w:t>Incomplete composite origin.</w:t>
            </w:r>
          </w:p>
          <w:p w:rsidR="00132811" w:rsidRDefault="00243C97">
            <w:pPr>
              <w:spacing w:after="20"/>
              <w:ind w:left="216"/>
            </w:pPr>
            <w:r>
              <w:rPr>
                <w:b/>
                <w:sz w:val="17"/>
              </w:rPr>
              <w:t xml:space="preserve">Correction: </w:t>
            </w:r>
            <w:r>
              <w:rPr>
                <w:sz w:val="17"/>
              </w:rPr>
              <w:t>The sural nerve is formed by union of the medial sural cutaneous nerve (tibial nerve) and the sural communicating branch (common peroneal nerve).</w:t>
            </w:r>
          </w:p>
          <w:p w:rsidR="00132811" w:rsidRDefault="00243C97">
            <w:pPr>
              <w:spacing w:after="80"/>
              <w:ind w:left="216"/>
            </w:pPr>
            <w:r>
              <w:rPr>
                <w:b/>
                <w:color w:val="1F3864"/>
                <w:sz w:val="17"/>
              </w:rPr>
              <w:t xml:space="preserve">Refs: </w:t>
            </w:r>
            <w:r>
              <w:rPr>
                <w:i/>
                <w:sz w:val="16"/>
              </w:rPr>
              <w:t>(1) Gray's Anatomy, 42nd ed. | (2) Moore's Clinically Oriented Anatomy, 9th ed.</w:t>
            </w:r>
          </w:p>
          <w:p w:rsidR="00132811" w:rsidRDefault="00243C97">
            <w:pPr>
              <w:spacing w:before="40" w:after="20"/>
            </w:pPr>
            <w:r>
              <w:rPr>
                <w:b/>
                <w:color w:val="1F3864"/>
                <w:sz w:val="18"/>
              </w:rPr>
              <w:t xml:space="preserve">4. </w:t>
            </w:r>
            <w:r>
              <w:rPr>
                <w:i/>
                <w:color w:val="2E75B6"/>
                <w:sz w:val="17"/>
              </w:rPr>
              <w:t xml:space="preserve">[Type II] </w:t>
            </w:r>
          </w:p>
          <w:p w:rsidR="00132811" w:rsidRDefault="00243C97">
            <w:pPr>
              <w:spacing w:after="20"/>
              <w:ind w:left="216"/>
            </w:pPr>
            <w:r>
              <w:rPr>
                <w:b/>
                <w:sz w:val="17"/>
              </w:rPr>
              <w:t xml:space="preserve">Issue: </w:t>
            </w:r>
            <w:r>
              <w:rPr>
                <w:sz w:val="17"/>
              </w:rPr>
              <w:t>Anatomically incorrect relationship.</w:t>
            </w:r>
          </w:p>
          <w:p w:rsidR="00132811" w:rsidRDefault="00243C97">
            <w:pPr>
              <w:spacing w:after="20"/>
              <w:ind w:left="216"/>
            </w:pPr>
            <w:r>
              <w:rPr>
                <w:b/>
                <w:sz w:val="17"/>
              </w:rPr>
              <w:t xml:space="preserve">Correction: </w:t>
            </w:r>
            <w:r>
              <w:rPr>
                <w:sz w:val="17"/>
              </w:rPr>
              <w:t>The sciatic nerve typically exits inferior to the piriformis through the infrapiriform foramen.</w:t>
            </w:r>
          </w:p>
          <w:p w:rsidR="00132811" w:rsidRDefault="00243C97">
            <w:pPr>
              <w:spacing w:after="80"/>
              <w:ind w:left="216"/>
            </w:pPr>
            <w:r>
              <w:rPr>
                <w:b/>
                <w:color w:val="1F3864"/>
                <w:sz w:val="17"/>
              </w:rPr>
              <w:lastRenderedPageBreak/>
              <w:t xml:space="preserve">Refs: </w:t>
            </w:r>
            <w:r>
              <w:rPr>
                <w:i/>
                <w:sz w:val="16"/>
              </w:rPr>
              <w:t>(1) Beaton LE, Anson BJ. The relation of the sciatic nerve and of its subdivisions to the piriformis muscle. Anat Rec. 1937;70(1):1–5. | (2) Standring S, ed. Gray's Anatomy, 42nd ed.</w:t>
            </w:r>
          </w:p>
          <w:p w:rsidR="00132811" w:rsidRDefault="00243C97">
            <w:pPr>
              <w:spacing w:before="40" w:after="20"/>
            </w:pPr>
            <w:r>
              <w:rPr>
                <w:b/>
                <w:color w:val="1F3864"/>
                <w:sz w:val="18"/>
              </w:rPr>
              <w:t xml:space="preserve">5. </w:t>
            </w:r>
            <w:r>
              <w:rPr>
                <w:i/>
                <w:color w:val="2E75B6"/>
                <w:sz w:val="17"/>
              </w:rPr>
              <w:t xml:space="preserve">[Type I] </w:t>
            </w:r>
          </w:p>
          <w:p w:rsidR="00132811" w:rsidRDefault="00243C97">
            <w:pPr>
              <w:spacing w:after="20"/>
              <w:ind w:left="216"/>
            </w:pPr>
            <w:r>
              <w:rPr>
                <w:b/>
                <w:sz w:val="17"/>
              </w:rPr>
              <w:t xml:space="preserve">Issue: </w:t>
            </w:r>
            <w:r>
              <w:rPr>
                <w:sz w:val="17"/>
              </w:rPr>
              <w:t>Anatomical mislocation.</w:t>
            </w:r>
          </w:p>
          <w:p w:rsidR="00132811" w:rsidRDefault="00243C97">
            <w:pPr>
              <w:spacing w:after="20"/>
              <w:ind w:left="216"/>
            </w:pPr>
            <w:r>
              <w:rPr>
                <w:b/>
                <w:sz w:val="17"/>
              </w:rPr>
              <w:t xml:space="preserve">Correction: </w:t>
            </w:r>
            <w:r>
              <w:rPr>
                <w:sz w:val="17"/>
              </w:rPr>
              <w:t>The sciatic nerve courses through the gluteal region and thigh; it divides above the popliteal fossa, with terminal branches descending into the leg.</w:t>
            </w:r>
          </w:p>
          <w:p w:rsidR="00132811" w:rsidRDefault="00243C97">
            <w:pPr>
              <w:spacing w:after="80"/>
              <w:ind w:left="216"/>
            </w:pPr>
            <w:r>
              <w:rPr>
                <w:b/>
                <w:color w:val="1F3864"/>
                <w:sz w:val="17"/>
              </w:rPr>
              <w:t xml:space="preserve">Refs: </w:t>
            </w:r>
            <w:r>
              <w:rPr>
                <w:i/>
                <w:sz w:val="16"/>
              </w:rPr>
              <w:t>(1) Gray's Anatomy, 42nd ed. | (2) Snell's Clinical Anatomy by Regions, 10th ed.</w:t>
            </w:r>
          </w:p>
          <w:p w:rsidR="00132811" w:rsidRDefault="00243C97">
            <w:pPr>
              <w:spacing w:before="40" w:after="20"/>
            </w:pPr>
            <w:r>
              <w:rPr>
                <w:b/>
                <w:color w:val="1F3864"/>
                <w:sz w:val="18"/>
              </w:rPr>
              <w:t xml:space="preserve">6. </w:t>
            </w:r>
            <w:r>
              <w:rPr>
                <w:i/>
                <w:color w:val="2E75B6"/>
                <w:sz w:val="17"/>
              </w:rPr>
              <w:t xml:space="preserve">[Type I] </w:t>
            </w:r>
          </w:p>
          <w:p w:rsidR="00132811" w:rsidRDefault="00243C97">
            <w:pPr>
              <w:spacing w:after="20"/>
              <w:ind w:left="216"/>
            </w:pPr>
            <w:r>
              <w:rPr>
                <w:b/>
                <w:sz w:val="17"/>
              </w:rPr>
              <w:t xml:space="preserve">Issue: </w:t>
            </w:r>
            <w:r>
              <w:rPr>
                <w:sz w:val="17"/>
              </w:rPr>
              <w:t>Fundamental categorical anatomical error.</w:t>
            </w:r>
          </w:p>
          <w:p w:rsidR="00132811" w:rsidRDefault="00243C97">
            <w:pPr>
              <w:spacing w:after="20"/>
              <w:ind w:left="216"/>
            </w:pPr>
            <w:r>
              <w:rPr>
                <w:b/>
                <w:sz w:val="17"/>
              </w:rPr>
              <w:t xml:space="preserve">Correction: </w:t>
            </w:r>
            <w:r>
              <w:rPr>
                <w:sz w:val="17"/>
              </w:rPr>
              <w:t>The sciatic nerve has TWO terminal divisions: the tibial nerve and the common peroneal (fibular) nerve.</w:t>
            </w:r>
          </w:p>
          <w:p w:rsidR="00132811" w:rsidRDefault="00243C97">
            <w:pPr>
              <w:spacing w:after="80"/>
              <w:ind w:left="216"/>
            </w:pPr>
            <w:r>
              <w:rPr>
                <w:b/>
                <w:color w:val="1F3864"/>
                <w:sz w:val="17"/>
              </w:rPr>
              <w:t xml:space="preserve">Refs: </w:t>
            </w:r>
            <w:r>
              <w:rPr>
                <w:i/>
                <w:sz w:val="16"/>
              </w:rPr>
              <w:t>(1) Standring S, ed. Gray's Anatomy, 42nd ed. | (2) Moore's Clinically Oriented Anatomy, 9th ed.</w:t>
            </w:r>
          </w:p>
          <w:p w:rsidR="00132811" w:rsidRDefault="00243C97">
            <w:pPr>
              <w:spacing w:before="40" w:after="20"/>
            </w:pPr>
            <w:r>
              <w:rPr>
                <w:b/>
                <w:color w:val="1F3864"/>
                <w:sz w:val="18"/>
              </w:rPr>
              <w:t xml:space="preserve">7. </w:t>
            </w:r>
            <w:r>
              <w:rPr>
                <w:i/>
                <w:color w:val="2E75B6"/>
                <w:sz w:val="17"/>
              </w:rPr>
              <w:t xml:space="preserve">[Type I] </w:t>
            </w:r>
          </w:p>
          <w:p w:rsidR="00132811" w:rsidRDefault="00243C97">
            <w:pPr>
              <w:spacing w:after="20"/>
              <w:ind w:left="216"/>
            </w:pPr>
            <w:r>
              <w:rPr>
                <w:b/>
                <w:sz w:val="17"/>
              </w:rPr>
              <w:t xml:space="preserve">Issue: </w:t>
            </w:r>
            <w:r>
              <w:rPr>
                <w:sz w:val="17"/>
              </w:rPr>
              <w:t>Erroneous attribution to common peroneal nerve.</w:t>
            </w:r>
          </w:p>
          <w:p w:rsidR="00132811" w:rsidRDefault="00243C97">
            <w:pPr>
              <w:spacing w:after="20"/>
              <w:ind w:left="216"/>
            </w:pPr>
            <w:r>
              <w:rPr>
                <w:b/>
                <w:sz w:val="17"/>
              </w:rPr>
              <w:t xml:space="preserve">Correction: </w:t>
            </w:r>
            <w:r>
              <w:rPr>
                <w:sz w:val="17"/>
              </w:rPr>
              <w:t>Gastrocnemius, soleus, and popliteus are innervated by the tibial nerve.</w:t>
            </w:r>
          </w:p>
          <w:p w:rsidR="00132811" w:rsidRDefault="00243C97">
            <w:pPr>
              <w:spacing w:after="80"/>
              <w:ind w:left="216"/>
            </w:pPr>
            <w:r>
              <w:rPr>
                <w:b/>
                <w:color w:val="1F3864"/>
                <w:sz w:val="17"/>
              </w:rPr>
              <w:t xml:space="preserve">Refs: </w:t>
            </w:r>
            <w:r>
              <w:rPr>
                <w:i/>
                <w:sz w:val="16"/>
              </w:rPr>
              <w:t>(1) Snell's Clinical Anatomy by Regions, 10th ed. | (2) Gray's Anatomy, 42nd ed.</w:t>
            </w:r>
          </w:p>
          <w:p w:rsidR="00132811" w:rsidRDefault="00243C97">
            <w:pPr>
              <w:spacing w:before="40" w:after="20"/>
            </w:pPr>
            <w:r>
              <w:rPr>
                <w:b/>
                <w:color w:val="1F3864"/>
                <w:sz w:val="18"/>
              </w:rPr>
              <w:t xml:space="preserve">8. </w:t>
            </w:r>
            <w:r>
              <w:rPr>
                <w:i/>
                <w:color w:val="2E75B6"/>
                <w:sz w:val="17"/>
              </w:rPr>
              <w:t xml:space="preserve">[Type IV] </w:t>
            </w:r>
          </w:p>
          <w:p w:rsidR="00132811" w:rsidRDefault="00243C97">
            <w:pPr>
              <w:spacing w:after="20"/>
              <w:ind w:left="216"/>
            </w:pPr>
            <w:r>
              <w:rPr>
                <w:b/>
                <w:sz w:val="17"/>
              </w:rPr>
              <w:t xml:space="preserve">Issue: </w:t>
            </w:r>
            <w:r>
              <w:rPr>
                <w:sz w:val="17"/>
              </w:rPr>
              <w:t>Omission of developmental-classification terminology.</w:t>
            </w:r>
          </w:p>
          <w:p w:rsidR="00132811" w:rsidRDefault="00243C97">
            <w:pPr>
              <w:spacing w:after="20"/>
              <w:ind w:left="216"/>
            </w:pPr>
            <w:r>
              <w:rPr>
                <w:b/>
                <w:sz w:val="17"/>
              </w:rPr>
              <w:t xml:space="preserve">Correction: </w:t>
            </w:r>
            <w:r>
              <w:rPr>
                <w:sz w:val="17"/>
              </w:rPr>
              <w:t>Add embryological classification: tibial nerve (preaxial origin) and common peroneal nerve (postaxial origin).</w:t>
            </w:r>
          </w:p>
          <w:p w:rsidR="00132811" w:rsidRDefault="00243C97">
            <w:pPr>
              <w:spacing w:after="80"/>
              <w:ind w:left="216"/>
            </w:pPr>
            <w:r>
              <w:rPr>
                <w:b/>
                <w:color w:val="1F3864"/>
                <w:sz w:val="17"/>
              </w:rPr>
              <w:t xml:space="preserve">Refs: </w:t>
            </w:r>
            <w:r>
              <w:rPr>
                <w:i/>
                <w:sz w:val="16"/>
              </w:rPr>
              <w:t>(1) Langman's Medical Embryology, 14th ed. | (2) Moore's The Developing Human, 11th ed.</w:t>
            </w:r>
          </w:p>
        </w:tc>
        <w:tc>
          <w:tcPr>
            <w:tcW w:w="2779" w:type="dxa"/>
            <w:tcBorders>
              <w:top w:val="single" w:sz="4" w:space="0" w:color="BFBFBF"/>
              <w:left w:val="single" w:sz="4" w:space="0" w:color="BFBFBF"/>
              <w:bottom w:val="single" w:sz="4" w:space="0" w:color="BFBFBF"/>
              <w:right w:val="single" w:sz="4" w:space="0" w:color="BFBFBF"/>
            </w:tcBorders>
          </w:tcPr>
          <w:p w:rsidR="00132811" w:rsidRDefault="00243C97">
            <w:r>
              <w:rPr>
                <w:b/>
                <w:color w:val="2E75B6"/>
                <w:sz w:val="19"/>
              </w:rPr>
              <w:lastRenderedPageBreak/>
              <w:t>Forwarded</w:t>
            </w:r>
          </w:p>
          <w:p w:rsidR="00132811" w:rsidRDefault="00243C97">
            <w:pPr>
              <w:spacing w:after="40"/>
            </w:pPr>
            <w:r>
              <w:rPr>
                <w:color w:val="333333"/>
                <w:sz w:val="17"/>
              </w:rPr>
              <w:t>Forwarded — Submitted via the official Orthobullets editorial channel; routed for module review and update</w:t>
            </w:r>
          </w:p>
        </w:tc>
      </w:tr>
    </w:tbl>
    <w:p w:rsidR="00132811" w:rsidRDefault="00132811"/>
    <w:p w:rsidR="00132811" w:rsidRDefault="00243C97">
      <w:pPr>
        <w:spacing w:before="360" w:after="160"/>
      </w:pPr>
      <w:r>
        <w:rPr>
          <w:b/>
          <w:color w:val="1F3864"/>
          <w:sz w:val="30"/>
        </w:rPr>
        <w:t>7.  Summary statistics</w:t>
      </w:r>
    </w:p>
    <w:p w:rsidR="00132811" w:rsidRDefault="00243C97">
      <w:pPr>
        <w:spacing w:after="120" w:line="288" w:lineRule="auto"/>
      </w:pPr>
      <w:r>
        <w:rPr>
          <w:i/>
          <w:color w:val="606060"/>
          <w:sz w:val="20"/>
        </w:rPr>
        <w:t>All figures match the corresponding statistics in the accompanying BMC Medical Education manuscript.</w:t>
      </w:r>
    </w:p>
    <w:p w:rsidR="00132811" w:rsidRDefault="00243C97">
      <w:pPr>
        <w:spacing w:before="160" w:after="60"/>
      </w:pPr>
      <w:r>
        <w:rPr>
          <w:b/>
          <w:color w:val="1F3864"/>
          <w:sz w:val="22"/>
        </w:rPr>
        <w:t>Table A — Distribution by resource × classification × editorial status</w:t>
      </w:r>
    </w:p>
    <w:tbl>
      <w:tblPr>
        <w:tblW w:w="0" w:type="auto"/>
        <w:jc w:val="center"/>
        <w:tblLook w:val="04A0" w:firstRow="1" w:lastRow="0" w:firstColumn="1" w:lastColumn="0" w:noHBand="0" w:noVBand="1"/>
      </w:tblPr>
      <w:tblGrid>
        <w:gridCol w:w="2721"/>
        <w:gridCol w:w="636"/>
        <w:gridCol w:w="636"/>
        <w:gridCol w:w="696"/>
        <w:gridCol w:w="696"/>
        <w:gridCol w:w="636"/>
        <w:gridCol w:w="699"/>
        <w:gridCol w:w="3242"/>
      </w:tblGrid>
      <w:tr w:rsidR="00132811">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Resource</w:t>
            </w:r>
          </w:p>
        </w:tc>
        <w:tc>
          <w:tcPr>
            <w:tcW w:w="64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Type I</w:t>
            </w:r>
          </w:p>
        </w:tc>
        <w:tc>
          <w:tcPr>
            <w:tcW w:w="64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Type II</w:t>
            </w:r>
          </w:p>
        </w:tc>
        <w:tc>
          <w:tcPr>
            <w:tcW w:w="72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Type III</w:t>
            </w:r>
          </w:p>
        </w:tc>
        <w:tc>
          <w:tcPr>
            <w:tcW w:w="72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Type IV</w:t>
            </w:r>
          </w:p>
        </w:tc>
        <w:tc>
          <w:tcPr>
            <w:tcW w:w="64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Type V</w:t>
            </w:r>
          </w:p>
        </w:tc>
        <w:tc>
          <w:tcPr>
            <w:tcW w:w="72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Total</w:t>
            </w:r>
          </w:p>
        </w:tc>
        <w:tc>
          <w:tcPr>
            <w:tcW w:w="3456"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Editorial status</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tcPr>
          <w:p w:rsidR="00132811" w:rsidRDefault="00243C97">
            <w:r>
              <w:rPr>
                <w:sz w:val="18"/>
              </w:rPr>
              <w:t>Davidson's Principles of Medicine</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28</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14</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12</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7</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4</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sz w:val="18"/>
              </w:rPr>
              <w:t>65</w:t>
            </w:r>
          </w:p>
        </w:tc>
        <w:tc>
          <w:tcPr>
            <w:tcW w:w="3456" w:type="dxa"/>
            <w:tcBorders>
              <w:top w:val="single" w:sz="4" w:space="0" w:color="BFBFBF"/>
              <w:left w:val="single" w:sz="4" w:space="0" w:color="BFBFBF"/>
              <w:bottom w:val="single" w:sz="4" w:space="0" w:color="BFBFBF"/>
              <w:right w:val="single" w:sz="4" w:space="0" w:color="BFBFBF"/>
            </w:tcBorders>
          </w:tcPr>
          <w:p w:rsidR="00132811" w:rsidRDefault="00243C97">
            <w:r>
              <w:rPr>
                <w:sz w:val="18"/>
              </w:rPr>
              <w:t>40 Accepted · 25 Under discussion</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8"/>
              </w:rPr>
              <w:t>Nelson Textbook of Pediatrics</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17</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13</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4</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3</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b/>
                <w:sz w:val="18"/>
              </w:rPr>
              <w:t>43</w:t>
            </w:r>
          </w:p>
        </w:tc>
        <w:tc>
          <w:tcPr>
            <w:tcW w:w="3456"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8"/>
              </w:rPr>
              <w:t>43 Acknowledged</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tcPr>
          <w:p w:rsidR="00132811" w:rsidRDefault="00243C97">
            <w:r>
              <w:rPr>
                <w:sz w:val="18"/>
              </w:rPr>
              <w:t>Bailey &amp; Love's Short Practice of Surgery</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16</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9</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7</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4</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2</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sz w:val="18"/>
              </w:rPr>
              <w:t>38</w:t>
            </w:r>
          </w:p>
        </w:tc>
        <w:tc>
          <w:tcPr>
            <w:tcW w:w="3456" w:type="dxa"/>
            <w:tcBorders>
              <w:top w:val="single" w:sz="4" w:space="0" w:color="BFBFBF"/>
              <w:left w:val="single" w:sz="4" w:space="0" w:color="BFBFBF"/>
              <w:bottom w:val="single" w:sz="4" w:space="0" w:color="BFBFBF"/>
              <w:right w:val="single" w:sz="4" w:space="0" w:color="BFBFBF"/>
            </w:tcBorders>
          </w:tcPr>
          <w:p w:rsidR="00132811" w:rsidRDefault="00243C97" w:rsidP="00243C97">
            <w:r>
              <w:rPr>
                <w:rFonts w:hint="cs"/>
                <w:sz w:val="18"/>
                <w:rtl/>
              </w:rPr>
              <w:t>13</w:t>
            </w:r>
            <w:r>
              <w:rPr>
                <w:sz w:val="18"/>
              </w:rPr>
              <w:t xml:space="preserve"> Accepted · </w:t>
            </w:r>
            <w:r>
              <w:rPr>
                <w:rFonts w:hint="cs"/>
                <w:sz w:val="18"/>
                <w:rtl/>
              </w:rPr>
              <w:t>25</w:t>
            </w:r>
            <w:r>
              <w:rPr>
                <w:sz w:val="18"/>
              </w:rPr>
              <w:t xml:space="preserve"> Forwarded</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8"/>
              </w:rPr>
              <w:t>Apley &amp; Solomon's Orthopaedics &amp; Trauma</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8</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4</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0</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3</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4</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b/>
                <w:sz w:val="18"/>
              </w:rPr>
              <w:t>19</w:t>
            </w:r>
          </w:p>
        </w:tc>
        <w:tc>
          <w:tcPr>
            <w:tcW w:w="3456"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8"/>
              </w:rPr>
              <w:t>19 Forwarded</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tcPr>
          <w:p w:rsidR="00132811" w:rsidRDefault="00243C97">
            <w:r>
              <w:rPr>
                <w:sz w:val="18"/>
              </w:rPr>
              <w:t>Dermatology Essentials (2nd ed.)</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5</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0</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0</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4</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2</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sz w:val="18"/>
              </w:rPr>
              <w:t>11</w:t>
            </w:r>
          </w:p>
        </w:tc>
        <w:tc>
          <w:tcPr>
            <w:tcW w:w="3456" w:type="dxa"/>
            <w:tcBorders>
              <w:top w:val="single" w:sz="4" w:space="0" w:color="BFBFBF"/>
              <w:left w:val="single" w:sz="4" w:space="0" w:color="BFBFBF"/>
              <w:bottom w:val="single" w:sz="4" w:space="0" w:color="BFBFBF"/>
              <w:right w:val="single" w:sz="4" w:space="0" w:color="BFBFBF"/>
            </w:tcBorders>
          </w:tcPr>
          <w:p w:rsidR="00132811" w:rsidRDefault="00243C97">
            <w:r>
              <w:rPr>
                <w:sz w:val="18"/>
              </w:rPr>
              <w:t>11 Under discussion</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8"/>
              </w:rPr>
              <w:t>Principles of Neurological Surgery (4th ed.)</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5</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3</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0</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2</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1</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b/>
                <w:sz w:val="18"/>
              </w:rPr>
              <w:t>11</w:t>
            </w:r>
          </w:p>
        </w:tc>
        <w:tc>
          <w:tcPr>
            <w:tcW w:w="3456"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8"/>
              </w:rPr>
              <w:t>11 Forwarded</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tcPr>
          <w:p w:rsidR="00132811" w:rsidRDefault="00243C97">
            <w:r>
              <w:rPr>
                <w:sz w:val="18"/>
              </w:rPr>
              <w:t>Orthobullets (online platform)</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3</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1</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0</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2</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2</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sz w:val="18"/>
              </w:rPr>
              <w:t>8</w:t>
            </w:r>
          </w:p>
        </w:tc>
        <w:tc>
          <w:tcPr>
            <w:tcW w:w="3456" w:type="dxa"/>
            <w:tcBorders>
              <w:top w:val="single" w:sz="4" w:space="0" w:color="BFBFBF"/>
              <w:left w:val="single" w:sz="4" w:space="0" w:color="BFBFBF"/>
              <w:bottom w:val="single" w:sz="4" w:space="0" w:color="BFBFBF"/>
              <w:right w:val="single" w:sz="4" w:space="0" w:color="BFBFBF"/>
            </w:tcBorders>
          </w:tcPr>
          <w:p w:rsidR="00132811" w:rsidRDefault="00243C97">
            <w:r>
              <w:rPr>
                <w:sz w:val="18"/>
              </w:rPr>
              <w:t>8 Forwarded</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8"/>
              </w:rPr>
              <w:lastRenderedPageBreak/>
              <w:t>Essentials of Plastic Surgery</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4</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3</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0</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1</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0</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b/>
                <w:sz w:val="18"/>
              </w:rPr>
              <w:t>8</w:t>
            </w:r>
          </w:p>
        </w:tc>
        <w:tc>
          <w:tcPr>
            <w:tcW w:w="3456"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8"/>
              </w:rPr>
              <w:t>8 Incorporated</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tcPr>
          <w:p w:rsidR="00132811" w:rsidRDefault="00243C97">
            <w:r>
              <w:rPr>
                <w:sz w:val="18"/>
              </w:rPr>
              <w:t>Basic and Clinical Pharmacology (Katzung)</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2</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2</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3</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0</w:t>
            </w:r>
          </w:p>
        </w:tc>
        <w:tc>
          <w:tcPr>
            <w:tcW w:w="64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18"/>
              </w:rPr>
              <w:t>0</w:t>
            </w:r>
          </w:p>
        </w:tc>
        <w:tc>
          <w:tcPr>
            <w:tcW w:w="72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b/>
                <w:sz w:val="18"/>
              </w:rPr>
              <w:t>7</w:t>
            </w:r>
          </w:p>
        </w:tc>
        <w:tc>
          <w:tcPr>
            <w:tcW w:w="3456" w:type="dxa"/>
            <w:tcBorders>
              <w:top w:val="single" w:sz="4" w:space="0" w:color="BFBFBF"/>
              <w:left w:val="single" w:sz="4" w:space="0" w:color="BFBFBF"/>
              <w:bottom w:val="single" w:sz="4" w:space="0" w:color="BFBFBF"/>
              <w:right w:val="single" w:sz="4" w:space="0" w:color="BFBFBF"/>
            </w:tcBorders>
          </w:tcPr>
          <w:p w:rsidR="00132811" w:rsidRDefault="00243C97">
            <w:r>
              <w:rPr>
                <w:sz w:val="18"/>
              </w:rPr>
              <w:t>7 Accepted</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8"/>
              </w:rPr>
              <w:t>Macleod's Clinical Examination (15th ed.)</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0</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1</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0</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1</w:t>
            </w:r>
          </w:p>
        </w:tc>
        <w:tc>
          <w:tcPr>
            <w:tcW w:w="64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18"/>
              </w:rPr>
              <w:t>1</w:t>
            </w:r>
          </w:p>
        </w:tc>
        <w:tc>
          <w:tcPr>
            <w:tcW w:w="72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b/>
                <w:sz w:val="18"/>
              </w:rPr>
              <w:t>3</w:t>
            </w:r>
          </w:p>
        </w:tc>
        <w:tc>
          <w:tcPr>
            <w:tcW w:w="3456"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sz w:val="18"/>
              </w:rPr>
              <w:t>3 Accepted</w:t>
            </w:r>
          </w:p>
        </w:tc>
      </w:tr>
      <w:tr w:rsidR="00132811">
        <w:trPr>
          <w:jc w:val="center"/>
        </w:trPr>
        <w:tc>
          <w:tcPr>
            <w:tcW w:w="3024"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r>
              <w:rPr>
                <w:b/>
                <w:color w:val="FFFFFF"/>
                <w:sz w:val="18"/>
              </w:rPr>
              <w:t>TOTAL</w:t>
            </w:r>
          </w:p>
        </w:tc>
        <w:tc>
          <w:tcPr>
            <w:tcW w:w="64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88</w:t>
            </w:r>
          </w:p>
        </w:tc>
        <w:tc>
          <w:tcPr>
            <w:tcW w:w="64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50</w:t>
            </w:r>
          </w:p>
        </w:tc>
        <w:tc>
          <w:tcPr>
            <w:tcW w:w="72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28</w:t>
            </w:r>
          </w:p>
        </w:tc>
        <w:tc>
          <w:tcPr>
            <w:tcW w:w="72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28</w:t>
            </w:r>
          </w:p>
        </w:tc>
        <w:tc>
          <w:tcPr>
            <w:tcW w:w="64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19</w:t>
            </w:r>
          </w:p>
        </w:tc>
        <w:tc>
          <w:tcPr>
            <w:tcW w:w="72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18"/>
              </w:rPr>
              <w:t>213</w:t>
            </w:r>
          </w:p>
        </w:tc>
        <w:tc>
          <w:tcPr>
            <w:tcW w:w="3456"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rsidP="00243C97">
            <w:r>
              <w:rPr>
                <w:b/>
                <w:color w:val="FFFFFF"/>
                <w:sz w:val="18"/>
              </w:rPr>
              <w:t>1</w:t>
            </w:r>
            <w:r>
              <w:rPr>
                <w:rFonts w:hint="cs"/>
                <w:b/>
                <w:color w:val="FFFFFF"/>
                <w:sz w:val="18"/>
                <w:rtl/>
              </w:rPr>
              <w:t>14</w:t>
            </w:r>
            <w:r>
              <w:rPr>
                <w:b/>
                <w:color w:val="FFFFFF"/>
                <w:sz w:val="18"/>
              </w:rPr>
              <w:t xml:space="preserve"> Accepted/Incorporated · </w:t>
            </w:r>
            <w:r>
              <w:rPr>
                <w:rFonts w:hint="cs"/>
                <w:b/>
                <w:color w:val="FFFFFF"/>
                <w:sz w:val="18"/>
                <w:rtl/>
              </w:rPr>
              <w:t>63</w:t>
            </w:r>
            <w:r>
              <w:rPr>
                <w:b/>
                <w:color w:val="FFFFFF"/>
                <w:sz w:val="18"/>
              </w:rPr>
              <w:t xml:space="preserve"> Forwarded/Acknowledged · 36 Under discussion</w:t>
            </w:r>
          </w:p>
        </w:tc>
      </w:tr>
    </w:tbl>
    <w:p w:rsidR="00132811" w:rsidRDefault="00132811">
      <w:pPr>
        <w:spacing w:after="120"/>
      </w:pPr>
    </w:p>
    <w:p w:rsidR="00132811" w:rsidRDefault="00243C97">
      <w:pPr>
        <w:spacing w:before="160" w:after="60"/>
      </w:pPr>
      <w:r>
        <w:rPr>
          <w:b/>
          <w:color w:val="1F3864"/>
          <w:sz w:val="22"/>
        </w:rPr>
        <w:t>Table B — Distribution by error classification</w:t>
      </w:r>
    </w:p>
    <w:tbl>
      <w:tblPr>
        <w:tblW w:w="0" w:type="auto"/>
        <w:jc w:val="center"/>
        <w:tblLook w:val="04A0" w:firstRow="1" w:lastRow="0" w:firstColumn="1" w:lastColumn="0" w:noHBand="0" w:noVBand="1"/>
      </w:tblPr>
      <w:tblGrid>
        <w:gridCol w:w="5760"/>
        <w:gridCol w:w="1440"/>
        <w:gridCol w:w="1728"/>
      </w:tblGrid>
      <w:tr w:rsidR="00132811">
        <w:trPr>
          <w:jc w:val="center"/>
        </w:trPr>
        <w:tc>
          <w:tcPr>
            <w:tcW w:w="576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Classification</w:t>
            </w:r>
          </w:p>
        </w:tc>
        <w:tc>
          <w:tcPr>
            <w:tcW w:w="144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Count</w:t>
            </w:r>
          </w:p>
        </w:tc>
        <w:tc>
          <w:tcPr>
            <w:tcW w:w="172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 of total</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tcPr>
          <w:p w:rsidR="00132811" w:rsidRDefault="00243C97">
            <w:r>
              <w:rPr>
                <w:b/>
                <w:sz w:val="20"/>
              </w:rPr>
              <w:t>Type I — Factual inaccuracy</w:t>
            </w:r>
          </w:p>
        </w:tc>
        <w:tc>
          <w:tcPr>
            <w:tcW w:w="144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88</w:t>
            </w:r>
          </w:p>
        </w:tc>
        <w:tc>
          <w:tcPr>
            <w:tcW w:w="172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41%</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b/>
                <w:sz w:val="20"/>
              </w:rPr>
              <w:t>Type II — Critical omission</w:t>
            </w:r>
          </w:p>
        </w:tc>
        <w:tc>
          <w:tcPr>
            <w:tcW w:w="144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20"/>
              </w:rPr>
              <w:t>50</w:t>
            </w:r>
          </w:p>
        </w:tc>
        <w:tc>
          <w:tcPr>
            <w:tcW w:w="172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20"/>
              </w:rPr>
              <w:t>23%</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tcPr>
          <w:p w:rsidR="00132811" w:rsidRDefault="00243C97">
            <w:r>
              <w:rPr>
                <w:b/>
                <w:sz w:val="20"/>
              </w:rPr>
              <w:t>Type III — Outdated clinical recommendation</w:t>
            </w:r>
          </w:p>
        </w:tc>
        <w:tc>
          <w:tcPr>
            <w:tcW w:w="144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28</w:t>
            </w:r>
          </w:p>
        </w:tc>
        <w:tc>
          <w:tcPr>
            <w:tcW w:w="172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13%</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b/>
                <w:sz w:val="20"/>
              </w:rPr>
              <w:t>Type IV — Terminological / nomenclature</w:t>
            </w:r>
          </w:p>
        </w:tc>
        <w:tc>
          <w:tcPr>
            <w:tcW w:w="144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20"/>
              </w:rPr>
              <w:t>28</w:t>
            </w:r>
          </w:p>
        </w:tc>
        <w:tc>
          <w:tcPr>
            <w:tcW w:w="172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20"/>
              </w:rPr>
              <w:t>13%</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tcPr>
          <w:p w:rsidR="00132811" w:rsidRDefault="00243C97">
            <w:r>
              <w:rPr>
                <w:b/>
                <w:sz w:val="20"/>
              </w:rPr>
              <w:t>Type V — Classification error</w:t>
            </w:r>
          </w:p>
        </w:tc>
        <w:tc>
          <w:tcPr>
            <w:tcW w:w="144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19</w:t>
            </w:r>
          </w:p>
        </w:tc>
        <w:tc>
          <w:tcPr>
            <w:tcW w:w="172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9%</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r>
              <w:rPr>
                <w:b/>
                <w:color w:val="FFFFFF"/>
                <w:sz w:val="20"/>
              </w:rPr>
              <w:t>TOTAL</w:t>
            </w:r>
          </w:p>
        </w:tc>
        <w:tc>
          <w:tcPr>
            <w:tcW w:w="144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213</w:t>
            </w:r>
          </w:p>
        </w:tc>
        <w:tc>
          <w:tcPr>
            <w:tcW w:w="172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100%</w:t>
            </w:r>
          </w:p>
        </w:tc>
      </w:tr>
    </w:tbl>
    <w:p w:rsidR="00132811" w:rsidRDefault="00132811">
      <w:pPr>
        <w:spacing w:after="120"/>
      </w:pPr>
    </w:p>
    <w:p w:rsidR="00132811" w:rsidRDefault="00243C97">
      <w:pPr>
        <w:spacing w:before="160" w:after="60"/>
      </w:pPr>
      <w:r>
        <w:rPr>
          <w:b/>
          <w:color w:val="1F3864"/>
          <w:sz w:val="22"/>
        </w:rPr>
        <w:t>Table C — Distribution by editorial status</w:t>
      </w:r>
    </w:p>
    <w:tbl>
      <w:tblPr>
        <w:tblW w:w="0" w:type="auto"/>
        <w:jc w:val="center"/>
        <w:tblLook w:val="04A0" w:firstRow="1" w:lastRow="0" w:firstColumn="1" w:lastColumn="0" w:noHBand="0" w:noVBand="1"/>
      </w:tblPr>
      <w:tblGrid>
        <w:gridCol w:w="5760"/>
        <w:gridCol w:w="1440"/>
        <w:gridCol w:w="1728"/>
      </w:tblGrid>
      <w:tr w:rsidR="00132811">
        <w:trPr>
          <w:jc w:val="center"/>
        </w:trPr>
        <w:tc>
          <w:tcPr>
            <w:tcW w:w="576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Editorial status</w:t>
            </w:r>
          </w:p>
        </w:tc>
        <w:tc>
          <w:tcPr>
            <w:tcW w:w="144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Count</w:t>
            </w:r>
          </w:p>
        </w:tc>
        <w:tc>
          <w:tcPr>
            <w:tcW w:w="172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 of total</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tcPr>
          <w:p w:rsidR="00132811" w:rsidRDefault="00243C97">
            <w:r>
              <w:rPr>
                <w:b/>
                <w:sz w:val="20"/>
              </w:rPr>
              <w:t>Accepted</w:t>
            </w:r>
          </w:p>
        </w:tc>
        <w:tc>
          <w:tcPr>
            <w:tcW w:w="144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rFonts w:hint="cs"/>
                <w:sz w:val="20"/>
                <w:rtl/>
              </w:rPr>
              <w:t>106</w:t>
            </w:r>
          </w:p>
        </w:tc>
        <w:tc>
          <w:tcPr>
            <w:tcW w:w="172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4</w:t>
            </w:r>
            <w:r>
              <w:rPr>
                <w:rFonts w:hint="cs"/>
                <w:sz w:val="20"/>
                <w:rtl/>
              </w:rPr>
              <w:t>9</w:t>
            </w:r>
            <w:r>
              <w:rPr>
                <w:sz w:val="20"/>
              </w:rPr>
              <w:t>.8%</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b/>
                <w:sz w:val="20"/>
              </w:rPr>
              <w:t>Incorporated</w:t>
            </w:r>
          </w:p>
        </w:tc>
        <w:tc>
          <w:tcPr>
            <w:tcW w:w="144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20"/>
              </w:rPr>
              <w:t>8</w:t>
            </w:r>
          </w:p>
        </w:tc>
        <w:tc>
          <w:tcPr>
            <w:tcW w:w="172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20"/>
              </w:rPr>
              <w:t>4%</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tcPr>
          <w:p w:rsidR="00132811" w:rsidRDefault="00243C97">
            <w:r>
              <w:rPr>
                <w:b/>
                <w:sz w:val="20"/>
              </w:rPr>
              <w:t>Acknowledged</w:t>
            </w:r>
          </w:p>
        </w:tc>
        <w:tc>
          <w:tcPr>
            <w:tcW w:w="144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43</w:t>
            </w:r>
          </w:p>
        </w:tc>
        <w:tc>
          <w:tcPr>
            <w:tcW w:w="172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20%</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r>
              <w:rPr>
                <w:b/>
                <w:sz w:val="20"/>
              </w:rPr>
              <w:t>Forwarded</w:t>
            </w:r>
          </w:p>
        </w:tc>
        <w:tc>
          <w:tcPr>
            <w:tcW w:w="1440"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243C97">
            <w:pPr>
              <w:jc w:val="center"/>
            </w:pPr>
            <w:r>
              <w:rPr>
                <w:sz w:val="20"/>
              </w:rPr>
              <w:t>2</w:t>
            </w:r>
            <w:r>
              <w:rPr>
                <w:rFonts w:hint="cs"/>
                <w:sz w:val="20"/>
                <w:rtl/>
              </w:rPr>
              <w:t>0</w:t>
            </w:r>
          </w:p>
        </w:tc>
        <w:tc>
          <w:tcPr>
            <w:tcW w:w="1728" w:type="dxa"/>
            <w:tcBorders>
              <w:top w:val="single" w:sz="4" w:space="0" w:color="BFBFBF"/>
              <w:left w:val="single" w:sz="4" w:space="0" w:color="BFBFBF"/>
              <w:bottom w:val="single" w:sz="4" w:space="0" w:color="BFBFBF"/>
              <w:right w:val="single" w:sz="4" w:space="0" w:color="BFBFBF"/>
            </w:tcBorders>
            <w:shd w:val="clear" w:color="auto" w:fill="F5F7FB"/>
          </w:tcPr>
          <w:p w:rsidR="00132811" w:rsidRDefault="001A108E">
            <w:pPr>
              <w:jc w:val="center"/>
            </w:pPr>
            <w:r>
              <w:rPr>
                <w:sz w:val="20"/>
              </w:rPr>
              <w:t>9.2</w:t>
            </w:r>
            <w:r w:rsidR="00243C97">
              <w:rPr>
                <w:sz w:val="20"/>
              </w:rPr>
              <w:t>%</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tcPr>
          <w:p w:rsidR="00132811" w:rsidRDefault="00243C97">
            <w:r>
              <w:rPr>
                <w:b/>
                <w:sz w:val="20"/>
              </w:rPr>
              <w:t>Under discussion</w:t>
            </w:r>
          </w:p>
        </w:tc>
        <w:tc>
          <w:tcPr>
            <w:tcW w:w="1440"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36</w:t>
            </w:r>
          </w:p>
        </w:tc>
        <w:tc>
          <w:tcPr>
            <w:tcW w:w="1728" w:type="dxa"/>
            <w:tcBorders>
              <w:top w:val="single" w:sz="4" w:space="0" w:color="BFBFBF"/>
              <w:left w:val="single" w:sz="4" w:space="0" w:color="BFBFBF"/>
              <w:bottom w:val="single" w:sz="4" w:space="0" w:color="BFBFBF"/>
              <w:right w:val="single" w:sz="4" w:space="0" w:color="BFBFBF"/>
            </w:tcBorders>
          </w:tcPr>
          <w:p w:rsidR="00132811" w:rsidRDefault="00243C97">
            <w:pPr>
              <w:jc w:val="center"/>
            </w:pPr>
            <w:r>
              <w:rPr>
                <w:sz w:val="20"/>
              </w:rPr>
              <w:t>17%</w:t>
            </w:r>
          </w:p>
        </w:tc>
      </w:tr>
      <w:tr w:rsidR="00132811">
        <w:trPr>
          <w:jc w:val="center"/>
        </w:trPr>
        <w:tc>
          <w:tcPr>
            <w:tcW w:w="576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r>
              <w:rPr>
                <w:b/>
                <w:color w:val="FFFFFF"/>
                <w:sz w:val="20"/>
              </w:rPr>
              <w:t>TOTAL</w:t>
            </w:r>
          </w:p>
        </w:tc>
        <w:tc>
          <w:tcPr>
            <w:tcW w:w="1440"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213</w:t>
            </w:r>
          </w:p>
        </w:tc>
        <w:tc>
          <w:tcPr>
            <w:tcW w:w="1728" w:type="dxa"/>
            <w:tcBorders>
              <w:top w:val="single" w:sz="4" w:space="0" w:color="BFBFBF"/>
              <w:left w:val="single" w:sz="4" w:space="0" w:color="BFBFBF"/>
              <w:bottom w:val="single" w:sz="4" w:space="0" w:color="BFBFBF"/>
              <w:right w:val="single" w:sz="4" w:space="0" w:color="BFBFBF"/>
            </w:tcBorders>
            <w:shd w:val="clear" w:color="auto" w:fill="1F3864"/>
          </w:tcPr>
          <w:p w:rsidR="00132811" w:rsidRDefault="00243C97">
            <w:pPr>
              <w:jc w:val="center"/>
            </w:pPr>
            <w:r>
              <w:rPr>
                <w:b/>
                <w:color w:val="FFFFFF"/>
                <w:sz w:val="20"/>
              </w:rPr>
              <w:t>100%</w:t>
            </w:r>
          </w:p>
        </w:tc>
      </w:tr>
    </w:tbl>
    <w:p w:rsidR="00132811" w:rsidRDefault="00132811">
      <w:pPr>
        <w:spacing w:after="120"/>
      </w:pPr>
    </w:p>
    <w:p w:rsidR="00132811" w:rsidRDefault="00243C97">
      <w:pPr>
        <w:spacing w:after="80" w:line="288" w:lineRule="auto"/>
        <w:jc w:val="both"/>
      </w:pPr>
      <w:r>
        <w:rPr>
          <w:i/>
          <w:color w:val="606060"/>
          <w:sz w:val="18"/>
        </w:rPr>
        <w:t>These statistics are fully consistent with the corresponding figures and tables in the accompanying BMC Medical Education manuscript ("The accuracy gap" — Figure 1B, Table 1, and Results narrative). The 213 total sub-contributions, the per-resource breakdown, the per-</w:t>
      </w:r>
      <w:bookmarkStart w:id="0" w:name="_GoBack"/>
      <w:bookmarkEnd w:id="0"/>
      <w:r>
        <w:rPr>
          <w:i/>
          <w:color w:val="606060"/>
          <w:sz w:val="18"/>
        </w:rPr>
        <w:t>classification distribution, and the editorial response cascade match the manuscript values exactly.</w:t>
      </w:r>
    </w:p>
    <w:sectPr w:rsidR="00132811"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2811"/>
    <w:rsid w:val="001466FF"/>
    <w:rsid w:val="0015074B"/>
    <w:rsid w:val="001A108E"/>
    <w:rsid w:val="00243C97"/>
    <w:rsid w:val="0029639D"/>
    <w:rsid w:val="00326F90"/>
    <w:rsid w:val="00AA1D8D"/>
    <w:rsid w:val="00B47730"/>
    <w:rsid w:val="00BD033F"/>
    <w:rsid w:val="00CB0664"/>
    <w:rsid w:val="00FC693F"/>
    <w:rsid w:val="00FE26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AFA1FBD-3374-49B4-9E97-2E9B3BF1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49B7A-2A09-4C0C-92CB-F34B5ED5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13639</Words>
  <Characters>77747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DISCOVERY</cp:lastModifiedBy>
  <cp:revision>2</cp:revision>
  <dcterms:created xsi:type="dcterms:W3CDTF">2026-05-29T19:24:00Z</dcterms:created>
  <dcterms:modified xsi:type="dcterms:W3CDTF">2026-05-29T19:24:00Z</dcterms:modified>
  <cp:category/>
</cp:coreProperties>
</file>