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02" w:rsidRDefault="00870702">
      <w:pPr>
        <w:spacing w:before="1600"/>
      </w:pPr>
    </w:p>
    <w:p w:rsidR="00870702" w:rsidRDefault="008D3C85">
      <w:pPr>
        <w:spacing w:before="200" w:after="200"/>
        <w:jc w:val="center"/>
      </w:pPr>
      <w:r>
        <w:rPr>
          <w:b/>
          <w:bCs/>
          <w:color w:val="1F3864"/>
          <w:sz w:val="56"/>
          <w:szCs w:val="56"/>
        </w:rPr>
        <w:t>MASTER DOSSIER</w:t>
      </w:r>
    </w:p>
    <w:p w:rsidR="00870702" w:rsidRDefault="008D3C85">
      <w:pPr>
        <w:spacing w:before="100" w:after="100"/>
        <w:jc w:val="center"/>
      </w:pPr>
      <w:r>
        <w:rPr>
          <w:i/>
          <w:iCs/>
          <w:color w:val="2E75B6"/>
          <w:sz w:val="28"/>
          <w:szCs w:val="28"/>
        </w:rPr>
        <w:t>Event archive: 213 post-publication accuracy events across ten internationally disseminated medical educational resources</w:t>
      </w:r>
    </w:p>
    <w:p w:rsidR="00870702" w:rsidRDefault="008D3C85">
      <w:pPr>
        <w:spacing w:before="1200" w:after="100"/>
        <w:jc w:val="center"/>
      </w:pPr>
      <w:r>
        <w:rPr>
          <w:b/>
          <w:bCs/>
          <w:sz w:val="32"/>
          <w:szCs w:val="32"/>
        </w:rPr>
        <w:t>Mohammed Waleed Abdullah</w:t>
      </w:r>
    </w:p>
    <w:p w:rsidR="00870702" w:rsidRDefault="008D3C85">
      <w:pPr>
        <w:spacing w:before="80" w:after="80"/>
        <w:jc w:val="center"/>
      </w:pPr>
      <w:r>
        <w:rPr>
          <w:i/>
          <w:iCs/>
        </w:rPr>
        <w:t>Medical Student</w:t>
      </w:r>
    </w:p>
    <w:p w:rsidR="00870702" w:rsidRDefault="008D3C85">
      <w:pPr>
        <w:spacing w:before="80" w:after="80"/>
        <w:jc w:val="center"/>
      </w:pPr>
      <w:r>
        <w:t>Independent Researcher</w:t>
      </w:r>
    </w:p>
    <w:p w:rsidR="00870702" w:rsidRDefault="008D3C85">
      <w:pPr>
        <w:spacing w:before="80" w:after="600"/>
        <w:jc w:val="center"/>
      </w:pPr>
      <w:r>
        <w:rPr>
          <w:i/>
          <w:iCs/>
          <w:color w:val="606060"/>
          <w:sz w:val="20"/>
          <w:szCs w:val="20"/>
        </w:rPr>
        <w:t>Sole-authored independent audit — no institutional support, no external funding, no co-investigators</w:t>
      </w:r>
    </w:p>
    <w:p w:rsidR="00870702" w:rsidRDefault="008D3C85">
      <w:pPr>
        <w:spacing w:before="800" w:after="100"/>
        <w:jc w:val="center"/>
      </w:pPr>
      <w:r>
        <w:rPr>
          <w:b/>
          <w:bCs/>
          <w:color w:val="C00000"/>
        </w:rPr>
        <w:t>Supplementary Material 1 — companion to the BMC Medical Education manuscript</w:t>
      </w:r>
    </w:p>
    <w:p w:rsidR="00870702" w:rsidRDefault="008D3C85">
      <w:r>
        <w:br w:type="page"/>
      </w:r>
    </w:p>
    <w:p w:rsidR="00870702" w:rsidRDefault="008D3C85">
      <w:pPr>
        <w:pStyle w:val="Heading1"/>
        <w:jc w:val="center"/>
      </w:pPr>
      <w:r>
        <w:lastRenderedPageBreak/>
        <w:t>Summary of events across all source resources</w:t>
      </w:r>
    </w:p>
    <w:p w:rsidR="00870702" w:rsidRDefault="00870702">
      <w:pPr>
        <w:spacing w:before="1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500"/>
        <w:gridCol w:w="1500"/>
        <w:gridCol w:w="1760"/>
      </w:tblGrid>
      <w:tr w:rsidR="0087070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55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Reference Work</w:t>
            </w:r>
          </w:p>
        </w:tc>
        <w:tc>
          <w:tcPr>
            <w:tcW w:w="15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Events (n)</w:t>
            </w:r>
          </w:p>
        </w:tc>
        <w:tc>
          <w:tcPr>
            <w:tcW w:w="17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</w:t>
            </w:r>
            <w:r>
              <w:rPr>
                <w:b/>
                <w:bCs/>
                <w:color w:val="FFFFFF"/>
              </w:rPr>
              <w:t>ditorial Status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r>
              <w:rPr>
                <w:sz w:val="20"/>
                <w:szCs w:val="20"/>
              </w:rPr>
              <w:t>Bailey &amp; Love's Short Practice of Surgery (28th ed.)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  <w:sz w:val="24"/>
                <w:szCs w:val="24"/>
              </w:rPr>
              <w:t>38</w:t>
            </w:r>
          </w:p>
        </w:tc>
        <w:tc>
          <w:tcPr>
            <w:tcW w:w="17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sz w:val="18"/>
                <w:szCs w:val="18"/>
              </w:rPr>
              <w:t>13 ✓ Accepted · 25 Forwarded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r>
              <w:rPr>
                <w:sz w:val="20"/>
                <w:szCs w:val="20"/>
              </w:rPr>
              <w:t>Plastic Surgery — Hand Spaces (Elsevier / Karen)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  <w:sz w:val="24"/>
                <w:szCs w:val="24"/>
              </w:rPr>
              <w:t>8</w:t>
            </w:r>
          </w:p>
        </w:tc>
        <w:tc>
          <w:tcPr>
            <w:tcW w:w="17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Implemented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r>
              <w:rPr>
                <w:sz w:val="20"/>
                <w:szCs w:val="20"/>
              </w:rPr>
              <w:t>Macleod's Clinical Examination (15th ed.)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Accepted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r>
              <w:rPr>
                <w:sz w:val="20"/>
                <w:szCs w:val="20"/>
              </w:rPr>
              <w:t>Davidson's Principles and Practice of Medicine (24th ed.)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  <w:sz w:val="24"/>
                <w:szCs w:val="24"/>
              </w:rPr>
              <w:t>65</w:t>
            </w:r>
          </w:p>
        </w:tc>
        <w:tc>
          <w:tcPr>
            <w:tcW w:w="17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sz w:val="18"/>
                <w:szCs w:val="18"/>
              </w:rPr>
              <w:t>Mostly ✓ Accepted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r>
              <w:rPr>
                <w:sz w:val="20"/>
                <w:szCs w:val="20"/>
              </w:rPr>
              <w:t>Nelson Textbook of Pediatrics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  <w:sz w:val="24"/>
                <w:szCs w:val="24"/>
              </w:rPr>
              <w:t>43</w:t>
            </w:r>
          </w:p>
        </w:tc>
        <w:tc>
          <w:tcPr>
            <w:tcW w:w="17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 for revision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r>
              <w:rPr>
                <w:sz w:val="20"/>
                <w:szCs w:val="20"/>
              </w:rPr>
              <w:t>Principles of Neurological Surgery (4th ed.)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  <w:sz w:val="24"/>
                <w:szCs w:val="24"/>
              </w:rPr>
              <w:t>11</w:t>
            </w:r>
          </w:p>
        </w:tc>
        <w:tc>
          <w:tcPr>
            <w:tcW w:w="17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sz w:val="18"/>
                <w:szCs w:val="18"/>
              </w:rPr>
              <w:t>Forwarded for editorial revision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r>
              <w:rPr>
                <w:sz w:val="20"/>
                <w:szCs w:val="20"/>
              </w:rPr>
              <w:t>Dermatology Essentials (2nd ed.)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  <w:sz w:val="24"/>
                <w:szCs w:val="24"/>
              </w:rPr>
              <w:t>11</w:t>
            </w:r>
          </w:p>
        </w:tc>
        <w:tc>
          <w:tcPr>
            <w:tcW w:w="17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sz w:val="18"/>
                <w:szCs w:val="18"/>
              </w:rPr>
              <w:t>Discussion ongoing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r>
              <w:rPr>
                <w:sz w:val="20"/>
                <w:szCs w:val="20"/>
              </w:rPr>
              <w:t>Basic and Clinical Pharmacology (Katzung, 2013)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  <w:sz w:val="24"/>
                <w:szCs w:val="24"/>
              </w:rPr>
              <w:t>7</w:t>
            </w:r>
          </w:p>
        </w:tc>
        <w:tc>
          <w:tcPr>
            <w:tcW w:w="17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Accepted for new edition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r>
              <w:rPr>
                <w:sz w:val="20"/>
                <w:szCs w:val="20"/>
              </w:rPr>
              <w:t>Apley &amp; Solomon's System of Orthopaedics and Trauma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  <w:sz w:val="24"/>
                <w:szCs w:val="24"/>
              </w:rPr>
              <w:t>19</w:t>
            </w:r>
          </w:p>
        </w:tc>
        <w:tc>
          <w:tcPr>
            <w:tcW w:w="17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sz w:val="18"/>
                <w:szCs w:val="18"/>
              </w:rPr>
              <w:t>Forwarded to next editor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r>
              <w:rPr>
                <w:sz w:val="20"/>
                <w:szCs w:val="20"/>
              </w:rPr>
              <w:t>Orthobullets — Sciatic Nerve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  <w:sz w:val="24"/>
                <w:szCs w:val="24"/>
              </w:rPr>
              <w:t>8</w:t>
            </w:r>
          </w:p>
        </w:tc>
        <w:tc>
          <w:tcPr>
            <w:tcW w:w="17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0702" w:rsidRDefault="008D3C85">
            <w:pPr>
              <w:jc w:val="center"/>
            </w:pPr>
            <w:r>
              <w:rPr>
                <w:sz w:val="18"/>
                <w:szCs w:val="18"/>
              </w:rPr>
              <w:t>Forwarded for review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6100" w:type="dxa"/>
            <w:gridSpan w:val="2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0702" w:rsidRDefault="008D3C85">
            <w:pPr>
              <w:jc w:val="right"/>
            </w:pPr>
            <w:r>
              <w:rPr>
                <w:b/>
                <w:bCs/>
                <w:color w:val="FFFFFF"/>
                <w:sz w:val="26"/>
                <w:szCs w:val="26"/>
              </w:rPr>
              <w:t>TOTAL INDEPENDENT SUB-CONTRIBUTIONS</w:t>
            </w:r>
          </w:p>
        </w:tc>
        <w:tc>
          <w:tcPr>
            <w:tcW w:w="15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213</w:t>
            </w:r>
          </w:p>
        </w:tc>
        <w:tc>
          <w:tcPr>
            <w:tcW w:w="17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0702" w:rsidRDefault="008D3C85">
            <w:pPr>
              <w:jc w:val="center"/>
            </w:pPr>
            <w:r>
              <w:rPr>
                <w:i/>
                <w:iCs/>
                <w:color w:val="FFFFFF"/>
                <w:sz w:val="18"/>
                <w:szCs w:val="18"/>
              </w:rPr>
              <w:t>across 10 reference works</w:t>
            </w:r>
          </w:p>
        </w:tc>
      </w:tr>
    </w:tbl>
    <w:p w:rsidR="00870702" w:rsidRDefault="008D3C85">
      <w:r>
        <w:br w:type="page"/>
      </w:r>
    </w:p>
    <w:p w:rsidR="00870702" w:rsidRDefault="008D3C85">
      <w:pPr>
        <w:pStyle w:val="Heading1"/>
        <w:jc w:val="center"/>
      </w:pPr>
      <w:r>
        <w:lastRenderedPageBreak/>
        <w:t>Book 1 — Bailey &amp; Love's Short Practice of Surgery (28th Edition)</w:t>
      </w:r>
    </w:p>
    <w:p w:rsidR="00870702" w:rsidRDefault="008D3C85">
      <w:pPr>
        <w:spacing w:before="60" w:after="200"/>
        <w:jc w:val="center"/>
      </w:pPr>
      <w:r>
        <w:rPr>
          <w:b/>
          <w:bCs/>
          <w:color w:val="C00000"/>
        </w:rPr>
        <w:t>Total: 38 independent sub-contributions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300"/>
        <w:gridCol w:w="3300"/>
        <w:gridCol w:w="1860"/>
      </w:tblGrid>
      <w:tr w:rsidR="0087070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Issue Identified in Text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Correction &amp; Supporting References</w:t>
            </w:r>
          </w:p>
        </w:tc>
        <w:tc>
          <w:tcPr>
            <w:tcW w:w="18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Editorial Response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Hypercalcaemic Crisis, p. 876 — clinical presentation, blood-pressure changes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Early-crisis hypertension not described.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Hypertension is frequently observed in early hypercalcaemic crisis due to increased vascular tone, with significant perioperative implications.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Harrison's Principles of Internal Medicine, 21st ed.; Williams Textbook of Endocrinology, 14th ed.; O</w:t>
            </w:r>
            <w:r>
              <w:rPr>
                <w:sz w:val="18"/>
                <w:szCs w:val="18"/>
              </w:rPr>
              <w:t>xford Handbook of Endocrinology and Diabetes, 4th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by Editor (Prof. P. R. O'Connell) for incorporation into the 29th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Transition to hypotension and circulatory collapse not described.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As crisis progresses, hypotension may develop, indicating circulatory collapse and multi-organ dysfunction.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Williams Textbook of Endocrinology, 14th ed.; Harrison's 21st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for incorporation into the 29th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 xml:space="preserve">Clinical-pearl </w:t>
            </w:r>
            <w:r>
              <w:rPr>
                <w:sz w:val="18"/>
                <w:szCs w:val="18"/>
              </w:rPr>
              <w:t>on HTN→hypotension transition for perioperative fluid management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Recognising the transition from hypertension to hypotension is crucial for optimising fluid management strategies in surgical patients.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Oxford Handbook of Endocrinology</w:t>
            </w:r>
            <w:r>
              <w:rPr>
                <w:sz w:val="18"/>
                <w:szCs w:val="18"/>
              </w:rPr>
              <w:t xml:space="preserve"> and Diabetes, 4th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for incorporation into the 29th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Acute Kidney Injury as a complication not mentioned.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AKI from calcium deposition in the kidneys.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Harrison's 21st ed.; KDIGO AKI Guidelines 2012.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for incorporation into the 29th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Preoperative fluid resuscitation requirement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AKI may necessitate preoperative fluid resuscitation.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Harrison's 21st ed.; KDIGO AKI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for incorporation into the 29th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Dialysis requirement in severe cases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AKI may necessitate dialysis in severe hypercalcaemic crisis.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KDIGO AKI Guidelines 2012.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for incorporation into the 29th edition</w:t>
            </w:r>
            <w:r>
              <w:rPr>
                <w:sz w:val="18"/>
                <w:szCs w:val="18"/>
              </w:rPr>
              <w:t>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Polyuria and polydipsia as risk-amplifiers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Polyuria and polydipsia lead to dehydration, exacerbating perioperative metabolic instability.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Williams Textbook of Endocrinology, 14th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for incorporation into the 29th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Nephrocalcinosis as a complication not mentioned.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Nephrocalcinosis may require urological intervention in chronic cases.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Harrison's 21st ed.; Campbell-Walsh Urology, 12th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for incorporation into the 29th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Nephrolithiasis as a complication not mentioned.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Nephrolithiasis may require urological intervention.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Williams Textbook of Endocrinology, 14th ed.; Campbell-Walsh Urology, 12th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for incorporation into the 29th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PTH regulation by magnesium, Ch 51, p. 824, para 8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Printed text: "PTH is secreted in response to low serum calcium or high serum magnesium levels." — direction inverted.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Affirm correct physiol</w:t>
            </w:r>
            <w:r>
              <w:rPr>
                <w:sz w:val="18"/>
                <w:szCs w:val="18"/>
              </w:rPr>
              <w:t>ogy: low serum calcium stimulates PTH secretion.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Davidson's Principles and Practice of Medicine 22nd ed., p. 677; Greenspan's Basic &amp; Clinical Endocrinology, 10th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Editor confirmed error; correction will be applied in any future print and electr</w:t>
            </w:r>
            <w:r>
              <w:rPr>
                <w:sz w:val="18"/>
                <w:szCs w:val="18"/>
              </w:rPr>
              <w:t>onic versions.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Effect of mild hypomagnesaemia on PTH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Mild hypomagnesaemia may stimulate PTH secretion.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Lacroix et al., Nephrology Dialysis Transplantation 2013; Vetter &amp; Lohse, Curr Opin Nephrol Hypertens 2002.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for correction in future editions.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Stated direction of effect for severe hypomagnesaemia is inverted from established physiology.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Correct: Severe hypomagnesaemia inhibits both PTH secretion and PTH action.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Rude RK, Magnesium deficienc</w:t>
            </w:r>
            <w:r>
              <w:rPr>
                <w:sz w:val="18"/>
                <w:szCs w:val="18"/>
              </w:rPr>
              <w:t>y, J Bone Miner Res 1998; Davidson's 22nd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for correction.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Hypermagnesaemia effect on PTH inverted in printed text.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Correct: Hypermagnesaemia (particularly when calcium is low or normal) suppresses PTH secretion.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Lacroix et al., Nephrology Dialysis Transplantation 2013.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Confirmed for correction.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Male urethra anatomy, Ch 85, p. 1538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Penile urethra described as extending from meatus to penoscrotal junction — direction reversed.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Correct: penile (spongy) urethra extends proximal-to-distal from the distal end of the bulbar urethra to the external urethral meatus.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Last's Anatomy: Regional and Applied, 12th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Editor forwarded to publisher and Prof. Sayers (urology editor) for review.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Fossa navicularis described as synonymous with the entire glandular urethra — imprecise.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 xml:space="preserve">Clarify: the fossa navicularis is specifically the dilated segment within the glans, </w:t>
            </w:r>
            <w:r>
              <w:rPr>
                <w:sz w:val="18"/>
                <w:szCs w:val="18"/>
              </w:rPr>
              <w:t>not a synonym for the entire glandular urethra.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urology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External urethral sphincter described as containing both smooth and striated muscle — clear error.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Correct: the external urethral sphincter (rhabdosphincter) is composed exclusively of striated muscle; smooth muscle is restricted to the internal sphincter at the bladder neck.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Wheater's Functional Histology, 7th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</w:t>
            </w:r>
            <w:r>
              <w:rPr>
                <w:sz w:val="18"/>
                <w:szCs w:val="18"/>
              </w:rPr>
              <w:t>arded to urology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Innervation of membranous urethra attributed solely to pudendal nerve (S2–S4).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essential autonomic innervation derived from the pelvic plexus, vital for functional anatomy.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lastRenderedPageBreak/>
              <w:t xml:space="preserve">Refs: </w:t>
            </w:r>
            <w:r>
              <w:rPr>
                <w:sz w:val="18"/>
                <w:szCs w:val="18"/>
              </w:rPr>
              <w:t>Gray's Anatomy, 42nd ed.; Last's Anatomy, 1</w:t>
            </w:r>
            <w:r>
              <w:rPr>
                <w:sz w:val="18"/>
                <w:szCs w:val="18"/>
              </w:rPr>
              <w:t>2th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lastRenderedPageBreak/>
              <w:t>→ Forwarded to urology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18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Urethral epithelial transition described as transitional → stratified squamous — incomplete sequence.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Correct sequence: Transitional (prostatic) → Pseudostratified columnar (membranous and most of spongy) → Stratified squamous (distal fossa navicularis).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Wheater's Functional Histology, 7th ed.; Junqueira's Basic Histology, 16th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uro</w:t>
            </w:r>
            <w:r>
              <w:rPr>
                <w:sz w:val="18"/>
                <w:szCs w:val="18"/>
              </w:rPr>
              <w:t>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Urinary bladder, Ch 83, Table 83.3 (aetiological classification)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Transverse myelitis listed under congenital causes.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Transverse myelitis is an acquired (post-natal) condition and should not be grouped with congenital causes.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ampbell-Walsh Urology, 12th ed.; Adams and Victor's Principles of Neurology, 12th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Editor copied publishers and Prof. Sayers (urology editor) for review.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Most CNS tumours listed under congenital causes — incorrect classification.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majority of CNS tumours are acquired pathology; the current grouping conflates developmental anomalies with post-natal disease.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Campbell-Walsh Urology, 12th ed.; WHO Classification of Tumours of the Central Nervous System, 5th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 xml:space="preserve">→ Forwarded to </w:t>
            </w:r>
            <w:r>
              <w:rPr>
                <w:sz w:val="18"/>
                <w:szCs w:val="18"/>
              </w:rPr>
              <w:t>urology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Table 83.1 — Pudendal nerve function wording implies a direct motor effect on detrusor muscle.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pudendal nerve does not innervate detrusor smooth muscle. It provides somatic motor innervation to the external urethral sphincter and se</w:t>
            </w:r>
            <w:r>
              <w:rPr>
                <w:sz w:val="18"/>
                <w:szCs w:val="18"/>
              </w:rPr>
              <w:t>nsory fibres from the perineum.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Campbell-Walsh Urology, 12th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urology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Table 83.2 — "Cardiac arrhythmia" listed as a common antimuscarinic adverse effect.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Tachycardia is the typical antimuscarinic effect; clinically significant arrhythmias are uncommon and agent/patient dependent.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Goodman &amp; Gilman's The Pharmacological Basis of Therapeutics, 14th ed.; Katzung Basic &amp; Clinical Pharmacology, 16th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</w:t>
            </w:r>
            <w:r>
              <w:rPr>
                <w:sz w:val="18"/>
                <w:szCs w:val="18"/>
              </w:rPr>
              <w:t>orwarded to urology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Page: </w:t>
            </w:r>
            <w:r>
              <w:rPr>
                <w:sz w:val="18"/>
                <w:szCs w:val="18"/>
              </w:rPr>
              <w:t>1487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M2/M3 muscarinic receptor functional distinction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Although M2 receptors are numerically predominant in the bladder, M3 receptors mediate detrusor contraction — state explicitly.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Goodman &amp; Gilman's 14th ed.; Andersson KE, Pharmacol Rev 2011.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urology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Page: </w:t>
            </w:r>
            <w:r>
              <w:rPr>
                <w:sz w:val="18"/>
                <w:szCs w:val="18"/>
              </w:rPr>
              <w:t>1488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β3-adrenoceptor agonist mechanism described only as afferent-signal reduction.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Multifactorial mechanism, including direct detrusor relaxation durin</w:t>
            </w:r>
            <w:r>
              <w:rPr>
                <w:sz w:val="18"/>
                <w:szCs w:val="18"/>
              </w:rPr>
              <w:t>g storage phase, should be acknowledged.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Andersson KE, Pharmacol Rev 2011; EAU Guidelines on Non-Neurogenic Female LUTS.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urology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25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Table 83.4 — NLUTD management not framed as urodynamically guided.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Management should be presented as urodynamically guided.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EAU Guidelines on Neuro-Urology, 2023.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urology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Sacral neuromodulation indications stated too broadly.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Sacral neuromodulation applies to selected patients with incompl</w:t>
            </w:r>
            <w:r>
              <w:rPr>
                <w:sz w:val="18"/>
                <w:szCs w:val="18"/>
              </w:rPr>
              <w:t>ete lesions, NOT indicated in complete spinal cord transection.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EAU Guidelines on Neuro-Urology, 2023.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urology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Page: </w:t>
            </w:r>
            <w:r>
              <w:rPr>
                <w:sz w:val="18"/>
                <w:szCs w:val="18"/>
              </w:rPr>
              <w:t>1486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Applied anatomy uses "obliterated hypogastric arteries."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Anatomically incorrect; correct term is "obliterated umbilical arteries," forming the lateral umbilical ligaments.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Moore's Clinically Oriented Anatomy, 9th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urology editor.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Stomach venous drainage, Ch 67, p. 1148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Greater-curvature veins described as draining entirely into the splenic vein.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right gastroepiploic vein most commonly drains into the superior mesenteric vein, frequently via the gastrocolic trunk (Henle's trunk).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Skandalakis Surgical Anatomy, 1st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Editor forwarded to publisher Mrs. Miranda B</w:t>
            </w:r>
            <w:r>
              <w:rPr>
                <w:sz w:val="18"/>
                <w:szCs w:val="18"/>
              </w:rPr>
              <w:t>romage (Taylor &amp; Francis).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Surgical relevance of SMV-tributary recognition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accurate identification of SMV tributaries is critical during gastrectomy and pancreaticoduodenectomy.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 xml:space="preserve">Skandalakis Surgical Anatomy; Sabiston Textbook of </w:t>
            </w:r>
            <w:r>
              <w:rPr>
                <w:sz w:val="18"/>
                <w:szCs w:val="18"/>
              </w:rPr>
              <w:t>Surgery, 21st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publisher.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Right gastric artery described as arising from the common hepatic artery.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right gastric artery most commonly originates from the proper hepatic artery, with well-recognised variations.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Skandalakis Surgical Anatomy.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publisher.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Surgical relevance for vessel ligation / D2 lymphadenectomy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precise knowledge of right gastric artery origin is critical during vessel ligation and D2 ly</w:t>
            </w:r>
            <w:r>
              <w:rPr>
                <w:sz w:val="18"/>
                <w:szCs w:val="18"/>
              </w:rPr>
              <w:t>mphadenectomy in gastric cancer surgery.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Japanese Gastric Cancer Treatment Guidelines (6th ed.); Sabiston 21st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publisher.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Acute pancreatitis, Ch 72, p. 1270 — antibiotic prophylaxis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Text suggests prophylactic antibiotics may be considered in severe acute pancreatitis.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Modern guidelines advise against routine prophylactic antibiotics in sterile necrotising pancreatitis. Antibiotics only for proven/strongly suspected infected necrosis o</w:t>
            </w:r>
            <w:r>
              <w:rPr>
                <w:sz w:val="18"/>
                <w:szCs w:val="18"/>
              </w:rPr>
              <w:t>r documented extrapancreatic infection.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IAP/APA Acute Pancreatitis Guidelines 2013; ACG Acute Pancreatitis Guideline 2013/2024.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chapter author for 29th edition; a follow-up message was subsequently sent regarding this section — awaitin</w:t>
            </w:r>
            <w:r>
              <w:rPr>
                <w:sz w:val="18"/>
                <w:szCs w:val="18"/>
              </w:rPr>
              <w:t>g further editorial response.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33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Indications for ERCP wording out of date — severe pancreatitis alone listed as an indication.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Early ERCP is now recommended primarily for acute cholangitis or persistent biliary obstruction; severe pancreatitis alone is no</w:t>
            </w:r>
            <w:r>
              <w:rPr>
                <w:sz w:val="18"/>
                <w:szCs w:val="18"/>
              </w:rPr>
              <w:t xml:space="preserve"> longer an urgent ERCP indication.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ESGE Guidelines 2020; ACG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for 29th edition; follow-up message sent — awaiting further editorial response.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Optimal timing of contrast-enhanced CT not specified.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Once diagnosis is established, contrast-enhanced CT is best delayed to ~72–96 hours after symptom onset to accurately assess pancreatic necrosis.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Revised Atlanta Classification 2012; ACR Appropriateness Criteria.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for 29th edition; follow-</w:t>
            </w:r>
            <w:r>
              <w:rPr>
                <w:sz w:val="18"/>
                <w:szCs w:val="18"/>
              </w:rPr>
              <w:t>up message sent — awaiting further editorial response.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Early fluid resuscitation strategy under-specified.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Emphasise early, goal-directed isotonic crystalloid resuscitation — preferably Ringer's lactate — within first 6–12 hours.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ACG Acute Pancreatitis Guideline; de-Madaria E et al., WATERFALL trial, NEJM 2022.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for 29th edition; follow-up message sent — awaiting further editorial response.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Terminology "pancreatic abscess" outdated.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Replaced in Revised Atlanta Classi</w:t>
            </w:r>
            <w:r>
              <w:rPr>
                <w:sz w:val="18"/>
                <w:szCs w:val="18"/>
              </w:rPr>
              <w:t>fication by "infected acute necrotic collection" and "infected walled-off necrosis."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Banks PA et al., Revised Atlanta Classification, Gut 2013.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for 29th edition; follow-up message sent — awaiting further editorial response.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Role of rectal NSAIDs in post-ERCP pancreatitis prevention not mentioned.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established role of rectal NSAIDs (indomethacin or diclofenac) as routine prophylaxis.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ESGE Guidelines 2020; Elmunzer BJ et al., NEJM 2012.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for 29th edition; fo</w:t>
            </w:r>
            <w:r>
              <w:rPr>
                <w:sz w:val="18"/>
                <w:szCs w:val="18"/>
              </w:rPr>
              <w:t>llow-up message sent — awaiting further editorial response.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Hypertriglyceridaemia thresholds not specified.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Risk of pancreatitis increases markedly above ~1000 mg/dL, with rising risk above 500 mg/dL.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Endocrine Society Clinical Practice Guideline</w:t>
            </w:r>
            <w:r>
              <w:rPr>
                <w:sz w:val="18"/>
                <w:szCs w:val="18"/>
              </w:rPr>
              <w:t>; Berglund L et al., JCEM 2012.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for 29th edition; follow-up message sent — awaiting further editorial response.</w:t>
            </w:r>
          </w:p>
        </w:tc>
      </w:tr>
    </w:tbl>
    <w:p w:rsidR="00870702" w:rsidRDefault="008D3C85">
      <w:r>
        <w:br w:type="page"/>
      </w:r>
    </w:p>
    <w:p w:rsidR="00870702" w:rsidRDefault="008D3C85">
      <w:pPr>
        <w:pStyle w:val="Heading1"/>
        <w:jc w:val="center"/>
      </w:pPr>
      <w:r>
        <w:lastRenderedPageBreak/>
        <w:t>Book 2 — Plastic Surgery Reference — Deep Palmar Spaces (Elsevier)</w:t>
      </w:r>
    </w:p>
    <w:p w:rsidR="00870702" w:rsidRDefault="008D3C85">
      <w:pPr>
        <w:spacing w:before="60" w:after="200"/>
        <w:jc w:val="center"/>
      </w:pPr>
      <w:r>
        <w:rPr>
          <w:b/>
          <w:bCs/>
          <w:color w:val="C00000"/>
        </w:rPr>
        <w:t>Total: 8 independent sub-contributions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300"/>
        <w:gridCol w:w="3300"/>
        <w:gridCol w:w="1860"/>
      </w:tblGrid>
      <w:tr w:rsidR="0087070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Issue Identified in Text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Correction &amp; Supporting References</w:t>
            </w:r>
          </w:p>
        </w:tc>
        <w:tc>
          <w:tcPr>
            <w:tcW w:w="18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Editorial Response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Midpalmar (Deep Palmar) Space — volar boundary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Text includes palmar aponeurosis as a boundary of the midpalmar space.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palmar aponeurosis is superficial and is not a true boundary. The volar boundary is formed by the flexor tendon sheaths and lumbrical muscles.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Green's Operative Hand Surgery, 8th ed.; Netter's Concise Orthopaedic Anatomy, 2nd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 Karen: </w:t>
            </w:r>
            <w:r>
              <w:rPr>
                <w:sz w:val="18"/>
                <w:szCs w:val="18"/>
              </w:rPr>
              <w:t>corrections inserted into the e-book and online versions; will be included in next printed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Thenar Space — radial boundary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Confusion between the midvolar (oblique) septum and the true radial boundary.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radial boundary is defined by the</w:t>
            </w:r>
            <w:r>
              <w:rPr>
                <w:sz w:val="18"/>
                <w:szCs w:val="18"/>
              </w:rPr>
              <w:t xml:space="preserve"> insertion of the thenar muscles and the fascia of the adductor pollicis.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Green's Operative Hand Surgery, 8th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Inserted into the e-book and online versions.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Mislocation of the midvolar septum.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Clarify: the midvolar septum is ulnar and separates the thenar from the midpalmar space — not radial.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Green's Operative Hand Surgery, 8th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Inserted into the e-book and online versions.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Thenar Space — dorsal boundary uses non-standard abbrevia</w:t>
            </w:r>
            <w:r>
              <w:rPr>
                <w:sz w:val="18"/>
                <w:szCs w:val="18"/>
              </w:rPr>
              <w:t>tion "ADP."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Use the full anatomical term: adductor pollicis muscle (oblique head), forming the dorsal boundary.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Inserted into the e-book and online versions.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Hypothenar Space — volar boundary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Focus solely on the small-finger flexor tendon is incomplete.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hypothenar fascia and superficial hypothenar muscles form the true volar boundary.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Green's Operative Hand Surgery, 8th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Inserted into the e-book and online versions.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Interdigital (Web) Spaces — radial and ulnar boundaries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Boundaries described too simply.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Boundaries involve the extensor mechanism, MCP joint capsule, and lateral fibrous septa.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Standard hand surgery atlases; Green's Operative Hand Surgery, 8th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Inserted into the e-book and online versions.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Parona's Space — orientation reversed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Volar and dorsal boundaries are inverted in the text.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Digital flexor tendons are superficial (volar); pronator quadratus forms the deep (dorsal) boundary.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Green's Operative Hand Surgery, 8th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Inserted into the e-book and online versions; pending next print.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Clinical-relevance statement for spread of deep-space infections to forearm not included.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explicit relevance: orientation is crucial for understanding spread of deep-space infections from hand to forearm.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Green's Operative Hand Surgery, 8th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Inserted into the e-book and online versions.</w:t>
            </w:r>
          </w:p>
        </w:tc>
      </w:tr>
    </w:tbl>
    <w:p w:rsidR="00870702" w:rsidRDefault="008D3C85">
      <w:r>
        <w:br w:type="page"/>
      </w:r>
    </w:p>
    <w:p w:rsidR="00870702" w:rsidRDefault="008D3C85">
      <w:pPr>
        <w:pStyle w:val="Heading1"/>
        <w:jc w:val="center"/>
      </w:pPr>
      <w:r>
        <w:lastRenderedPageBreak/>
        <w:t xml:space="preserve">Book 3 — Macleod's Clinical Examination </w:t>
      </w:r>
      <w:r>
        <w:t>(15th Edition)</w:t>
      </w:r>
    </w:p>
    <w:p w:rsidR="00870702" w:rsidRDefault="008D3C85">
      <w:pPr>
        <w:spacing w:before="60" w:after="200"/>
        <w:jc w:val="center"/>
      </w:pPr>
      <w:r>
        <w:rPr>
          <w:b/>
          <w:bCs/>
          <w:color w:val="C00000"/>
        </w:rPr>
        <w:t>Total: 3 independent sub-contributions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300"/>
        <w:gridCol w:w="3300"/>
        <w:gridCol w:w="1860"/>
      </w:tblGrid>
      <w:tr w:rsidR="0087070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Issue Identified in Text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Correction &amp; Supporting References</w:t>
            </w:r>
          </w:p>
        </w:tc>
        <w:tc>
          <w:tcPr>
            <w:tcW w:w="18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Editorial Response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Box 4.19, p. 64 — "Ejection systolic murmurs"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Aortic regurgitation listed under ejection systolic murmurs.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AR is fundamentally a DIASTOLIC murmur (high-pitched, early diastolic, decrescendo). Any associated systolic murmur is a non-pathognomonic functional flow murmur.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Lilly LS, Pathophysiology of Heart Disease, 6th ed.; Braunwald's Heart Disease, 12th ed.; Kumar &amp; Clark's Clinical Medicine, 10th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Correction accepted by editorial team.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Pulmonary regurgitation listed under ejection systolic murmurs.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PR (especially</w:t>
            </w:r>
            <w:r>
              <w:rPr>
                <w:sz w:val="18"/>
                <w:szCs w:val="18"/>
              </w:rPr>
              <w:t xml:space="preserve"> in pulmonary hypertension — Graham Steell murmur) is DIASTOLIC, not ejection systolic.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Braunwald's Heart Disease, 12th ed.; Lilly LS, Pathophysiology of Heart Disease, 6th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Correction accepted.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No clarification that any associated systolic f</w:t>
            </w:r>
            <w:r>
              <w:rPr>
                <w:sz w:val="18"/>
                <w:szCs w:val="18"/>
              </w:rPr>
              <w:t>low murmur with AR/PR is functional.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explicit statement: any associated systolic murmur in AR/PR is non-pathognomonic functional flow murmur, not characteristic of the lesion itself.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Kumar &amp; Clark's Clinical Medicine, 10th ed.; Lilly LS, Pathophysiology of Heart Disease, 6th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Correction accepted.</w:t>
            </w:r>
          </w:p>
        </w:tc>
      </w:tr>
    </w:tbl>
    <w:p w:rsidR="00870702" w:rsidRDefault="008D3C85">
      <w:r>
        <w:br w:type="page"/>
      </w:r>
    </w:p>
    <w:p w:rsidR="00870702" w:rsidRDefault="008D3C85">
      <w:pPr>
        <w:pStyle w:val="Heading1"/>
        <w:jc w:val="center"/>
      </w:pPr>
      <w:r>
        <w:lastRenderedPageBreak/>
        <w:t>Book 4 — Davidson's Principles and Practice of Medicine (24th Edition)</w:t>
      </w:r>
    </w:p>
    <w:p w:rsidR="00870702" w:rsidRDefault="008D3C85">
      <w:pPr>
        <w:spacing w:before="60" w:after="200"/>
        <w:jc w:val="center"/>
      </w:pPr>
      <w:r>
        <w:rPr>
          <w:b/>
          <w:bCs/>
          <w:color w:val="C00000"/>
        </w:rPr>
        <w:t>Total: 65 independent sub-contributions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3184"/>
        <w:gridCol w:w="3186"/>
        <w:gridCol w:w="2121"/>
      </w:tblGrid>
      <w:tr w:rsidR="0087070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Issue Identified i</w:t>
            </w:r>
            <w:r>
              <w:rPr>
                <w:b/>
                <w:bCs/>
                <w:color w:val="FFFFFF"/>
              </w:rPr>
              <w:t>n Text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Correction &amp; Supporting References</w:t>
            </w:r>
          </w:p>
        </w:tc>
        <w:tc>
          <w:tcPr>
            <w:tcW w:w="18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Editorial Response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28.74, p. 1182 — False localising signs in intracranial mass lesions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Entry: "Contralateral 3rd nerve (usually pupil first)."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classical sign of uncal herniation is IPSILATERAL III palsy; contralateral III palsy is an exceedingly rare paradoxical case-report finding and should not be presented as the standard.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StatPearls — Uncal Herniation; Radiopaedia — Uncal Herniation</w:t>
            </w:r>
            <w:r>
              <w:rPr>
                <w:sz w:val="18"/>
                <w:szCs w:val="18"/>
              </w:rPr>
              <w:t>; Chung CK et al., 2007; Chen R et al., 1994; Chaudhry NS et al., 2018.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Mechanism of false-localising contralateral III not explicitly discussed in adjacent text.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Mechanism (midline shift, distant aneurysm) should be discussed adjacent to the table entry.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Chaudhry NS et al., World Neurosurgery 2018.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</w:t>
            </w:r>
            <w:r>
              <w:rPr>
                <w:sz w:val="18"/>
                <w:szCs w:val="18"/>
              </w:rPr>
              <w:t>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28.33, p. 1156 — Indications for brain imaging in epilepsy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 xml:space="preserve">First unprovoked seizure not listed as imaging </w:t>
            </w:r>
            <w:r>
              <w:rPr>
                <w:sz w:val="18"/>
                <w:szCs w:val="18"/>
              </w:rPr>
              <w:t>indication.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First unprovoked seizure — often reflects an underlying structural lesion that changes prognosis and management.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NICE NG217 (Epilepsies); ILAE Neuroimaging Guidelines (Bernasconi et al., Epilepsia 2019).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Rationale for structural-lesion prognostic significance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rationale: structural lesion ide</w:t>
            </w:r>
            <w:r>
              <w:rPr>
                <w:sz w:val="18"/>
                <w:szCs w:val="18"/>
              </w:rPr>
              <w:t>ntification changes prognosis and treatment strategy.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ILAE Neuroimaging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CT-first em</w:t>
            </w:r>
            <w:r>
              <w:rPr>
                <w:sz w:val="18"/>
                <w:szCs w:val="18"/>
              </w:rPr>
              <w:t>ergency-imaging pathway not specified.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CT first if emergency/acute features are present.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ACEP Clinical Policy on Adult Patients with Seizures; NICE NG217.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MRI outpatient pathway not specified.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MRI as outpatient when no emergency features.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NICE N</w:t>
            </w:r>
            <w:r>
              <w:rPr>
                <w:sz w:val="18"/>
                <w:szCs w:val="18"/>
              </w:rPr>
              <w:t>G217.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Change in seizure pattern / new semiology not listed.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Change in seizure pattern or new seizure semiology — suggests evolving/progressive lesion.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ILAE Neuroimaging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 xml:space="preserve">◐ Discussion currently in progress with the editorial team to address the rejection — scientific basis fully defensible per </w:t>
            </w:r>
            <w:r>
              <w:rPr>
                <w:sz w:val="18"/>
                <w:szCs w:val="18"/>
              </w:rPr>
              <w:t>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Tumour/abscess evolving-lesion rationale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rationale: evolving structural pathology (tumour, abscess, evolving gliosis) is suggested.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AAN Practice Parameter.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New focal neurological deficit not listed.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New focal neurological deficit — strongly indicates focal structural pathology.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AAN Practice Parameter; Krumholz A et al., Neurology 2007.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</w:t>
            </w:r>
            <w:r>
              <w:rPr>
                <w:sz w:val="18"/>
                <w:szCs w:val="18"/>
              </w:rPr>
              <w:t>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Cognitive decline not listed as an imaging indication.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Cognitive decline alongside seizures — points to focal structural pathology.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AAN Practice Parameter.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</w:t>
            </w:r>
            <w:r>
              <w:rPr>
                <w:sz w:val="18"/>
                <w:szCs w:val="18"/>
              </w:rPr>
              <w:t xml:space="preserve">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Trauma-related seizure not flagged for urgent imaging.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Recent head trauma — urgent imaging (CT first).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ACEP Clinical Policy; NICE Head Injury Guideline NG232.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Infection-related seizure not flagged for ur</w:t>
            </w:r>
            <w:r>
              <w:rPr>
                <w:sz w:val="18"/>
                <w:szCs w:val="18"/>
              </w:rPr>
              <w:t>gent imaging.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Fever / possible CNS infection — urgent imaging required.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IDSA Guidelines on Bacterial Meningitis.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Status epilepticus not flagged as an imaging indication.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Status epilepticus — urgent imaging.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>R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efs: </w:t>
            </w:r>
            <w:r>
              <w:rPr>
                <w:sz w:val="18"/>
                <w:szCs w:val="18"/>
              </w:rPr>
              <w:t>Neurocritical Care Society Guidelines on Status Epilepticus, 2012.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History of malignancy not li</w:t>
            </w:r>
            <w:r>
              <w:rPr>
                <w:sz w:val="18"/>
                <w:szCs w:val="18"/>
              </w:rPr>
              <w:t>sted as indication.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History of malignancy — higher pre-test probability of CNS metastasis.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lastRenderedPageBreak/>
              <w:t xml:space="preserve">Refs: </w:t>
            </w:r>
            <w:r>
              <w:rPr>
                <w:sz w:val="18"/>
                <w:szCs w:val="18"/>
              </w:rPr>
              <w:t>NICE NG217; NICE Suspected Cancer NG12.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lastRenderedPageBreak/>
              <w:t xml:space="preserve">◐ Discussion currently in progress with the editorial team to address the rejection — </w:t>
            </w:r>
            <w:r>
              <w:rPr>
                <w:sz w:val="18"/>
                <w:szCs w:val="18"/>
              </w:rPr>
              <w:lastRenderedPageBreak/>
              <w:t>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15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Immunosuppression not listed as indication.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Immunosuppression — higher pre-test probability of CNS infection or abscess.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IDSA Guidelines on CNS Infections.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</w:t>
            </w:r>
            <w:r>
              <w:rPr>
                <w:sz w:val="18"/>
                <w:szCs w:val="18"/>
              </w:rPr>
              <w:t>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Contrast imaging threshold not specified for high-risk groups.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Lower threshold for contrast-enhanced imaging in malignancy or immunosuppression.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ACR Appropriateness Criteria — Seizures and Epilepsy.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Paediatric developmental delay imaging yield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Developmental delay or abnormal neurol</w:t>
            </w:r>
            <w:r>
              <w:rPr>
                <w:sz w:val="18"/>
                <w:szCs w:val="18"/>
              </w:rPr>
              <w:t>ogical exam in children — MRI preferred.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AAP Clinical Reports; AAN/Child Neurology Society Practice Parameter.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</w:t>
            </w:r>
            <w:r>
              <w:rPr>
                <w:sz w:val="18"/>
                <w:szCs w:val="18"/>
              </w:rPr>
              <w:t xml:space="preserve">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Malformative-lesion rationale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high yield for structural / malformative lesions in this paediatric population.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AAP; AAN paediatric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Refractory epilepsy / pre-surgical evaluation indication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Refractory epilepsy / pre-</w:t>
            </w:r>
            <w:r>
              <w:rPr>
                <w:sz w:val="18"/>
                <w:szCs w:val="18"/>
              </w:rPr>
              <w:t>surgical evaluation — requires high-resolution MRI (epilepsy protocol).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ILAE Pre-surgical Evaluation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</w:t>
            </w:r>
            <w:r>
              <w:rPr>
                <w:sz w:val="18"/>
                <w:szCs w:val="18"/>
              </w:rPr>
              <w:t>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FCD detection not mentioned.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epilepsy-protocol MRI identifies focal cortical dysplasia (FCD).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ILAE; Bernasconi et al., Epilepsia 2019.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Mesial temporal sclerosis detection not mentioned.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epilepsy-protocol MRI identifies mesial temp</w:t>
            </w:r>
            <w:r>
              <w:rPr>
                <w:sz w:val="18"/>
                <w:szCs w:val="18"/>
              </w:rPr>
              <w:t>oral sclerosis.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ILAE Neuroimaging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22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Age-extreme imaging threshold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Age extremes (infants, elderly) — lower imaging threshold (atypical causes more likely).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AAN; AAP.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</w:t>
            </w:r>
            <w:r>
              <w:rPr>
                <w:sz w:val="18"/>
                <w:szCs w:val="18"/>
              </w:rPr>
              <w:t>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Generalised genetic epilepsy incidental-finding caution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In well-characterised generalised genetic epilepsy with normal exam and typical EEG, routine MRI has low yield.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ILAE Neuroimaging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28.61, p. 1172 — Complications of meningococcal sepsis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"Meningitis" listed as a comp</w:t>
            </w:r>
            <w:r>
              <w:rPr>
                <w:sz w:val="18"/>
                <w:szCs w:val="18"/>
              </w:rPr>
              <w:t>lication.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Remove: meningitis is a primary manifestation of invasive meningococcal disease, not a secondary complication of sepsis.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Mandell, Douglas, and Bennett's Principles and Practice of Infectious Diseases, 9th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Remove "Meningitis" f</w:t>
            </w:r>
            <w:r>
              <w:rPr>
                <w:sz w:val="18"/>
                <w:szCs w:val="18"/>
              </w:rPr>
              <w:t>rom the list.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Clarification of meningitis as primary manifestation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Reclassification: meningitis is a primary manifestation, not a complication.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Mandell, Douglas, and Bennett's 9th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Reflected in author's removal of the entry.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Waterhouse–Friderichsen syndrome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Waterhouse–Friderichsen syndrome (bilateral adrenal haemorrhage → acute adrenal failure).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Mandell 9th ed.; Hamilton Bailey's Demonstrations of Physical Signs in Clinical Surgery.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Add as new bullet between Arthritis and Pericarditis.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Purpura fulminans / skin necrosis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severe DIC with dermal vessel thrombosis leading to necrosis and amputation.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Mandell 9th ed.; Childers BJ et al., Am Surg 2003.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</w:t>
            </w:r>
            <w:r>
              <w:rPr>
                <w:sz w:val="18"/>
                <w:szCs w:val="18"/>
              </w:rPr>
              <w:t>owledged in editorial review for inclusion.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ARDS omitted as a complication.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ARDS — systemic inflammatory response leading to capillary leak and respiratory failure.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Mandell 9th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 in editorial review.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Myocardial dysfunction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myocarditis/myocardial depression — endotoxin/cytokine mediated — contributes to refractory shock.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Mandell 9th ed.; Tilford H et al., Crit Care Med.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Add "Myocarditis" as new bullet.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Hearing loss (lat</w:t>
            </w:r>
            <w:r>
              <w:rPr>
                <w:sz w:val="18"/>
                <w:szCs w:val="18"/>
              </w:rPr>
              <w:t>e)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cochlear damage following meningitic inflammation — a common long-term sequela.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lastRenderedPageBreak/>
              <w:t xml:space="preserve">Refs: </w:t>
            </w:r>
            <w:r>
              <w:rPr>
                <w:sz w:val="18"/>
                <w:szCs w:val="18"/>
              </w:rPr>
              <w:t>Mandell 9th ed.; Worsøe L et al., Clin Infect Dis 2010.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lastRenderedPageBreak/>
              <w:t>✓</w:t>
            </w:r>
            <w:r>
              <w:rPr>
                <w:sz w:val="18"/>
                <w:szCs w:val="18"/>
              </w:rPr>
              <w:t xml:space="preserve"> Author: Add "Cochlear damage" as new bullet.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31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Neurological sequelae (late)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ischaemic or inflammatory CNS damage in survivors.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Mandell 9th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 in editorial review.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Spelling: "benal failure."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Correct to "renal failure."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Editorial / typographical.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Editorial correction confirmed.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28.52, p. 1166 — Physical signs in Parkinson's disease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Resting tremor described as "exacerbated by walking."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Parkinsonian resting tremor typically decreases with voluntary movement (including walking).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 xml:space="preserve">Bradley's Neurology in Clinical Practice, </w:t>
            </w:r>
            <w:r>
              <w:rPr>
                <w:sz w:val="18"/>
                <w:szCs w:val="18"/>
              </w:rPr>
              <w:t>8th ed.; Postuma RB et al., MDS Clinical Diagnostic Criteria for Parkinson's Disease, Mov Disord 2015.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revise wording.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Re-emergent tremor concept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Resting tremor may re-emerge after a latency period when the limb is held still ("re-emergent tremor").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Jankovic J, J Neurol Neurosurg Psychiatry 2008; MDS Criteria 2015.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Reflected in revised wording.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Reduced arm swing confound during walk</w:t>
            </w:r>
            <w:r>
              <w:rPr>
                <w:sz w:val="18"/>
                <w:szCs w:val="18"/>
              </w:rPr>
              <w:t>ing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Clarify: apparent tremor worsening during walking may reflect reduced arm swing rather than true exacerbation.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Jankovic J, J Neurol Neurosurg Psychiatry 2008.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Reflected in revised wording.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Postural tremor described as "present immediately on stretching out arms."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 "immediately" — Parkinsonian postural tremor is characteristically re-emergent, appearing after a delay.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MDS Clinical Diagnostic Criteria 2015.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change to "pre</w:t>
            </w:r>
            <w:r>
              <w:rPr>
                <w:sz w:val="18"/>
                <w:szCs w:val="18"/>
              </w:rPr>
              <w:t>sent on stretching out arms."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Differential-diagnostic emphasis (vs essential tremor) not included.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immediate postural tremor is more typical of essential tremor — clinically important distinction.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Bhatia KP et al., Mov Disord 2018 (Consensus Statement on Tremor).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Implicit in the revised wording accepted by the author.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Tremor distribution: "may affect legs, jaw and chin but not the head" — overly absolute.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 "but not the head" — occasional</w:t>
            </w:r>
            <w:r>
              <w:rPr>
                <w:sz w:val="18"/>
                <w:szCs w:val="18"/>
              </w:rPr>
              <w:t xml:space="preserve"> head/neck involvement can occur in Parkinson's disease.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MDS Clinical Diagnostic Criteria 2015; Bhatia KP et al., Mov Disord 2018.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change to "May affect legs, jaw and chin."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26.73, p. 1052 — Adverse effects of bisphospho</w:t>
            </w:r>
            <w:r>
              <w:rPr>
                <w:sz w:val="18"/>
                <w:szCs w:val="18"/>
              </w:rPr>
              <w:t>nates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Acute kidney injury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AKI, especially with IV bisphosphonates (notably zoledronic acid).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 xml:space="preserve">FDA Drug Safety Communication on Zoledronic Acid </w:t>
            </w:r>
            <w:r>
              <w:rPr>
                <w:sz w:val="18"/>
                <w:szCs w:val="18"/>
              </w:rPr>
              <w:lastRenderedPageBreak/>
              <w:t>(2011); Perazella MA, Clin J Am Soc Nephrol 2008.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lastRenderedPageBreak/>
              <w:t>✓</w:t>
            </w:r>
            <w:r>
              <w:rPr>
                <w:sz w:val="18"/>
                <w:szCs w:val="18"/>
              </w:rPr>
              <w:t xml:space="preserve"> Author: add "Acute kidney injury" under the "Rare" row.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40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Severe musculoskeletal pain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severe musculoskeletal pain as a recognised adverse effect.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FDA 2008 Safety Alert on Bisphosphonates and Musculoskeletal Pain.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add "Musc</w:t>
            </w:r>
            <w:r>
              <w:rPr>
                <w:sz w:val="18"/>
                <w:szCs w:val="18"/>
              </w:rPr>
              <w:t>uloskeletal pain" under "Less common" row.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AKI risk factor (rapid infusion)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AKI risk is increased with rapid infusion.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Manufacturer Prescribing Information — Zoledronic Acid.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Reflected in expanded passage.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Reduced baseline eGFR as a risk factor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risk is increased with pre-existing renal impairment / reduced baseline eGFR.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FDA Drug Safety Communication; UpToDate — Bisphosphonates.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Reflected in expanded passage.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Contraindication eGFR thresholds for bisphosphonates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explicit contraindication threshold sentence at the end of bisphosphonates paragraph.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BNF; Manufacturer Prescribing Information.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add sentence at end of bisphosphonates paragr</w:t>
            </w:r>
            <w:r>
              <w:rPr>
                <w:sz w:val="18"/>
                <w:szCs w:val="18"/>
              </w:rPr>
              <w:t>aph.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Risedronate-specific renal cutoff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contraindicated when eGFR &lt; 30 mL/min/1.73 m² for risedronate.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Risedronate Prescribing Information.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include "eGFR &lt;30 for risedronate."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Other-bisphosphonate renal cutoff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contraindicated when eGFR &lt; 35 mL/min/1.73 m² for other bisphosphonates.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Manufacturer Prescribing Information; BNF.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include "eGFR &lt;35 for other bisphosphonates."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Mycobacterial infections paragraph, p. 1190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Doxycycline/min</w:t>
            </w:r>
            <w:r>
              <w:rPr>
                <w:sz w:val="18"/>
                <w:szCs w:val="18"/>
              </w:rPr>
              <w:t>ocycline recommended as primary agents for non-tuberculous mycobacterial skin infection.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Replace with appropriate antimycobacterial therapy. Doxycycline/minocycline are less preferred.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ATS/IDSA Guidelines on Non-Tuberculous Mycobacteria 2020; Daley CL et al., Eur Respir J 2020.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paragraph rewritten — doxycycline/minocycline noted as less preferred.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Clarithromycin regimen not specified.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clarithromycin as a commonly used m</w:t>
            </w:r>
            <w:r>
              <w:rPr>
                <w:sz w:val="18"/>
                <w:szCs w:val="18"/>
              </w:rPr>
              <w:t>acrolide regimen.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ATS/IDSA NTM Guidelines 2020.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Incorporated in rewritten paragraph.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Rifampicin + ethambutol combination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rifampicin + ethambutol combination regimen for select species (e.g., M. marinum, M. ulcerans).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ATS/IDSA NTM Guidelines 2020.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Incorporated.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49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Species-susceptibility concept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antimycobacterial choice depends on species and susceptibility testing.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ATS/IDSA NTM Guidelines 2020.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Incorporated.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"Spontaneous resolution may occur" overstated.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Clarify: spontaneous resolution is uncommon in clinically significant infections.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ATS/IDSA NTM Guidelines 2020.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Incorporated.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Cryotherapy role overstated as a destructive therapy option.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Destructiv</w:t>
            </w:r>
            <w:r>
              <w:rPr>
                <w:sz w:val="18"/>
                <w:szCs w:val="18"/>
              </w:rPr>
              <w:t>e therapies (e.g., cryotherapy) are not standard and have limited evidence.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ATS/IDSA NTM Guidelines 2020.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Incorporated.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Tuberculids conflated with erythema induratum without explanation.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Tuberculids are hypersensitivity reactions to tuberculous antigens; erythema induratum (Bazin's disease) is a nodular vasculitis — pathophysiologically distinct.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Rook's Textbook of Dermatology, 10th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paragraph rewritten with explicit dis</w:t>
            </w:r>
            <w:r>
              <w:rPr>
                <w:sz w:val="18"/>
                <w:szCs w:val="18"/>
              </w:rPr>
              <w:t>tinction.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Tuberculid immunopathology mechanism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tuberculids represent hypersensitivity reactions to tuberculid antigens.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Rook's Textbook of Dermatology, 10th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Incorporated explicitly.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Bazin disease nodular-vasculitis nature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erythema induratum (Bazin's disease) is a nodular vasculitis.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Rook's Textbook of Dermatology, 10th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Incorporated.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PCR diagnostic role not specified.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 xml:space="preserve">Add: PCR can assist diagnosis when </w:t>
            </w:r>
            <w:r>
              <w:rPr>
                <w:sz w:val="18"/>
                <w:szCs w:val="18"/>
              </w:rPr>
              <w:t>culture is difficult.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ATS/IDSA NTM Guidelines 2020.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"Culture of organisms may be tricky but PCR can assist with diagnosis" — incorporated.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TNF-α antagonist reactivation risk not specifically discussed.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latent TB reactivation risk with biologics, particularly TNF-α antagonists.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BSR Biologics Guidelines; NICE TA Guidance on Biologics.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Incorporated.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Pre-biologic screening recommendation not included.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vigilance/screening before initiation of biologic agents.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BSR Biologics Guidelines; CDC LTBI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Incorporated.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Multiple Sclerosis pathogenesis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Only the classical "outside-in" autoimmune paradigm is presented.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Acknowledge eme</w:t>
            </w:r>
            <w:r>
              <w:rPr>
                <w:sz w:val="18"/>
                <w:szCs w:val="18"/>
              </w:rPr>
              <w:t xml:space="preserve">rging "inside-out" hypothesis — primary neurodegeneration preceding immune activation — relevant to </w:t>
            </w:r>
            <w:r>
              <w:rPr>
                <w:sz w:val="18"/>
                <w:szCs w:val="18"/>
              </w:rPr>
              <w:lastRenderedPageBreak/>
              <w:t>limited efficacy of immune-depleting therapies in PPMS.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Stys PK et al., Nature Reviews Neuroscience 2012 — "Will the real multiple sclerosis please st</w:t>
            </w:r>
            <w:r>
              <w:rPr>
                <w:sz w:val="18"/>
                <w:szCs w:val="18"/>
              </w:rPr>
              <w:t>and up?"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lastRenderedPageBreak/>
              <w:t xml:space="preserve">◐ Discussion currently in progress with the editorial team to address the rejection — scientific basis fully </w:t>
            </w:r>
            <w:r>
              <w:rPr>
                <w:sz w:val="18"/>
                <w:szCs w:val="18"/>
              </w:rPr>
              <w:lastRenderedPageBreak/>
              <w:t>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59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Diabetes &amp; neurodegeneration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Brain-specific insulin resistance not discussed.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Acknowledge "Type 3 Diabetes" concept — brain-specific insulin resistance and its possible role in Alzheimer pathology.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de la Monte SM, Wands JR, Journal of Alzheimer's Disease 2008 — "Alzheimer's Disease Is Type 3 Diabetes — Evidence Reviewed."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</w:t>
            </w:r>
            <w:r>
              <w:rPr>
                <w:sz w:val="18"/>
                <w:szCs w:val="18"/>
              </w:rPr>
              <w:t>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23.31, p. 810 — Aetiological factors for oesophageal SCC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"Post-cricoid web" listed as an</w:t>
            </w:r>
            <w:r>
              <w:rPr>
                <w:sz w:val="18"/>
                <w:szCs w:val="18"/>
              </w:rPr>
              <w:t xml:space="preserve"> isolated risk factor.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correct full risk entity is Plummer–Vinson syndrome, not isolated post-cricoid webs.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Bailey &amp; Love 28th ed.; Sabiston Textbook of Surgery 21st ed.; Robbins and Cotran Pathologic Basis of Disease 10th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replace "post-cricoid webs" with "Plummer–Vinson syndrome." Applied in next print cycle.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Plummer–Vinson syndrome not named as the correct nosological entity.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 xml:space="preserve">Add Plummer–Vinson syndrome (triad: dysphagia, iron-deficiency anaemia, oesophageal </w:t>
            </w:r>
            <w:r>
              <w:rPr>
                <w:sz w:val="18"/>
                <w:szCs w:val="18"/>
              </w:rPr>
              <w:t>web).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Sabiston Textbook of Surgery, 21st ed.; Bailey &amp; Love, 28th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Accepted for next print cycle.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Iron-deficiency anaemia association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iron-deficiency anaemia is a defining feature of Plummer–Vinson syndrome.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Robbins and Cotran Pathologic Basis of Disease, 10th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Accepted (incorporated under PV syndrome).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Glossitis association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glossitis is a defining feature of Plummer–Vinson syndrome.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Robbins and Cotran Pathologic Basis of Disease, 10th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Accepted (incorporated under PV syndrome).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Coeliac disease listed as a risk factor for oesophageal SCC.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Remove: coeliac disease is associated with small-bowel malignancies (EATL, small bowel adenocarcinoma), not oesophageal SCC.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WHO World Cancer Report 2020 (IARC); Han Y et al., Aliment Pharmacol Ther 2014.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Author: remove coeliac disease from the ris</w:t>
            </w:r>
            <w:r>
              <w:rPr>
                <w:sz w:val="18"/>
                <w:szCs w:val="18"/>
              </w:rPr>
              <w:t>k-factor list. Applied in next print cycle.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Pathophysiological clarification of upper-oesophageal SCC mechanism not provided.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Clarify: it is PV syndrome (full triad) — not isolated webs — that drives the upper-oesophageal/pharyngeal SCC risk.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Bai</w:t>
            </w:r>
            <w:r>
              <w:rPr>
                <w:sz w:val="18"/>
                <w:szCs w:val="18"/>
              </w:rPr>
              <w:t>ley &amp; Love, 28th ed.; Sabiston, 21st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Reflected in the accepted replacement of terminology.</w:t>
            </w:r>
          </w:p>
        </w:tc>
      </w:tr>
    </w:tbl>
    <w:p w:rsidR="00870702" w:rsidRDefault="008D3C85">
      <w:r>
        <w:br w:type="page"/>
      </w:r>
    </w:p>
    <w:p w:rsidR="00870702" w:rsidRDefault="008D3C85">
      <w:pPr>
        <w:pStyle w:val="Heading1"/>
        <w:jc w:val="center"/>
      </w:pPr>
      <w:r>
        <w:lastRenderedPageBreak/>
        <w:t>Book 5 — Nelson Textbook of Pediatrics</w:t>
      </w:r>
    </w:p>
    <w:p w:rsidR="00870702" w:rsidRDefault="008D3C85">
      <w:pPr>
        <w:spacing w:before="60" w:after="200"/>
        <w:jc w:val="center"/>
      </w:pPr>
      <w:r>
        <w:rPr>
          <w:b/>
          <w:bCs/>
          <w:color w:val="C00000"/>
        </w:rPr>
        <w:t>Total: 43 independent sub-contributions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300"/>
        <w:gridCol w:w="3300"/>
        <w:gridCol w:w="1860"/>
      </w:tblGrid>
      <w:tr w:rsidR="0087070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Issue Identified in Text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Correction &amp; Supporting References</w:t>
            </w:r>
          </w:p>
        </w:tc>
        <w:tc>
          <w:tcPr>
            <w:tcW w:w="18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Editorial Response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Ch 743 (Marfan &amp; Related), Table 743.4, p. 4367 — Loeys–Dietz row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TGFBR3 listed as a Loeys–Dietz gene.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 TGFBR3 — not an established LDS-associated gene.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Loeys BL et al., Nature Genetics 2005; OMIM 609192; GeneReviews — Loeys-Dietz Syndrome.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Author team acknowledged; consulting with editors on corrections.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TGFBR2 listed twice in the Loeys–Dietz row (duplication).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 duplicate TGFBR2 entry.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OMIM 610168; GeneReviews — Loeys-Dietz Syndrome.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 for correction.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SMAD3 not explicitly listed as canonical Loeys–Dietz gene.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SMAD3 as a canonical LDS gene.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GeneReviews — Loeys-Dietz Syndrome; OMIM 613795 (LDS3).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TGFB2 not explicitly listed.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TGFB2 as a canonical LDS gene.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GeneReviews — Loeys-Dietz; OMIM 614816 (LDS4).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TGFB3 not explicitly listed.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TGFB3 as a canonical LDS gene.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GeneReviews — Loeys-Dietz; OMIM 615582 (LDS5).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743.4 — BAV with aortic aneurysm (OMIM 109730)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Attributed to ACTA2.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 ACTA2 attribution — ACTA2 is a major cause of familial thoracic aortic aneurysm and dissection (FTAAD), not bicuspid aortic valve disease.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MIM 109730; Guo DC et al., Nat Genet 2007 (ACTA2/FTAAD).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NOTCH1 omitted from BAV genetic associations.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NOTCH1 as the key BAV-associated gene.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Garg V et al., Nature 2005; OMIM 109730.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FTAAD vs BAV distinction not made.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Clarify in the table that ACTA2 → FTAAD spectrum; NOTCH1 → BAV — distinct nosological entities.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Guo DC et al., Nat Genet 2007; Garg V et al., Nature 2005.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743.4 — Shprintzen–Goldberg syndrome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Cardiac features listed as "None."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 "None" — cardiac involvement does occur.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GeneReviews — Shprintzen-Goldberg Craniosynostosis Syndrome.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Aortic root dilatation not listed as a card</w:t>
            </w:r>
            <w:r>
              <w:rPr>
                <w:sz w:val="18"/>
                <w:szCs w:val="18"/>
              </w:rPr>
              <w:t>iac feature.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aortic root dilatation.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GeneReviews — SGS; Doyle AJ et al., Nat Genet 2012.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Aortic aneurysm not listed.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aortic aneurysm as a cardiovascular feature.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GeneReviews — SGS.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12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Valvular abnormalities not listed.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valvular abnormalities.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GeneReviews — SGS.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743.4 — MASA syndrome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Attributed to FBN1.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 FBN1 — incorrect attribution.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OMIM 303350; GeneReviews — L1 Syndrome.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L1CAM not listed as the causative gene.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L1CAM — correct X-linked gene for MASA / L1 syndrome.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GeneReviews — L1 Syndrome; OMIM 308840 (L1CAM).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631.3 — Causes of Microcephaly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Microcephaly defined as "more than 2–3 SD below the mean" — imprecise.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Standard definition: OFC ≤ −2 SD for age and sex.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WHO Child Growth Standards; Ashwal S et al., AAN Practice Parameter (Neurology 2009).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Severe microcephaly threshold not separately defined.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severe microcephaly = OFC ≤ −3 SD.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Ashwal S et al., AAN Practice Parameter, Neurology 2009.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Megalencephaly defined by a "brain weight:volume ratio" — wrong parameter.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Mega</w:t>
            </w:r>
            <w:r>
              <w:rPr>
                <w:sz w:val="18"/>
                <w:szCs w:val="18"/>
              </w:rPr>
              <w:t>lencephaly = increased brain volume, typically OFC ≥ +2 SD.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Mirzaa GM, Poduri A, Am J Med Genet C 2014.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Distinction between megalencephaly and non-parenchymal macrocephaly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macrocephaly may have non-parenchymal causes (e.g., hydrocephalus, subdural collections).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Mirzaa GM, Poduri A, Am J Med Genet C 2014; Standard paediatric neurology references.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"Hydration" listed as a teratogen — clear factual</w:t>
            </w:r>
            <w:r>
              <w:rPr>
                <w:sz w:val="18"/>
                <w:szCs w:val="18"/>
              </w:rPr>
              <w:t xml:space="preserve"> error.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Remove. Hydration is not a teratogen.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Reprotox; Briggs Drugs in Pregnancy and Lactation, 12th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Replacement teratogen exposure not provided.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Replace with valid teratogenic exposure (e.g., alcohol, valproate, isotretinoin).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Briggs Drugs in Pregnancy and Lactation, 12th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575.1 — Risk Factors for UTI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"Pregnancy" listed without age qualification.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Clarify: applies only to pregnant adolescents in a paediatric context.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AAP Clinical Practice Guideline on UTI in Febrile Infants and Children.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"Sexual activity" listed without stratification.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age stratification or brief mechan</w:t>
            </w:r>
            <w:r>
              <w:rPr>
                <w:sz w:val="18"/>
                <w:szCs w:val="18"/>
              </w:rPr>
              <w:t>istic clarification.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AAP UTI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"Toilet training" listed without mechanistic clarification.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mechanistic clarification (incomplete bladder emptying / urinary stasis).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AAP UTI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24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"Methemoglobin" listed as a cause of red urine.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Remove. Methaemoglobin is not excreted in urine and does not cause red urine.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Robbins and Cotran Pathologic Basis of Disease, 10th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Hemoglobinuria omitted as the correct entity in haemolysis.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hemoglobinuria as the relevant cause in intravascular haemolysis.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Robbins and Cotran Pathologic Basis of Disease, 10th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576.1 — VUR clarification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igid timing wording for VCUG.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Frame indications as individualised rather than rigid.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AUA/EAU/ESPU Paediatric Urology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VCUG framed as simply "optional."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Present explicit indications, particularly in severe or bilateral disease.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AUA/EAU/ESPU Paediatric Urology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MAG-3 timing not framed contextually.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individualisation note for MAG-3 timing.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EANM Paediatric Imaging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Ch 199 SLE, Table 199.2, p. 1497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ANA positivity given as a fixed value without qualification.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Qualify: prevalence varies by assay, titre, and definition of persistent positivity.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Aring</w:t>
            </w:r>
            <w:r>
              <w:rPr>
                <w:sz w:val="18"/>
                <w:szCs w:val="18"/>
              </w:rPr>
              <w:t>er M et al., 2019 EULAR/ACR Classification Criteria for SLE.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Antiphospholipid antibody prevalence given as a fixed value.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Qualify: prevalence varies by assay, titre, and persistence definition.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Aringer M et al., 2019 EULAR/ACR Criteria; Garcia D, Erkan D, NEJM 2018.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199.7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Anti-dsDNA not explicitly identified as preferred monitoring marker.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anti-dsDNA titres are preferred for monitoring disease activity.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>Re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fs: </w:t>
            </w:r>
            <w:r>
              <w:rPr>
                <w:sz w:val="18"/>
                <w:szCs w:val="18"/>
              </w:rPr>
              <w:t>ACR/EULAR SLE Treat-to-Target Recommendations; Fanouriakis A et al., Ann Rheum Dis 2019.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Complement (C3/C4, CH50) not explicitly identified as preferred monitoring marker.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complement levels (C3/C4 or CH50) are preferred for monitoring.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Fanouriakis A et al., Ann Rheum Dis 2019; EULAR Recommendations.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199.8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Myocardial infarction listed without paediatric qualification.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Qualify: MI is uncommon in childhood SLE — usually long-term disease, antiphospholipid syndrome, or treatment effects.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Mina R, Brunner HI, Pediatr Clin North Am 2012 (cSLE registries).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34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Retinal detachment listed without paediatric qualification.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Qualify: retinal detachment is uncommon in childhood SLE.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Sivaraj RR et al., Rheumatology 2007 (Ocular manifestations of SLE).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Ch 405, Table 405.1, p. 2455 — Crigler–Najjar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Phenobarbital responsiveness not stated as a distinguishing feature.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State: phenobarbital responsiveness distinguishes Crigler–Najjar type II (responsive) from type I (non-responsive).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GeneReviews — UGT1A</w:t>
            </w:r>
            <w:r>
              <w:rPr>
                <w:sz w:val="18"/>
                <w:szCs w:val="18"/>
              </w:rPr>
              <w:t>1; Liver Disease in Children, 5th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CN type II phenobarbital responsiveness not explicitly mentioned.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CN type II responds to phenobarbital (UGT1A1 induction).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GeneReviews — UGT1A1.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CN type I phenobarbital non-responsiveness not explicitly mentioned.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CN type I does not respond to phenobarbital.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GeneReviews — UGT1A1; Liver Disease in Children, 5th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405.2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Phototherapy not emphasised as p</w:t>
            </w:r>
            <w:r>
              <w:rPr>
                <w:sz w:val="18"/>
                <w:szCs w:val="18"/>
              </w:rPr>
              <w:t>rimary acute measure.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Emphasise phototherapy as primary acute measure in CN type I.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Liver Disease in Children, 5th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Exchange transfusion not emphasised as primary acute measure.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exchange transfusion as primary acute measure in severe cases.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Liver Disease in Children, 5th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Curative role of orthotopic liver transplantation not framed.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OLT is curative for CN type I.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Liver Disease in Children, 5th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Hepatocyte transplantation as a temporary bridge not framed.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hepatocyte transplantation as a temporary bridge to OLT.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Fox IJ et al., NEJM (hepatocyte transplantation in CN-I).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</w:t>
            </w:r>
            <w:r>
              <w:rPr>
                <w:sz w:val="18"/>
                <w:szCs w:val="18"/>
              </w:rPr>
              <w:t>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Experimental gene therapy not labelled as investigational.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explicit labelling of gene therapy as experimental / investigational.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Standard paediatric hepatology literature; ClinicalTrials.gov entries.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Experimental heme-oxygenase inhibitors not labelled as investigational.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explicit labelling of heme-oxygenase inhibitors as experimental.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Standard paediatric hepatology literature.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Acknowledged.</w:t>
            </w:r>
          </w:p>
        </w:tc>
      </w:tr>
    </w:tbl>
    <w:p w:rsidR="00870702" w:rsidRDefault="008D3C85">
      <w:r>
        <w:br w:type="page"/>
      </w:r>
    </w:p>
    <w:p w:rsidR="00870702" w:rsidRDefault="008D3C85">
      <w:pPr>
        <w:pStyle w:val="Heading1"/>
        <w:jc w:val="center"/>
      </w:pPr>
      <w:r>
        <w:lastRenderedPageBreak/>
        <w:t>Book 6 — Principles of Neurological Surgery (4th Edition)</w:t>
      </w:r>
    </w:p>
    <w:p w:rsidR="00870702" w:rsidRDefault="008D3C85">
      <w:pPr>
        <w:spacing w:before="60" w:after="200"/>
        <w:jc w:val="center"/>
      </w:pPr>
      <w:r>
        <w:rPr>
          <w:b/>
          <w:bCs/>
          <w:color w:val="C00000"/>
        </w:rPr>
        <w:t>Total: 11 independent sub-contributions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300"/>
        <w:gridCol w:w="3300"/>
        <w:gridCol w:w="1860"/>
      </w:tblGrid>
      <w:tr w:rsidR="0087070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Issue Identified in Text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Correction &amp; Supporting References</w:t>
            </w:r>
          </w:p>
        </w:tc>
        <w:tc>
          <w:tcPr>
            <w:tcW w:w="18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Editorial Response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p. 110 — function of cautery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"Cautery is used to stop bleeding and open soft tissue structures."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Mischaracterised mechanism. Cautery coagulates bleeding vessels and cuts soft tissue by thermal dissection — not by mechanically "opening" tissue.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Greenberg Handbook of Neurosurgery,</w:t>
            </w:r>
            <w:r>
              <w:rPr>
                <w:sz w:val="18"/>
                <w:szCs w:val="18"/>
              </w:rPr>
              <w:t xml:space="preserve"> 9th ed.; Massarweh NN et al., J Am Coll Surg 2006 (Electrosurgery).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Editor: feedback shared with editorial team for future revisions.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p. 108 — neuronavigation in keyhole surgery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"Neuronavigation is indispensable for minimally invasive keyho</w:t>
            </w:r>
            <w:r>
              <w:rPr>
                <w:sz w:val="18"/>
                <w:szCs w:val="18"/>
              </w:rPr>
              <w:t>le surgeries on suitable lesions."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Overstates necessity. Neuronavigation significantly improves accuracy in MIS but is not strictly indispensable.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Perneczky A, Keyhole Approaches in Neurosurgery; Reisch R et al., Neurosurg Focus 2005.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for editorial consideration.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Anatomical-landmark / microsurgical-technique alternative to neuronavigation not acknowledged.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certain keyhole procedures can be safely performed using anatomical landmarks and microsurgical technique.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>Refs: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Perneczky A, Keyhole Approaches in Neurosurgery.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for editorial consideration.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p. 295 — low- vs high-flow bypass classification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Strategy presented as a binary low-flow vs high-flow choice.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binary classification oversimplifies. Bypass selection should be multifactorial.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Lawton MT, Seven Bypasses; Sundt TM, Stroke 1985.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for editorial consideration.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Quantitative flow demand concept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 xml:space="preserve">Add: bypass selection should </w:t>
            </w:r>
            <w:r>
              <w:rPr>
                <w:sz w:val="18"/>
                <w:szCs w:val="18"/>
              </w:rPr>
              <w:t>be based on quantitative flow demand.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Lawton MT, Seven Bypasses; Charbel FT et al., Neurosurgery 2005.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Graft capacity consideration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graft capacity should be assessed when selecting bypass strategy.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Lawton MT, Seven Bypasses.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Recipient vessel requirement clarification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recipient vessel requirements should guide bypass strategy.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Lawton MT, Seven Bypasses.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p. 298 — fish-mouthing of STA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"Fish-mouthing of STA enlarges the anastomotic aperture." — mechanism mischaracterised.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Fish-mouthing primarily increases SUTURE-LINE LENGTH and facilitates anastomosis.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Lawton MT, Seven Bypasses.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for editorial consideration.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True lumi</w:t>
            </w:r>
            <w:r>
              <w:rPr>
                <w:sz w:val="18"/>
                <w:szCs w:val="18"/>
              </w:rPr>
              <w:t>nal enlargement implication overstated.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Clarify: fish-mouthing does NOT increase the true luminal diameter itself.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Lawton MT, Seven Bypasses.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10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p. 103 — patient positioning and venous outflow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Positioning framed only as avoidance of internal jugular vein compression.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Positioning should minimise brain retraction and avoid obstruction of ALL major cerebral venous outflow pathways.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Greenberg Handbook of Neurosurgery, 9th ed.; standard neurosu</w:t>
            </w:r>
            <w:r>
              <w:rPr>
                <w:sz w:val="18"/>
                <w:szCs w:val="18"/>
              </w:rPr>
              <w:t>rgical positioning literature.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for editorial consideration.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Vertebral venous drainage omitted from positioning considerations.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vertebral venous drainage should be preserved.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Standard neurosurgical positioning literature; Tobinick E, Med Hypotheses 2006 (vertebral venous plexus).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</w:tbl>
    <w:p w:rsidR="00870702" w:rsidRDefault="008D3C85">
      <w:r>
        <w:br w:type="page"/>
      </w:r>
    </w:p>
    <w:p w:rsidR="00870702" w:rsidRDefault="008D3C85">
      <w:pPr>
        <w:pStyle w:val="Heading1"/>
        <w:jc w:val="center"/>
      </w:pPr>
      <w:r>
        <w:lastRenderedPageBreak/>
        <w:t>Book 7 — Dermatology Essentials (2nd Edition)</w:t>
      </w:r>
    </w:p>
    <w:p w:rsidR="00870702" w:rsidRDefault="008D3C85">
      <w:pPr>
        <w:spacing w:before="60" w:after="200"/>
        <w:jc w:val="center"/>
      </w:pPr>
      <w:r>
        <w:rPr>
          <w:b/>
          <w:bCs/>
          <w:color w:val="C00000"/>
        </w:rPr>
        <w:t>Total: 11 independent sub-contributions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300"/>
        <w:gridCol w:w="3300"/>
        <w:gridCol w:w="1860"/>
      </w:tblGrid>
      <w:tr w:rsidR="0087070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Issue Identified in Text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Correction &amp; Supporting References</w:t>
            </w:r>
          </w:p>
        </w:tc>
        <w:tc>
          <w:tcPr>
            <w:tcW w:w="18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Editorial Response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p. 95 — Koebner phenomenon entities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Still disease included.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Remove. Still disease is not a recognised dermatologic condition associated with the Koebner phenomenon.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Rook's Textbook of</w:t>
            </w:r>
            <w:r>
              <w:rPr>
                <w:sz w:val="18"/>
                <w:szCs w:val="18"/>
              </w:rPr>
              <w:t xml:space="preserve"> Dermatology, 10th ed.; Bolognia Dermatology, 5th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No distinction between true Koebner and pseudo-Koebner.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explicit distinction between true Koebner (psoriasis, vitiligo, lichen planus) and pseudo-Koebner (viral inoculation phenomenon).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Boyd AS, Neldner KH, J Am Acad Dermatol 1990 — Koebner pheno</w:t>
            </w:r>
            <w:r>
              <w:rPr>
                <w:sz w:val="18"/>
                <w:szCs w:val="18"/>
              </w:rPr>
              <w:t>menon review.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Verrucae listed as true Koebner.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Reclassify as pseudo-Koebnerization (inoculation), not</w:t>
            </w:r>
            <w:r>
              <w:rPr>
                <w:sz w:val="18"/>
                <w:szCs w:val="18"/>
              </w:rPr>
              <w:t xml:space="preserve"> true Koebner.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Rook's Textbook of Dermatology, 10th ed.; Boyd AS, Neldner KH, JAAD 1990.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Molluscum contagiosum listed without pseudo-Koebner qualification.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Reclassify as pseudo-Koebnerization.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Rook's 10th ed.; Bolognia Dermatology, 5th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</w:t>
            </w:r>
            <w:r>
              <w:rPr>
                <w:sz w:val="18"/>
                <w:szCs w:val="18"/>
              </w:rPr>
              <w:t>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Darier disease omitted from the list.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Darier disease.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Rook's 10th ed.; Bolognia 5th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Mycosis fungoides omitted from the list.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mycosis fungoides.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Rook's 10th ed.; Boyd AS, JAAD 1990.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 xml:space="preserve">◐ Discussion currently in progress with the editorial team to address the rejection — scientific </w:t>
            </w:r>
            <w:r>
              <w:rPr>
                <w:sz w:val="18"/>
                <w:szCs w:val="18"/>
              </w:rPr>
              <w:lastRenderedPageBreak/>
              <w:t>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Erythema multiforme omitted from the list.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erythema multiforme — can demonstrate Koebner phenomenon (post-trauma/sunburn).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Rook's 10th ed.; Bolognia 5th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</w:t>
            </w:r>
            <w:r>
              <w:rPr>
                <w:sz w:val="18"/>
                <w:szCs w:val="18"/>
              </w:rPr>
              <w:t>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No categorical classification structure.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structured categorisation of Koebner-related conditions.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Boyd AS, Neldner KH, JAAD 1990.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</w:t>
            </w:r>
            <w:r>
              <w:rPr>
                <w:sz w:val="18"/>
                <w:szCs w:val="18"/>
              </w:rPr>
              <w:t>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True-Koebner category absent.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explicit "True Koebner" category: psoriasis, vitiligo, lichen planus.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Boyd AS, JAAD 1990.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Pseudo-Koebner category absent.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 xml:space="preserve">Add explicit "Pseudo-Koebner" category: viral infections (verrucae, </w:t>
            </w:r>
            <w:r>
              <w:rPr>
                <w:sz w:val="18"/>
                <w:szCs w:val="18"/>
              </w:rPr>
              <w:t>molluscum).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Boyd AS, JAAD 1990.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Occasional-association category absent.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explicit "Occasional / less consistent associations" category.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Boyd AS, JAAD 1990.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69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◐ Discussion currently in progress with the editorial team to address the rejection — scientific basis fully defensible per cited canonical references.</w:t>
            </w:r>
          </w:p>
        </w:tc>
      </w:tr>
    </w:tbl>
    <w:p w:rsidR="00870702" w:rsidRDefault="008D3C85">
      <w:r>
        <w:br w:type="page"/>
      </w:r>
    </w:p>
    <w:p w:rsidR="00870702" w:rsidRDefault="008D3C85">
      <w:pPr>
        <w:pStyle w:val="Heading1"/>
        <w:jc w:val="center"/>
      </w:pPr>
      <w:r>
        <w:lastRenderedPageBreak/>
        <w:t>Book 8 —</w:t>
      </w:r>
      <w:r>
        <w:t xml:space="preserve"> Basic and Clinical Pharmacology by Katzung (2013 Edition)</w:t>
      </w:r>
    </w:p>
    <w:p w:rsidR="00870702" w:rsidRDefault="008D3C85">
      <w:pPr>
        <w:spacing w:before="60" w:after="200"/>
        <w:jc w:val="center"/>
      </w:pPr>
      <w:r>
        <w:rPr>
          <w:b/>
          <w:bCs/>
          <w:color w:val="C00000"/>
        </w:rPr>
        <w:t>Total: 7 independent sub-contributions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300"/>
        <w:gridCol w:w="3300"/>
        <w:gridCol w:w="1860"/>
      </w:tblGrid>
      <w:tr w:rsidR="0087070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Issue Identified in Text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Correction &amp; Supporting References</w:t>
            </w:r>
          </w:p>
        </w:tc>
        <w:tc>
          <w:tcPr>
            <w:tcW w:w="18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Editorial Response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Table 9-1, p. 77 — alpha-2 receptor locations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Alpha-2 receptors presented as located on cholinergic nerve terminals.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Misleading. Alpha-2 adrenergic receptors are PRIMARILY on adrenergic nerve terminals.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Lippincott Illustrated Reviews: Pharmacology, 8th ed.; Goodman &amp; Gilman's The Pharmacological</w:t>
            </w:r>
            <w:r>
              <w:rPr>
                <w:sz w:val="18"/>
                <w:szCs w:val="18"/>
              </w:rPr>
              <w:t xml:space="preserve"> Basis of Therapeutics, 14th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Editor: confirmed feedback passed to authors; change will be made in the new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Primary adrenergic autoreceptor role omitted.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State explicitly: alpha-2 receptors act primarily as autoreceptors on adrenergic neurons, mediating feedback inhibition of noradrenaline release.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Goodman &amp; Gilman's 14th ed.; Starke K, Rev Physiol Biochem Pharmacol 2001.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Will be reflected in new ed</w:t>
            </w:r>
            <w:r>
              <w:rPr>
                <w:sz w:val="18"/>
                <w:szCs w:val="18"/>
              </w:rPr>
              <w:t>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Heteroreceptor role on cholinergic terminals not qualified as secondary.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Note: cholinergic-terminal heteroreceptor function is secondary and infrequent.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Goodman &amp; Gilman's 14th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Will be reflected in new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Feedback-inhibition mechanism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principal physiological function is feedback inhibition of noradrenaline release.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Lippincott's Pharmacology, 8th ed.; Goodman &amp; Gilman's 14th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Will be reflected in new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Question</w:t>
            </w:r>
            <w:r>
              <w:rPr>
                <w:sz w:val="18"/>
                <w:szCs w:val="18"/>
              </w:rPr>
              <w:t xml:space="preserve"> 2, p. 57 — minoxidil case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Wording obscures that BP reduction is minoxidil's primary effect.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Reword to specify: minoxidil's primary action is BP reduction (powerful arteriolar vasodilator, no autonomic receptor activity).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Katzung Basic &amp; Clinical Pharmacology, 16th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Editor: change will be made in new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Mean arterial pressure reduction not explicitly identified as primary outcome.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 explicit statement that MAP reduction is the primary haemodynamic outcome.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>R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efs: </w:t>
            </w:r>
            <w:r>
              <w:rPr>
                <w:sz w:val="18"/>
                <w:szCs w:val="18"/>
              </w:rPr>
              <w:t>Katzung Basic &amp; Clinical Pharmacology, 16th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Will be reflected in new edition.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Compensatory physiological responses not framed pedagogically.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Frame tachycardia / increased contractility as compensatory responses to BP reduction.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Katzung Basic &amp; Clinical Pharmacology, 16th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Will be reflected in new edition.</w:t>
            </w:r>
          </w:p>
        </w:tc>
      </w:tr>
    </w:tbl>
    <w:p w:rsidR="00870702" w:rsidRDefault="008D3C85">
      <w:r>
        <w:br w:type="page"/>
      </w:r>
    </w:p>
    <w:p w:rsidR="00870702" w:rsidRDefault="008D3C85">
      <w:pPr>
        <w:pStyle w:val="Heading1"/>
        <w:jc w:val="center"/>
      </w:pPr>
      <w:r>
        <w:lastRenderedPageBreak/>
        <w:t>Book 9 — Apley &amp; Solomon's System of Orthopaedics and Trauma</w:t>
      </w:r>
    </w:p>
    <w:p w:rsidR="00870702" w:rsidRDefault="008D3C85">
      <w:pPr>
        <w:spacing w:before="60" w:after="200"/>
        <w:jc w:val="center"/>
      </w:pPr>
      <w:r>
        <w:rPr>
          <w:b/>
          <w:bCs/>
          <w:color w:val="C00000"/>
        </w:rPr>
        <w:t>Total: 19 independent sub-contributions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300"/>
        <w:gridCol w:w="3300"/>
        <w:gridCol w:w="1860"/>
      </w:tblGrid>
      <w:tr w:rsidR="0087070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Issue Identified in Text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Correction &amp; Supporting References</w:t>
            </w:r>
          </w:p>
        </w:tc>
        <w:tc>
          <w:tcPr>
            <w:tcW w:w="18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Editorial Response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Cerebral palsy, p. 240 — IVH/HIE relationship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"Neonatal ultrasound may identify IVH due to HIE."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IVH is NOT caused by HIE.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Volpe's Neurology of the Newborn, 6th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Editor (Prof. Ashley Blom): not editing the next edition; will pass to incoming editors.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Distinct aetiologies of IVH and HIE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Clarify: IVH is associated with prematurity and germinal matrix fragility; HIE results from perinatal hypoxia.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Volpe's Neurology of the Newborn, 6th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 to incoming editors.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Cerebral palsy, p. 240 — Intrathecal baclofen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"The catheter… leads from the pump into the epidural space."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catheter is placed in the intrathecal (subarachnoid</w:t>
            </w:r>
            <w:r>
              <w:rPr>
                <w:sz w:val="18"/>
                <w:szCs w:val="18"/>
              </w:rPr>
              <w:t>) space, not the epidural space.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Medtronic ITB Therapy literature; UpToDate — Intrathecal Baclofen.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Cerebral palsy, p. 240 — corticospinal tract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"The corticospinal tracts (in the anterior columns)."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Principal corticospinal tracts are in the LATERAL columns (lateral corticospinal tract); a smaller anterior corticospinal tract exists.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Snell's Clinical Neuroanatomy, 8th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Cerebral palsy, p. 240 — definition of dystonia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"Dystonic — characterized by hypokinesia and hypertonia."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Dystonia is a HYPERKINETIC movement disorder — defined by involuntary, often twisting movement, not hypokinesia.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Albanese A et al., Mov Disord 2</w:t>
            </w:r>
            <w:r>
              <w:rPr>
                <w:sz w:val="18"/>
                <w:szCs w:val="18"/>
              </w:rPr>
              <w:t>013 — MDS Consensus on Dystonia.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Cerebral palsy, p. 240 — choreoathetosis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"Choreoathetotic — characterized by hyperkinesia and hypotonia."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Choreoathetosis: hyperkinetic with FLUCTUATING muscle tone — not uniformly reduced.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DS definitions; Sanger TD et al., Pediatrics 2010.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Cerebral palsy, p. 240 — commonest CP type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"Hemiplegia is the commonest form of cerebral palsy."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Spastic CP is the most common type overall; spastic diplegia frequently predominant in preterm populations.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Surveillance of Cerebral Palsy in Europe (SCPE), Dev Med Child Neurol 2000; Oskoui M et al., Dev Med Child Neurol 2013.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Use of</w:t>
            </w:r>
            <w:r>
              <w:rPr>
                <w:sz w:val="18"/>
                <w:szCs w:val="18"/>
              </w:rPr>
              <w:t xml:space="preserve"> "bilateral hemiplegia" — outdated terminology.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Current SCPE classification: unilateral / bilateral involvement + GMFCS functional classification.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SCPE, Dev Med Child Neurol 2000.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"Asymmetric diplegia" used as descriptor — outdated.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Replace with bilateral involvement + GMFCS functional classification.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SCPE; Rosenbaum P et al., GMFCS-E&amp;R 2008.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10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"Absence of any two primitive reflexes at 12 months is concerning."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PERSISTENCE — not absence — of primitive reflexes beyond 12 months is clinically concerning.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Bly L, Motor Skills Acquisition in the First Year; Standard paediatric neurology references.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Fixed-age motor-milestone prognostication outda</w:t>
            </w:r>
            <w:r>
              <w:rPr>
                <w:sz w:val="18"/>
                <w:szCs w:val="18"/>
              </w:rPr>
              <w:t>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Use GMFCS for prognosis rather than fixed age cut-offs.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Rosenbaum P et al., GMFCS-E&amp;R 2008; Palisano RJ et al., Dev Med Child Neurol 1997.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"Watching motor response gives insight into intellectual ability."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Motor observation alone is unreliable for cognitive assessment — formal neuropsychological evaluation required.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AACPDM Care Pathways; Novak I et al., JAMA Pediatr 2017.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Cognitive sparing in severe-motor CP (dyskinetic) not stated.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</w:rPr>
              <w:t>d: children with severe motor impairment (e.g., dyskinetic CP) may have normal cognition.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AACPDM Care Pathways; Himmelmann K et al., Dev Med Child Neurol 2009.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"Ataxic cerebral palsy is usually due to cerebellar damage."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Often associated with cerebellar maldevelopment or structural abnormalities, not purely acquired perinatal injury.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Volpe's Neurology of the Newborn, 6th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p. 211 — soft-tissue tumours diagnosis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"These tumours can be diagnosed on clinical examination and imaging."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Definitive diagnosis requires histological confirmation by biopsy with pathological assessment.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NCCN Soft Tissue Sarcoma Guidelines; ESMO Clinical Practice Guidelines.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Immunohistochemistry not mentioned.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pathological assessment often includes immunohistochemistry.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NCCN STS Guidelines; WHO Classification of Tumours of Soft Tissue and Bone.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p. 204 — osteofibrous dysplasia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"Osteofibrous dysplasia is a benign, non-osseous lesion of bone."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Correct description: benign FIBRO-OSSEOUS intracortical lesion, most commonly affecting the anterior cortex of the tibial diaphysis in children.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WHO Classification of Tumours of Soft T</w:t>
            </w:r>
            <w:r>
              <w:rPr>
                <w:sz w:val="18"/>
                <w:szCs w:val="18"/>
              </w:rPr>
              <w:t>issue and Bone, 5th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18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p. 213 — Ewing sarcoma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"Ewing's sarcoma is believed to arise from mesenchymal stem cells in the bone marrow."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Ewing sarcoma is a primitive small-round-cell tumour characterised by EWSR1-related gene fusion</w:t>
            </w:r>
            <w:r>
              <w:rPr>
                <w:sz w:val="18"/>
                <w:szCs w:val="18"/>
              </w:rPr>
              <w:t>s; precise cell of origin remains uncertain.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WHO Classification of Tumours of Soft Tissue and Bone, 5th ed.; Grünewald TGP et al., Nat Rev Dis Primers 2018.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19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EWSR1-FLI1 most common fusion not named.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Add: most common fusion is EWSR1–FLI1.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WHO Classification; Grünewald TGP et al., Nat Rev Dis Primers 2018.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</w:tbl>
    <w:p w:rsidR="00870702" w:rsidRDefault="008D3C85">
      <w:r>
        <w:br w:type="page"/>
      </w:r>
    </w:p>
    <w:p w:rsidR="00870702" w:rsidRDefault="008D3C85">
      <w:pPr>
        <w:pStyle w:val="Heading1"/>
        <w:jc w:val="center"/>
      </w:pPr>
      <w:r>
        <w:lastRenderedPageBreak/>
        <w:t>Book 10 — Orthobullets — Sciatic Nerve Reference</w:t>
      </w:r>
    </w:p>
    <w:p w:rsidR="00870702" w:rsidRDefault="008D3C85">
      <w:pPr>
        <w:spacing w:before="60" w:after="200"/>
        <w:jc w:val="center"/>
      </w:pPr>
      <w:r>
        <w:rPr>
          <w:b/>
          <w:bCs/>
          <w:color w:val="C00000"/>
        </w:rPr>
        <w:t>Total: 8 independent sub-contributions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300"/>
        <w:gridCol w:w="3300"/>
        <w:gridCol w:w="1860"/>
      </w:tblGrid>
      <w:tr w:rsidR="0087070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Issue Identified in Text</w:t>
            </w:r>
          </w:p>
        </w:tc>
        <w:tc>
          <w:tcPr>
            <w:tcW w:w="330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Correction &amp; Supporting References</w:t>
            </w:r>
          </w:p>
        </w:tc>
        <w:tc>
          <w:tcPr>
            <w:tcW w:w="18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FFFFFF"/>
              </w:rPr>
              <w:t>Editorial Response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Sciatic nerve — tibial division sensory innervation</w:t>
            </w:r>
          </w:p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Listed as "none."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Tibial nerve provides significant sensory innervation: medial sural cutaneous nerve, contribution to sural nerve, and plan</w:t>
            </w:r>
            <w:r>
              <w:rPr>
                <w:sz w:val="18"/>
                <w:szCs w:val="18"/>
              </w:rPr>
              <w:t>tar sensation via medial and lateral plantar nerves.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Snell's Clinical Anatomy, 10th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Orthobullets editorial team: forwarded for review.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Peroneal division listed as motor for ALL intrinsic foot muscles.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All listed intrinsic foot muscles are innervated by the TIBIAL nerve (via medial and lateral plantar branches). The peroneal division does NOT supply intrinsic plantar foot muscles.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Moore's Clinically Oriented Anatomy, 9th e</w:t>
            </w:r>
            <w:r>
              <w:rPr>
                <w:sz w:val="18"/>
                <w:szCs w:val="18"/>
              </w:rPr>
              <w:t>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Sural nerve listed solely as a branch of the peroneal division.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 sural nerve is formed by contributions from BOTH the tibial nerve (medial sural cutaneous) and the common peroneal nerve (communicating branch).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"Sciatic runs anterior or deep to piriformis."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Sciatic nerve typically exits the pelvis INFERIOR to piriformis; variations exist (Beaton &amp; Anson classification), but it does not pass anterior.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Beaton LE, Anson BJ, Anat Rec 1937.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"Runs down the posterior leg."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Sciatic does NOT descend into the leg as an intact structure. It divides in the DISTAL THIGH, near the apex of the popliteal fossa.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6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"Breaks into its three main divisions."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Sciatic divides into TWO terminal branches — the tibial nerve and the common peroneal nerve.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ed.; Moore's Clinically Oriented Anatomy, 9th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</w:t>
            </w:r>
            <w:r>
              <w:rPr>
                <w:sz w:val="18"/>
                <w:szCs w:val="18"/>
              </w:rPr>
              <w:t>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7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Motor innervation of gastrocnemius / soleus / popliteus attributed directly to the sciatic.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These muscles are innervated by the TIBIAL nerve AFTER division of the sciatic — not directly by the sciatic.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Refs: </w:t>
            </w:r>
            <w:r>
              <w:rPr>
                <w:sz w:val="18"/>
                <w:szCs w:val="18"/>
              </w:rPr>
              <w:t>Gray's Anatomy, 42nd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→ Forwarded.</w:t>
            </w:r>
          </w:p>
        </w:tc>
      </w:tr>
      <w:tr w:rsidR="0087070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70702" w:rsidRDefault="008D3C85">
            <w:pPr>
              <w:jc w:val="center"/>
            </w:pPr>
            <w:r>
              <w:rPr>
                <w:b/>
                <w:bCs/>
                <w:color w:val="1F3864"/>
              </w:rPr>
              <w:t>8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"Preaxial and postaxial branches" — non-standard terminology.</w:t>
            </w:r>
          </w:p>
        </w:tc>
        <w:tc>
          <w:tcPr>
            <w:tcW w:w="3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t>More accurate: anterior division (tibial) and posterior division (peroneal) of the lumbosacral plexus.</w:t>
            </w:r>
          </w:p>
          <w:p w:rsidR="00870702" w:rsidRDefault="008D3C85">
            <w:pPr>
              <w:spacing w:before="30" w:after="30"/>
            </w:pPr>
            <w:r>
              <w:rPr>
                <w:b/>
                <w:bCs/>
                <w:color w:val="1F3864"/>
                <w:sz w:val="18"/>
                <w:szCs w:val="18"/>
              </w:rPr>
              <w:lastRenderedPageBreak/>
              <w:t xml:space="preserve">Refs: </w:t>
            </w:r>
            <w:r>
              <w:rPr>
                <w:sz w:val="18"/>
                <w:szCs w:val="18"/>
              </w:rPr>
              <w:t xml:space="preserve">Gray's Anatomy, 42nd ed.; </w:t>
            </w:r>
            <w:bookmarkStart w:id="0" w:name="_GoBack"/>
            <w:bookmarkEnd w:id="0"/>
            <w:r>
              <w:rPr>
                <w:sz w:val="18"/>
                <w:szCs w:val="18"/>
              </w:rPr>
              <w:t>Sadler TW, Langman's Medical Embryology, 14th ed.</w:t>
            </w:r>
          </w:p>
        </w:tc>
        <w:tc>
          <w:tcPr>
            <w:tcW w:w="18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70702" w:rsidRDefault="008D3C85">
            <w:pPr>
              <w:spacing w:before="30" w:after="30"/>
            </w:pPr>
            <w:r>
              <w:rPr>
                <w:sz w:val="18"/>
                <w:szCs w:val="18"/>
              </w:rPr>
              <w:lastRenderedPageBreak/>
              <w:t>→ For</w:t>
            </w:r>
            <w:r>
              <w:rPr>
                <w:sz w:val="18"/>
                <w:szCs w:val="18"/>
              </w:rPr>
              <w:t>warded.</w:t>
            </w:r>
          </w:p>
        </w:tc>
      </w:tr>
    </w:tbl>
    <w:p w:rsidR="00870702" w:rsidRDefault="008D3C85">
      <w:r>
        <w:lastRenderedPageBreak/>
        <w:br w:type="page"/>
      </w:r>
    </w:p>
    <w:sectPr w:rsidR="00870702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85" w:rsidRDefault="008D3C85">
      <w:r>
        <w:separator/>
      </w:r>
    </w:p>
  </w:endnote>
  <w:endnote w:type="continuationSeparator" w:id="0">
    <w:p w:rsidR="008D3C85" w:rsidRDefault="008D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02" w:rsidRDefault="008D3C85">
    <w:pPr>
      <w:jc w:val="center"/>
    </w:pP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 w:rsidR="001E15F2">
      <w:rPr>
        <w:color w:val="595959"/>
        <w:sz w:val="16"/>
        <w:szCs w:val="16"/>
      </w:rPr>
      <w:fldChar w:fldCharType="separate"/>
    </w:r>
    <w:r w:rsidR="001E15F2">
      <w:rPr>
        <w:noProof/>
        <w:color w:val="595959"/>
        <w:sz w:val="16"/>
        <w:szCs w:val="16"/>
      </w:rPr>
      <w:t>28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 w:rsidR="001E15F2">
      <w:rPr>
        <w:color w:val="595959"/>
        <w:sz w:val="16"/>
        <w:szCs w:val="16"/>
      </w:rPr>
      <w:fldChar w:fldCharType="separate"/>
    </w:r>
    <w:r w:rsidR="001E15F2">
      <w:rPr>
        <w:noProof/>
        <w:color w:val="595959"/>
        <w:sz w:val="16"/>
        <w:szCs w:val="16"/>
      </w:rPr>
      <w:t>32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85" w:rsidRDefault="008D3C85">
      <w:r>
        <w:separator/>
      </w:r>
    </w:p>
  </w:footnote>
  <w:footnote w:type="continuationSeparator" w:id="0">
    <w:p w:rsidR="008D3C85" w:rsidRDefault="008D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02" w:rsidRDefault="008D3C85">
    <w:pPr>
      <w:pBdr>
        <w:bottom w:val="single" w:sz="6" w:space="1" w:color="1F3864"/>
      </w:pBdr>
      <w:jc w:val="center"/>
    </w:pPr>
    <w:r>
      <w:rPr>
        <w:i/>
        <w:iCs/>
        <w:color w:val="595959"/>
        <w:sz w:val="16"/>
        <w:szCs w:val="16"/>
      </w:rPr>
      <w:t>Master event archive — Supplementary Material 1 — Mohammed Waleed Abdullah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7BB8"/>
    <w:multiLevelType w:val="hybridMultilevel"/>
    <w:tmpl w:val="4BDA5326"/>
    <w:lvl w:ilvl="0" w:tplc="36166B1E">
      <w:start w:val="1"/>
      <w:numFmt w:val="bullet"/>
      <w:lvlText w:val="●"/>
      <w:lvlJc w:val="left"/>
      <w:pPr>
        <w:ind w:left="720" w:hanging="360"/>
      </w:pPr>
    </w:lvl>
    <w:lvl w:ilvl="1" w:tplc="B5425840">
      <w:start w:val="1"/>
      <w:numFmt w:val="bullet"/>
      <w:lvlText w:val="○"/>
      <w:lvlJc w:val="left"/>
      <w:pPr>
        <w:ind w:left="1440" w:hanging="360"/>
      </w:pPr>
    </w:lvl>
    <w:lvl w:ilvl="2" w:tplc="E0F6DAA0">
      <w:start w:val="1"/>
      <w:numFmt w:val="bullet"/>
      <w:lvlText w:val="■"/>
      <w:lvlJc w:val="left"/>
      <w:pPr>
        <w:ind w:left="2160" w:hanging="360"/>
      </w:pPr>
    </w:lvl>
    <w:lvl w:ilvl="3" w:tplc="D548ACA6">
      <w:start w:val="1"/>
      <w:numFmt w:val="bullet"/>
      <w:lvlText w:val="●"/>
      <w:lvlJc w:val="left"/>
      <w:pPr>
        <w:ind w:left="2880" w:hanging="360"/>
      </w:pPr>
    </w:lvl>
    <w:lvl w:ilvl="4" w:tplc="C6E27B38">
      <w:start w:val="1"/>
      <w:numFmt w:val="bullet"/>
      <w:lvlText w:val="○"/>
      <w:lvlJc w:val="left"/>
      <w:pPr>
        <w:ind w:left="3600" w:hanging="360"/>
      </w:pPr>
    </w:lvl>
    <w:lvl w:ilvl="5" w:tplc="968AABF6">
      <w:start w:val="1"/>
      <w:numFmt w:val="bullet"/>
      <w:lvlText w:val="■"/>
      <w:lvlJc w:val="left"/>
      <w:pPr>
        <w:ind w:left="4320" w:hanging="360"/>
      </w:pPr>
    </w:lvl>
    <w:lvl w:ilvl="6" w:tplc="8F1A4CC6">
      <w:start w:val="1"/>
      <w:numFmt w:val="bullet"/>
      <w:lvlText w:val="●"/>
      <w:lvlJc w:val="left"/>
      <w:pPr>
        <w:ind w:left="5040" w:hanging="360"/>
      </w:pPr>
    </w:lvl>
    <w:lvl w:ilvl="7" w:tplc="DAF8EFBE">
      <w:start w:val="1"/>
      <w:numFmt w:val="bullet"/>
      <w:lvlText w:val="●"/>
      <w:lvlJc w:val="left"/>
      <w:pPr>
        <w:ind w:left="5760" w:hanging="360"/>
      </w:pPr>
    </w:lvl>
    <w:lvl w:ilvl="8" w:tplc="CA7A26D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02"/>
    <w:rsid w:val="001E15F2"/>
    <w:rsid w:val="00870702"/>
    <w:rsid w:val="008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B8E79C-B145-43BD-B865-B8DD66F1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20" w:after="200"/>
      <w:outlineLvl w:val="0"/>
    </w:pPr>
    <w:rPr>
      <w:b/>
      <w:bCs/>
      <w:color w:val="1F3864"/>
      <w:sz w:val="30"/>
      <w:szCs w:val="30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9470</Words>
  <Characters>53985</Characters>
  <Application>Microsoft Office Word</Application>
  <DocSecurity>0</DocSecurity>
  <Lines>449</Lines>
  <Paragraphs>126</Paragraphs>
  <ScaleCrop>false</ScaleCrop>
  <Company>Al-Qaisar Technologies</Company>
  <LinksUpToDate>false</LinksUpToDate>
  <CharactersWithSpaces>63329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DISCOVERY</cp:lastModifiedBy>
  <cp:revision>2</cp:revision>
  <dcterms:created xsi:type="dcterms:W3CDTF">2026-05-29T19:23:00Z</dcterms:created>
  <dcterms:modified xsi:type="dcterms:W3CDTF">2026-05-29T19:23:00Z</dcterms:modified>
</cp:coreProperties>
</file>