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25A5" w14:textId="77777777" w:rsidR="006907C1" w:rsidRPr="009A19A1" w:rsidRDefault="006907C1" w:rsidP="006907C1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 wp14:anchorId="212718D5" wp14:editId="49154CCF">
            <wp:extent cx="8548777" cy="3968555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03" b="9449"/>
                    <a:stretch/>
                  </pic:blipFill>
                  <pic:spPr bwMode="auto">
                    <a:xfrm>
                      <a:off x="0" y="0"/>
                      <a:ext cx="8557513" cy="3972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5F6D8" w14:textId="77777777" w:rsidR="006907C1" w:rsidRPr="009A19A1" w:rsidRDefault="006907C1" w:rsidP="006907C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Supplement 1</w:t>
      </w:r>
      <w:r w:rsidRPr="009A19A1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Pr="009A19A1">
        <w:rPr>
          <w:rFonts w:ascii="Times New Roman" w:hAnsi="Times New Roman" w:cs="Times New Roman"/>
          <w:color w:val="000000" w:themeColor="text1"/>
        </w:rPr>
        <w:t>Individual membership probabili</w:t>
      </w:r>
      <w:r>
        <w:rPr>
          <w:rFonts w:ascii="Times New Roman" w:hAnsi="Times New Roman" w:cs="Times New Roman"/>
          <w:color w:val="000000" w:themeColor="text1"/>
        </w:rPr>
        <w:t>ti</w:t>
      </w:r>
      <w:r w:rsidRPr="00366372">
        <w:rPr>
          <w:rFonts w:ascii="Times New Roman" w:hAnsi="Times New Roman" w:cs="Times New Roman"/>
          <w:color w:val="000000" w:themeColor="text1"/>
        </w:rPr>
        <w:t xml:space="preserve">es from </w:t>
      </w:r>
      <w:r w:rsidRPr="009A19A1">
        <w:rPr>
          <w:rFonts w:ascii="Times New Roman" w:hAnsi="Times New Roman" w:cs="Times New Roman"/>
          <w:color w:val="000000" w:themeColor="text1"/>
        </w:rPr>
        <w:t xml:space="preserve">Analysis of Principal Components (DAPC) </w:t>
      </w:r>
      <w:r>
        <w:rPr>
          <w:rFonts w:ascii="Times New Roman" w:hAnsi="Times New Roman" w:cs="Times New Roman"/>
          <w:color w:val="000000" w:themeColor="text1"/>
        </w:rPr>
        <w:t xml:space="preserve">of the A) AP SNP dataset and the B) Tennessee SNP dataset. Membership colors correspond to the clusters in DAPC scatterplot (Fig. 4). </w:t>
      </w:r>
    </w:p>
    <w:p w14:paraId="158B9663" w14:textId="77777777" w:rsidR="006907C1" w:rsidRPr="009A19A1" w:rsidRDefault="006907C1" w:rsidP="006907C1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715063E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C1"/>
    <w:rsid w:val="00195413"/>
    <w:rsid w:val="003D0186"/>
    <w:rsid w:val="006907C1"/>
    <w:rsid w:val="007278E4"/>
    <w:rsid w:val="00A3738C"/>
    <w:rsid w:val="00BC6C35"/>
    <w:rsid w:val="00BD58AA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B802"/>
  <w15:chartTrackingRefBased/>
  <w15:docId w15:val="{4E391B68-392F-4E0A-B84E-7606D265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C1"/>
  </w:style>
  <w:style w:type="paragraph" w:styleId="Heading1">
    <w:name w:val="heading 1"/>
    <w:basedOn w:val="Normal"/>
    <w:next w:val="Normal"/>
    <w:link w:val="Heading1Char"/>
    <w:uiPriority w:val="9"/>
    <w:qFormat/>
    <w:rsid w:val="00690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7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Springer Nature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2026-06-11T12:46:00Z</dcterms:created>
  <dcterms:modified xsi:type="dcterms:W3CDTF">2026-06-11T12:47:00Z</dcterms:modified>
</cp:coreProperties>
</file>