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A8B" w:rsidRDefault="007A472A">
      <w:pPr>
        <w:pStyle w:val="Legend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 Methods</w:t>
      </w:r>
    </w:p>
    <w:p w:rsidR="006D2A8B" w:rsidRDefault="007A472A">
      <w:pPr>
        <w:spacing w:before="100" w:after="10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Detection of genes with a tissue-restricted expression profile</w:t>
      </w:r>
    </w:p>
    <w:p w:rsidR="006D2A8B" w:rsidRDefault="007A472A">
      <w:pPr>
        <w:spacing w:before="100" w:after="100"/>
        <w:jc w:val="both"/>
        <w:rPr>
          <w:sz w:val="24"/>
          <w:szCs w:val="24"/>
        </w:rPr>
      </w:pPr>
      <w:r>
        <w:rPr>
          <w:sz w:val="24"/>
          <w:szCs w:val="24"/>
        </w:rPr>
        <w:t>To identify tissue-restricted genes, we used RNA-</w:t>
      </w:r>
      <w:proofErr w:type="spellStart"/>
      <w:r>
        <w:rPr>
          <w:sz w:val="24"/>
          <w:szCs w:val="24"/>
        </w:rPr>
        <w:t>seq</w:t>
      </w:r>
      <w:proofErr w:type="spellEnd"/>
      <w:r>
        <w:rPr>
          <w:sz w:val="24"/>
          <w:szCs w:val="24"/>
        </w:rPr>
        <w:t xml:space="preserve"> data of normal tissues provided by NCBI Sequence Read Archive (SRA) datasets PRJNA280600, PRJEB4337, PRJEB2445, PRJNA270632, </w:t>
      </w:r>
      <w:proofErr w:type="gramStart"/>
      <w:r>
        <w:rPr>
          <w:sz w:val="24"/>
          <w:szCs w:val="24"/>
        </w:rPr>
        <w:t>PRJNA310976</w:t>
      </w:r>
      <w:proofErr w:type="gramEnd"/>
      <w:r>
        <w:rPr>
          <w:sz w:val="24"/>
          <w:szCs w:val="24"/>
        </w:rPr>
        <w:t xml:space="preserve">, NCBI GEO datasets GSE70741, GSE53096, </w:t>
      </w:r>
      <w:proofErr w:type="spellStart"/>
      <w:r>
        <w:rPr>
          <w:sz w:val="24"/>
          <w:szCs w:val="24"/>
        </w:rPr>
        <w:t>ArrayExpress</w:t>
      </w:r>
      <w:proofErr w:type="spellEnd"/>
      <w:r>
        <w:rPr>
          <w:sz w:val="24"/>
          <w:szCs w:val="24"/>
        </w:rPr>
        <w:t xml:space="preserve"> dataset E-MTAB</w:t>
      </w:r>
      <w:r>
        <w:rPr>
          <w:sz w:val="24"/>
          <w:szCs w:val="24"/>
        </w:rPr>
        <w:t xml:space="preserve">-2836 and </w:t>
      </w:r>
      <w:proofErr w:type="spellStart"/>
      <w:r>
        <w:rPr>
          <w:sz w:val="24"/>
          <w:szCs w:val="24"/>
        </w:rPr>
        <w:t>GTEx</w:t>
      </w:r>
      <w:proofErr w:type="spellEnd"/>
      <w:r>
        <w:rPr>
          <w:sz w:val="24"/>
          <w:szCs w:val="24"/>
        </w:rPr>
        <w:t xml:space="preserve"> Portal. In total, we used genome-wide RNA-</w:t>
      </w:r>
      <w:proofErr w:type="spellStart"/>
      <w:r>
        <w:rPr>
          <w:sz w:val="24"/>
          <w:szCs w:val="24"/>
        </w:rPr>
        <w:t>Seq</w:t>
      </w:r>
      <w:proofErr w:type="spellEnd"/>
      <w:r>
        <w:rPr>
          <w:sz w:val="24"/>
          <w:szCs w:val="24"/>
        </w:rPr>
        <w:t xml:space="preserve"> data from 2955 samples corresponding to 48 different normal tissues. The input data are log-transformed RPKM values averaged by tissue and stage (adult, fetal, embryonic), in normal samples. </w:t>
      </w:r>
    </w:p>
    <w:p w:rsidR="006D2A8B" w:rsidRDefault="007A472A">
      <w:pPr>
        <w:spacing w:before="100" w:after="10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Ide</w:t>
      </w:r>
      <w:r>
        <w:rPr>
          <w:i/>
          <w:iCs/>
          <w:sz w:val="24"/>
          <w:szCs w:val="24"/>
        </w:rPr>
        <w:t>ntification of tissue-predominant genes</w:t>
      </w:r>
    </w:p>
    <w:p w:rsidR="006D2A8B" w:rsidRDefault="007A472A">
      <w:pPr>
        <w:spacing w:before="100" w:after="100"/>
        <w:jc w:val="both"/>
        <w:rPr>
          <w:sz w:val="24"/>
          <w:szCs w:val="24"/>
        </w:rPr>
      </w:pPr>
      <w:r>
        <w:rPr>
          <w:sz w:val="24"/>
          <w:szCs w:val="24"/>
        </w:rPr>
        <w:t>In the first step, we identify genes with a predominant expression in one or several tissues. Mean log-transformed RPKM values are calculated for each tissue and stage (based on the values of the corresponding sample</w:t>
      </w:r>
      <w:r>
        <w:rPr>
          <w:sz w:val="24"/>
          <w:szCs w:val="24"/>
        </w:rPr>
        <w:t xml:space="preserve">s), a distribution of mean values is obtained for each gene, and the predominant tissues are the outliers of this distribution of mean values. </w:t>
      </w:r>
    </w:p>
    <w:p w:rsidR="006D2A8B" w:rsidRDefault="007A472A">
      <w:pPr>
        <w:spacing w:before="100" w:after="100"/>
        <w:jc w:val="both"/>
        <w:rPr>
          <w:sz w:val="24"/>
          <w:szCs w:val="24"/>
        </w:rPr>
      </w:pPr>
      <w:r>
        <w:rPr>
          <w:sz w:val="24"/>
          <w:szCs w:val="24"/>
        </w:rPr>
        <w:t>In our approach, the outlier detection technique is based on the Z-score.</w:t>
      </w:r>
    </w:p>
    <w:p w:rsidR="006D2A8B" w:rsidRDefault="007A472A">
      <w:pPr>
        <w:spacing w:before="100" w:after="100"/>
        <w:jc w:val="center"/>
        <w:rPr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 w:val="28"/>
              <w:szCs w:val="28"/>
            </w:rPr>
            <m:t>Zscore</m:t>
          </m:r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x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w:rPr>
                  <w:rFonts w:ascii="Cambria Math" w:hAnsi="Cambria Math"/>
                  <w:sz w:val="28"/>
                  <w:szCs w:val="28"/>
                </w:rPr>
                <m:t>mean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std</m:t>
              </m:r>
            </m:den>
          </m:f>
        </m:oMath>
      </m:oMathPara>
    </w:p>
    <w:p w:rsidR="006D2A8B" w:rsidRDefault="007A472A">
      <w:pPr>
        <w:spacing w:before="100" w:after="10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where</w:t>
      </w:r>
      <w:proofErr w:type="gramEnd"/>
      <w:r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7"/>
            <w:szCs w:val="27"/>
          </w:rPr>
          <m:t>x</m:t>
        </m:r>
      </m:oMath>
      <w:r>
        <w:rPr>
          <w:sz w:val="24"/>
          <w:szCs w:val="24"/>
        </w:rPr>
        <w:t xml:space="preserve"> corresponds to the mean log-transformed RPKM measured for one tissue group. If the Z-score of a tissue is above the threshold, this tissue is considered as predominant for the selected gene. We use an adaptive threshold for the Z-score, which depends on </w:t>
      </w:r>
      <w:r>
        <w:rPr>
          <w:sz w:val="24"/>
          <w:szCs w:val="24"/>
        </w:rPr>
        <w:t>the total number of tissues according to the following empiric formula:</w:t>
      </w:r>
    </w:p>
    <w:p w:rsidR="006D2A8B" w:rsidRDefault="007A472A">
      <w:pPr>
        <w:spacing w:before="100" w:after="100"/>
        <w:jc w:val="center"/>
        <w:rPr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 w:val="28"/>
              <w:szCs w:val="28"/>
            </w:rPr>
            <m:t>Zscoret</m:t>
          </m:r>
          <m:r>
            <w:rPr>
              <w:rFonts w:ascii="Cambria Math" w:hAnsi="Cambria Math"/>
              <w:sz w:val="28"/>
              <w:szCs w:val="28"/>
            </w:rPr>
            <m:t>h</m:t>
          </m:r>
          <m:r>
            <w:rPr>
              <w:rFonts w:ascii="Cambria Math" w:hAnsi="Cambria Math"/>
              <w:sz w:val="28"/>
              <w:szCs w:val="28"/>
            </w:rPr>
            <m:t>res</m:t>
          </m:r>
          <m:r>
            <w:rPr>
              <w:rFonts w:ascii="Cambria Math" w:hAnsi="Cambria Math"/>
              <w:sz w:val="28"/>
              <w:szCs w:val="28"/>
            </w:rPr>
            <m:t>h</m:t>
          </m:r>
          <m:r>
            <w:rPr>
              <w:rFonts w:ascii="Cambria Math" w:hAnsi="Cambria Math"/>
              <w:sz w:val="28"/>
              <w:szCs w:val="28"/>
            </w:rPr>
            <m:t>old</m:t>
          </m:r>
          <m:r>
            <w:rPr>
              <w:rFonts w:ascii="Cambria Math" w:hAnsi="Cambria Math"/>
              <w:sz w:val="28"/>
              <w:szCs w:val="28"/>
            </w:rPr>
            <m:t>=0.6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(</m:t>
              </m:r>
              <m:r>
                <w:rPr>
                  <w:rFonts w:ascii="Cambria Math" w:hAnsi="Cambria Math"/>
                  <w:sz w:val="28"/>
                  <w:szCs w:val="28"/>
                </w:rPr>
                <m:t>N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w:rPr>
                  <w:rFonts w:ascii="Cambria Math" w:hAnsi="Cambria Math"/>
                  <w:sz w:val="28"/>
                  <w:szCs w:val="28"/>
                </w:rPr>
                <m:t>1)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e>
              </m:rad>
            </m:den>
          </m:f>
        </m:oMath>
      </m:oMathPara>
    </w:p>
    <w:p w:rsidR="006D2A8B" w:rsidRDefault="007A472A">
      <w:pPr>
        <w:spacing w:before="100" w:after="10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where</w:t>
      </w:r>
      <w:proofErr w:type="gramEnd"/>
      <w:r>
        <w:rPr>
          <w:sz w:val="24"/>
          <w:szCs w:val="24"/>
        </w:rPr>
        <w:t xml:space="preserve"> N is the total number of tissues. </w:t>
      </w:r>
    </w:p>
    <w:p w:rsidR="006D2A8B" w:rsidRDefault="007A472A">
      <w:pPr>
        <w:spacing w:before="100" w:after="100"/>
        <w:jc w:val="both"/>
        <w:rPr>
          <w:sz w:val="24"/>
          <w:szCs w:val="24"/>
        </w:rPr>
      </w:pPr>
      <w:r>
        <w:rPr>
          <w:sz w:val="24"/>
          <w:szCs w:val="24"/>
        </w:rPr>
        <w:t>For all genes with a predominant expression, we calculated the expression value for each predominant t</w:t>
      </w:r>
      <w:r>
        <w:rPr>
          <w:sz w:val="24"/>
          <w:szCs w:val="24"/>
        </w:rPr>
        <w:t>issue (i.e. signal level), the maximum noise level and the signal to noise ratio by dividing the signal level by the maximum noise level.</w:t>
      </w:r>
    </w:p>
    <w:p w:rsidR="006D2A8B" w:rsidRDefault="007A472A">
      <w:pPr>
        <w:spacing w:before="100" w:after="10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Identification of tissue-restricted genes</w:t>
      </w:r>
    </w:p>
    <w:p w:rsidR="006D2A8B" w:rsidRDefault="007A472A">
      <w:pPr>
        <w:spacing w:before="100" w:after="100"/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>In the second step, tissue-restricted genes were selected from tissue-predom</w:t>
      </w:r>
      <w:r>
        <w:rPr>
          <w:sz w:val="24"/>
          <w:szCs w:val="24"/>
        </w:rPr>
        <w:t xml:space="preserve">inant genes on the basis of simultaneously satisfying the following criteria: signal to noise ratio </w:t>
      </w:r>
      <w:r>
        <w:rPr>
          <w:rFonts w:ascii="Symbol" w:hAnsi="Symbol"/>
          <w:sz w:val="24"/>
          <w:szCs w:val="24"/>
        </w:rPr>
        <w:t></w:t>
      </w:r>
      <w:r>
        <w:rPr>
          <w:sz w:val="24"/>
          <w:szCs w:val="24"/>
        </w:rPr>
        <w:t xml:space="preserve"> 5, signal level </w:t>
      </w:r>
      <w:r>
        <w:rPr>
          <w:rFonts w:ascii="Symbol" w:hAnsi="Symbol"/>
          <w:sz w:val="24"/>
          <w:szCs w:val="24"/>
        </w:rPr>
        <w:t></w:t>
      </w:r>
      <w:r>
        <w:rPr>
          <w:sz w:val="24"/>
          <w:szCs w:val="24"/>
        </w:rPr>
        <w:t xml:space="preserve"> 0.5 and maximum noise level </w:t>
      </w:r>
      <w:r>
        <w:rPr>
          <w:rFonts w:ascii="Symbol" w:hAnsi="Symbol"/>
          <w:sz w:val="24"/>
          <w:szCs w:val="24"/>
        </w:rPr>
        <w:t></w:t>
      </w:r>
      <w:r>
        <w:rPr>
          <w:sz w:val="24"/>
          <w:szCs w:val="24"/>
        </w:rPr>
        <w:t xml:space="preserve"> 0.3. The cutoff values were empirically defined by examining the expression profiles of some tissues-restr</w:t>
      </w:r>
      <w:r>
        <w:rPr>
          <w:sz w:val="24"/>
          <w:szCs w:val="24"/>
        </w:rPr>
        <w:t>icted genes which had already been identified as “tissue-restricted” in our previous work [15]</w:t>
      </w:r>
      <w:r>
        <w:rPr>
          <w:i/>
          <w:iCs/>
          <w:sz w:val="24"/>
          <w:szCs w:val="24"/>
        </w:rPr>
        <w:t>.</w:t>
      </w:r>
    </w:p>
    <w:p w:rsidR="006D2A8B" w:rsidRDefault="007A472A">
      <w:pPr>
        <w:spacing w:before="100" w:after="100"/>
        <w:jc w:val="both"/>
        <w:rPr>
          <w:sz w:val="24"/>
          <w:szCs w:val="24"/>
        </w:rPr>
      </w:pPr>
      <w:r>
        <w:rPr>
          <w:sz w:val="24"/>
          <w:szCs w:val="24"/>
        </w:rPr>
        <w:t>By using RNA-</w:t>
      </w:r>
      <w:proofErr w:type="spellStart"/>
      <w:r>
        <w:rPr>
          <w:sz w:val="24"/>
          <w:szCs w:val="24"/>
        </w:rPr>
        <w:t>Seq</w:t>
      </w:r>
      <w:proofErr w:type="spellEnd"/>
      <w:r>
        <w:rPr>
          <w:sz w:val="24"/>
          <w:szCs w:val="24"/>
        </w:rPr>
        <w:t xml:space="preserve"> expression data in different normal human tissues, we identified 3195 transcripts whose expression was found restricted to testis, placenta or </w:t>
      </w:r>
      <w:r>
        <w:rPr>
          <w:sz w:val="24"/>
          <w:szCs w:val="24"/>
        </w:rPr>
        <w:t>embryonic stem cells. Importantly, these genes are not expressed in normal hematopoietic tissues.</w:t>
      </w:r>
    </w:p>
    <w:p w:rsidR="006D2A8B" w:rsidRDefault="007A472A">
      <w:pPr>
        <w:spacing w:before="100" w:after="10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Detection of ectopically expressed genes in T-ALL samples</w:t>
      </w:r>
    </w:p>
    <w:p w:rsidR="006D2A8B" w:rsidRDefault="007A472A">
      <w:pPr>
        <w:spacing w:before="100" w:after="100"/>
        <w:jc w:val="both"/>
        <w:rPr>
          <w:sz w:val="24"/>
          <w:szCs w:val="24"/>
        </w:rPr>
      </w:pPr>
      <w:r>
        <w:rPr>
          <w:sz w:val="24"/>
          <w:szCs w:val="24"/>
        </w:rPr>
        <w:t>For each tissue-restricted gene, we established a threshold of log-transformed RPKM values different</w:t>
      </w:r>
      <w:r>
        <w:rPr>
          <w:sz w:val="24"/>
          <w:szCs w:val="24"/>
        </w:rPr>
        <w:t xml:space="preserve">iating background noise from expression. We determined this threshold by calculating the mean expression of the gene in 13 hematopoietic normal samples and adding 3 times the standard deviation to the mean. We then compared the expression value of each </w:t>
      </w:r>
      <w:proofErr w:type="spellStart"/>
      <w:r>
        <w:rPr>
          <w:sz w:val="24"/>
          <w:szCs w:val="24"/>
        </w:rPr>
        <w:t>tum</w:t>
      </w:r>
      <w:r>
        <w:rPr>
          <w:sz w:val="24"/>
          <w:szCs w:val="24"/>
        </w:rPr>
        <w:t>oral</w:t>
      </w:r>
      <w:proofErr w:type="spellEnd"/>
      <w:r>
        <w:rPr>
          <w:sz w:val="24"/>
          <w:szCs w:val="24"/>
        </w:rPr>
        <w:t xml:space="preserve"> T-ALL sample with the threshold. If the expression value in a </w:t>
      </w:r>
      <w:proofErr w:type="spellStart"/>
      <w:r>
        <w:rPr>
          <w:sz w:val="24"/>
          <w:szCs w:val="24"/>
        </w:rPr>
        <w:lastRenderedPageBreak/>
        <w:t>tumoral</w:t>
      </w:r>
      <w:proofErr w:type="spellEnd"/>
      <w:r>
        <w:rPr>
          <w:sz w:val="24"/>
          <w:szCs w:val="24"/>
        </w:rPr>
        <w:t xml:space="preserve"> sample was above the threshold, then we considered the gene to be ectopically expressed in this sample. This strategy enabled us to </w:t>
      </w:r>
      <w:proofErr w:type="spellStart"/>
      <w:r>
        <w:rPr>
          <w:sz w:val="24"/>
          <w:szCs w:val="24"/>
        </w:rPr>
        <w:t>binarize</w:t>
      </w:r>
      <w:proofErr w:type="spellEnd"/>
      <w:r>
        <w:rPr>
          <w:sz w:val="24"/>
          <w:szCs w:val="24"/>
        </w:rPr>
        <w:t xml:space="preserve"> the expression values of these tissue-re</w:t>
      </w:r>
      <w:r>
        <w:rPr>
          <w:sz w:val="24"/>
          <w:szCs w:val="24"/>
        </w:rPr>
        <w:t>stricted genes in all our T-ALL RNA-</w:t>
      </w:r>
      <w:proofErr w:type="spellStart"/>
      <w:r>
        <w:rPr>
          <w:sz w:val="24"/>
          <w:szCs w:val="24"/>
        </w:rPr>
        <w:t>seq</w:t>
      </w:r>
      <w:proofErr w:type="spellEnd"/>
      <w:r>
        <w:rPr>
          <w:sz w:val="24"/>
          <w:szCs w:val="24"/>
        </w:rPr>
        <w:t xml:space="preserve"> data, and for each gene, a frequency of expression in T-ALL could be calculated.</w:t>
      </w:r>
    </w:p>
    <w:p w:rsidR="006D2A8B" w:rsidRDefault="007A472A">
      <w:pPr>
        <w:spacing w:before="100" w:after="10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Association between ectopic expression and prognosis</w:t>
      </w:r>
    </w:p>
    <w:p w:rsidR="006D2A8B" w:rsidRDefault="007A472A">
      <w:pPr>
        <w:spacing w:before="100" w:after="100"/>
        <w:jc w:val="both"/>
        <w:rPr>
          <w:sz w:val="24"/>
          <w:szCs w:val="24"/>
        </w:rPr>
      </w:pPr>
      <w:r>
        <w:rPr>
          <w:sz w:val="24"/>
          <w:szCs w:val="24"/>
        </w:rPr>
        <w:t>Considering each gene ectopically expressed in at least 10% of the T-ALL, we compa</w:t>
      </w:r>
      <w:r>
        <w:rPr>
          <w:sz w:val="24"/>
          <w:szCs w:val="24"/>
        </w:rPr>
        <w:t>red the survival between the group of T-ALL expressing the gene and the group of T-ALL not expressing the gene. Cox proportional hazard model was used in order to test if the expression of the gene was significantly associated with survival, successively c</w:t>
      </w:r>
      <w:r>
        <w:rPr>
          <w:sz w:val="24"/>
          <w:szCs w:val="24"/>
        </w:rPr>
        <w:t xml:space="preserve">onsidering overall (OS) and event-free survivals (EFS). The ectopic expression of a gene was considered as significantly associated with the survival if the Cox model p-value was less than 0.05 and the hazard ratio above 1.5. As a result of this approach, </w:t>
      </w:r>
      <w:r>
        <w:rPr>
          <w:sz w:val="24"/>
          <w:szCs w:val="24"/>
        </w:rPr>
        <w:t xml:space="preserve">18 genes were found associated with a lower OS and/or EFS probability. </w:t>
      </w:r>
    </w:p>
    <w:p w:rsidR="006D2A8B" w:rsidRDefault="007A472A">
      <w:pPr>
        <w:spacing w:before="100" w:after="100"/>
        <w:jc w:val="both"/>
        <w:rPr>
          <w:sz w:val="24"/>
          <w:szCs w:val="24"/>
        </w:rPr>
      </w:pPr>
      <w:r>
        <w:rPr>
          <w:sz w:val="24"/>
          <w:szCs w:val="24"/>
        </w:rPr>
        <w:t>The patients were also stratified by combining the expression status of the 18 genes (“expressed” versus “not expressed”), which also predicted prognosis. For instance, each of the T-A</w:t>
      </w:r>
      <w:r>
        <w:rPr>
          <w:sz w:val="24"/>
          <w:szCs w:val="24"/>
        </w:rPr>
        <w:t>LL patients was assigned to one of three groups with respect to the total number of ectopically expressed genes: P1 where none of 18 genes was expressed, P2 with one or two genes expressed and P3 with more than three genes expressed. Survival prognosis was</w:t>
      </w:r>
      <w:r>
        <w:rPr>
          <w:sz w:val="24"/>
          <w:szCs w:val="24"/>
        </w:rPr>
        <w:t xml:space="preserve"> significantly associated with the total number of ectopically expressed genes (</w:t>
      </w:r>
      <w:r>
        <w:rPr>
          <w:i/>
          <w:iCs/>
          <w:sz w:val="24"/>
          <w:szCs w:val="24"/>
        </w:rPr>
        <w:t>p</w:t>
      </w:r>
      <w:r>
        <w:rPr>
          <w:sz w:val="24"/>
          <w:szCs w:val="24"/>
        </w:rPr>
        <w:t xml:space="preserve"> &lt; 10</w:t>
      </w:r>
      <w:r>
        <w:rPr>
          <w:sz w:val="24"/>
          <w:szCs w:val="24"/>
          <w:vertAlign w:val="superscript"/>
        </w:rPr>
        <w:t>-8</w:t>
      </w:r>
      <w:r>
        <w:rPr>
          <w:sz w:val="24"/>
          <w:szCs w:val="24"/>
        </w:rPr>
        <w:t xml:space="preserve"> for OS and </w:t>
      </w:r>
      <w:r>
        <w:rPr>
          <w:i/>
          <w:iCs/>
          <w:sz w:val="24"/>
          <w:szCs w:val="24"/>
        </w:rPr>
        <w:t>p</w:t>
      </w:r>
      <w:r>
        <w:rPr>
          <w:sz w:val="24"/>
          <w:szCs w:val="24"/>
        </w:rPr>
        <w:t xml:space="preserve"> &lt; 10</w:t>
      </w:r>
      <w:r>
        <w:rPr>
          <w:sz w:val="24"/>
          <w:szCs w:val="24"/>
          <w:vertAlign w:val="superscript"/>
        </w:rPr>
        <w:t>-9</w:t>
      </w:r>
      <w:r>
        <w:rPr>
          <w:sz w:val="24"/>
          <w:szCs w:val="24"/>
        </w:rPr>
        <w:t xml:space="preserve"> for EFS).</w:t>
      </w:r>
    </w:p>
    <w:p w:rsidR="006D2A8B" w:rsidRDefault="007A472A">
      <w:pPr>
        <w:spacing w:before="100" w:after="10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Definition of optimal subsets of genes</w:t>
      </w:r>
    </w:p>
    <w:p w:rsidR="006D2A8B" w:rsidRDefault="007A472A">
      <w:pPr>
        <w:spacing w:before="100" w:after="1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18 genes can be used as biomarkers to predict patient prognosis. Nevertheless, from a </w:t>
      </w:r>
      <w:r>
        <w:rPr>
          <w:sz w:val="24"/>
          <w:szCs w:val="24"/>
        </w:rPr>
        <w:t>practical point of view, in order to develop a robust and easy-to-use prognostic test, it is also interesting to identify a smaller subset among the 18 genes that would efficiently stratify the patients according to their survival probability. More specifi</w:t>
      </w:r>
      <w:r>
        <w:rPr>
          <w:sz w:val="24"/>
          <w:szCs w:val="24"/>
        </w:rPr>
        <w:t>cally, we designed a strategy aiming at identifying subsets of genes that would efficiently assign patients with the longest survival probability to the P1 group.</w:t>
      </w:r>
    </w:p>
    <w:p w:rsidR="006D2A8B" w:rsidRDefault="007A472A">
      <w:pPr>
        <w:spacing w:before="100" w:after="100"/>
        <w:jc w:val="both"/>
        <w:rPr>
          <w:sz w:val="24"/>
          <w:szCs w:val="24"/>
        </w:rPr>
      </w:pPr>
      <w:r>
        <w:rPr>
          <w:sz w:val="24"/>
          <w:szCs w:val="24"/>
        </w:rPr>
        <w:t>For this purpose, we tested all possible combinations of the 18 genes for their ability to di</w:t>
      </w:r>
      <w:r>
        <w:rPr>
          <w:sz w:val="24"/>
          <w:szCs w:val="24"/>
        </w:rPr>
        <w:t>fferentiate T-ALL patients with different prognostic. To explore the impact of combined subsets of genes on survival, we calculated Kaplan-Meier survival estimates for all possible combinations. The total number of combinations is equal to 2</w:t>
      </w:r>
      <w:r>
        <w:rPr>
          <w:sz w:val="24"/>
          <w:szCs w:val="24"/>
          <w:vertAlign w:val="superscript"/>
        </w:rPr>
        <w:t>18</w:t>
      </w:r>
      <w:r>
        <w:rPr>
          <w:sz w:val="24"/>
          <w:szCs w:val="24"/>
        </w:rPr>
        <w:t xml:space="preserve"> -1 = 262 143</w:t>
      </w:r>
      <w:r>
        <w:rPr>
          <w:sz w:val="24"/>
          <w:szCs w:val="24"/>
        </w:rPr>
        <w:t xml:space="preserve"> subsets. We obtained several subsets that maximize survival estimate in P1 group with a relatively small number of genes. According to our results, at least five genes are necessary to efficiently stratify patient’s prognosis. Below are the TOP 5 of the s</w:t>
      </w:r>
      <w:r>
        <w:rPr>
          <w:sz w:val="24"/>
          <w:szCs w:val="24"/>
        </w:rPr>
        <w:t xml:space="preserve">ubsets of genes optimized for the stratification of global T-ALL group that maximize survival (they were identical for OS and EFS):  </w:t>
      </w:r>
    </w:p>
    <w:p w:rsidR="006D2A8B" w:rsidRDefault="007A472A">
      <w:pPr>
        <w:widowControl w:val="0"/>
        <w:numPr>
          <w:ilvl w:val="0"/>
          <w:numId w:val="2"/>
        </w:numPr>
        <w:spacing w:before="100" w:after="100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5 genes</w:t>
      </w:r>
      <w:r>
        <w:rPr>
          <w:sz w:val="24"/>
          <w:szCs w:val="24"/>
        </w:rPr>
        <w:t>: ACTRT2, GOT1L1, SPATA45, TOPAZ1, ZPBP</w:t>
      </w:r>
    </w:p>
    <w:p w:rsidR="006D2A8B" w:rsidRDefault="007A472A">
      <w:pPr>
        <w:widowControl w:val="0"/>
        <w:numPr>
          <w:ilvl w:val="0"/>
          <w:numId w:val="2"/>
        </w:numPr>
        <w:spacing w:before="100" w:after="100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6 genes</w:t>
      </w:r>
      <w:r>
        <w:rPr>
          <w:sz w:val="24"/>
          <w:szCs w:val="24"/>
        </w:rPr>
        <w:t>: ACTRT2, GOT1L1, GPR32, SPATA45, TOPAZ1, ZPBP</w:t>
      </w:r>
    </w:p>
    <w:p w:rsidR="006D2A8B" w:rsidRDefault="007A472A">
      <w:pPr>
        <w:widowControl w:val="0"/>
        <w:numPr>
          <w:ilvl w:val="0"/>
          <w:numId w:val="2"/>
        </w:numPr>
        <w:spacing w:before="100" w:after="100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7 genes</w:t>
      </w:r>
      <w:r>
        <w:rPr>
          <w:sz w:val="24"/>
          <w:szCs w:val="24"/>
        </w:rPr>
        <w:t>: ACTRT2, GOT1</w:t>
      </w:r>
      <w:r>
        <w:rPr>
          <w:sz w:val="24"/>
          <w:szCs w:val="24"/>
        </w:rPr>
        <w:t>L1, GPR32, SPATA45, TOPAZ1, TSBP1, ZPBP</w:t>
      </w:r>
    </w:p>
    <w:p w:rsidR="006D2A8B" w:rsidRDefault="007A472A">
      <w:pPr>
        <w:widowControl w:val="0"/>
        <w:numPr>
          <w:ilvl w:val="0"/>
          <w:numId w:val="2"/>
        </w:numPr>
        <w:spacing w:before="100" w:after="100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8 genes</w:t>
      </w:r>
      <w:r>
        <w:rPr>
          <w:sz w:val="24"/>
          <w:szCs w:val="24"/>
        </w:rPr>
        <w:t>: ACTRT2, FLJ40194, GOT1L1, GPR32, SPATA45, TOPAZ1, TSBP1, ZPBP</w:t>
      </w:r>
    </w:p>
    <w:p w:rsidR="006D2A8B" w:rsidRDefault="007A472A">
      <w:pPr>
        <w:widowControl w:val="0"/>
        <w:numPr>
          <w:ilvl w:val="0"/>
          <w:numId w:val="2"/>
        </w:numPr>
        <w:spacing w:before="100" w:after="100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9 genes</w:t>
      </w:r>
      <w:r>
        <w:rPr>
          <w:sz w:val="24"/>
          <w:szCs w:val="24"/>
        </w:rPr>
        <w:t>: ACTRT2, FLJ40194, GOT1L1, GPR32, SPATA45, TOPAZ1, TSBP1, ZDHHC22, ZPBP</w:t>
      </w:r>
    </w:p>
    <w:p w:rsidR="006D2A8B" w:rsidRDefault="007A472A">
      <w:pPr>
        <w:pStyle w:val="Paragraph"/>
        <w:ind w:firstLine="0"/>
        <w:jc w:val="both"/>
        <w:rPr>
          <w:b/>
          <w:bCs/>
          <w:sz w:val="28"/>
          <w:szCs w:val="28"/>
        </w:rPr>
      </w:pPr>
      <w:r>
        <w:lastRenderedPageBreak/>
        <w:t xml:space="preserve">In this study, we used the first optimal subset composed of five </w:t>
      </w:r>
      <w:r>
        <w:t>genes ACTRT2, GOT1L1, SPATA45, TOPAZ1 and ZPBP, significantly associated with prognosis (</w:t>
      </w:r>
      <w:r>
        <w:rPr>
          <w:i/>
          <w:iCs/>
        </w:rPr>
        <w:t>p</w:t>
      </w:r>
      <w:r>
        <w:t xml:space="preserve"> &lt; 10</w:t>
      </w:r>
      <w:r>
        <w:rPr>
          <w:vertAlign w:val="superscript"/>
        </w:rPr>
        <w:t>-4</w:t>
      </w:r>
      <w:r>
        <w:t xml:space="preserve"> for OS and </w:t>
      </w:r>
      <w:r>
        <w:rPr>
          <w:i/>
          <w:iCs/>
        </w:rPr>
        <w:t>p</w:t>
      </w:r>
      <w:r>
        <w:t xml:space="preserve"> &lt; 10</w:t>
      </w:r>
      <w:r>
        <w:rPr>
          <w:vertAlign w:val="superscript"/>
        </w:rPr>
        <w:t>-5</w:t>
      </w:r>
      <w:r>
        <w:t xml:space="preserve"> for EFS). Other subsets have similar properties.</w:t>
      </w:r>
    </w:p>
    <w:p w:rsidR="006D2A8B" w:rsidRDefault="006D2A8B">
      <w:pPr>
        <w:pStyle w:val="Paragraph"/>
        <w:ind w:firstLine="0"/>
        <w:jc w:val="both"/>
        <w:sectPr w:rsidR="006D2A8B">
          <w:pgSz w:w="11900" w:h="16840"/>
          <w:pgMar w:top="1440" w:right="1797" w:bottom="1440" w:left="1797" w:header="851" w:footer="992" w:gutter="0"/>
          <w:cols w:space="720"/>
        </w:sectPr>
      </w:pPr>
    </w:p>
    <w:p w:rsidR="006D2A8B" w:rsidRDefault="007A472A">
      <w:pPr>
        <w:pStyle w:val="Paragraph"/>
        <w:ind w:firstLine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</w:t>
      </w:r>
      <w:r>
        <w:rPr>
          <w:b/>
          <w:bCs/>
          <w:sz w:val="28"/>
          <w:szCs w:val="28"/>
        </w:rPr>
        <w:t>plementary Figures</w:t>
      </w:r>
    </w:p>
    <w:p w:rsidR="006D2A8B" w:rsidRDefault="007A472A">
      <w:pPr>
        <w:pStyle w:val="Legend"/>
        <w:jc w:val="both"/>
        <w:rPr>
          <w:b/>
          <w:bCs/>
        </w:rPr>
      </w:pPr>
      <w:r>
        <w:rPr>
          <w:b/>
          <w:bCs/>
        </w:rPr>
        <w:t xml:space="preserve">Figure S1. </w:t>
      </w:r>
      <w:bookmarkStart w:id="0" w:name="OLE_LINK59"/>
      <w:proofErr w:type="spellStart"/>
      <w:r>
        <w:rPr>
          <w:b/>
          <w:bCs/>
        </w:rPr>
        <w:t>O</w:t>
      </w:r>
      <w:bookmarkStart w:id="1" w:name="OLE_LINK60"/>
      <w:bookmarkEnd w:id="0"/>
      <w:r>
        <w:rPr>
          <w:b/>
          <w:bCs/>
        </w:rPr>
        <w:t>n</w:t>
      </w:r>
      <w:bookmarkStart w:id="2" w:name="OLE_LINK61"/>
      <w:bookmarkEnd w:id="1"/>
      <w:r>
        <w:rPr>
          <w:b/>
          <w:bCs/>
        </w:rPr>
        <w:t>c</w:t>
      </w:r>
      <w:bookmarkStart w:id="3" w:name="OLE_LINK62"/>
      <w:bookmarkEnd w:id="2"/>
      <w:r>
        <w:rPr>
          <w:b/>
          <w:bCs/>
        </w:rPr>
        <w:t>ogenetic</w:t>
      </w:r>
      <w:proofErr w:type="spellEnd"/>
      <w:r>
        <w:rPr>
          <w:b/>
          <w:bCs/>
        </w:rPr>
        <w:t xml:space="preserve"> status and survival probabilities in adult T-ALL patient</w:t>
      </w:r>
      <w:bookmarkEnd w:id="3"/>
      <w:r>
        <w:rPr>
          <w:b/>
          <w:bCs/>
        </w:rPr>
        <w:t xml:space="preserve">s. </w:t>
      </w:r>
      <w:r>
        <w:t>The left panels show pie charts with the distributions of N/F (A) or NFRP (B) mutational status amongst T-ALL adult patients</w:t>
      </w:r>
      <w:r>
        <w:rPr>
          <w:b/>
          <w:bCs/>
        </w:rPr>
        <w:t xml:space="preserve">. </w:t>
      </w:r>
      <w:r>
        <w:t>The right panels are Kaplan–</w:t>
      </w:r>
      <w:r>
        <w:t>Meier curves comparing overall survival (OS) and event-free survival (EFS) of T-ALL adult patients according to their N/F (A) or NFRP (B) mutational status.</w:t>
      </w:r>
    </w:p>
    <w:p w:rsidR="006D2A8B" w:rsidRDefault="007A472A">
      <w:pPr>
        <w:pStyle w:val="Paragraph"/>
        <w:ind w:firstLine="0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5278121" cy="3505066"/>
            <wp:effectExtent l="0" t="0" r="0" b="0"/>
            <wp:docPr id="1073741825" name="officeArt object" descr="F:\投稿\Cancer research and treatment\SM\OK\Figure S1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F:\投稿\Cancer research and treatment\SM\OK\Figure S1.tif" descr="F:\投稿\Cancer research and treatment\SM\OK\Figure S1.tif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1" cy="35050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6D2A8B" w:rsidRDefault="007A472A">
      <w:pPr>
        <w:pStyle w:val="Legend"/>
        <w:jc w:val="both"/>
      </w:pPr>
      <w:r>
        <w:rPr>
          <w:b/>
          <w:bCs/>
        </w:rPr>
        <w:t>Figure S2. Stratification of T-ALL patients with the combination of 5 ectopically expressed genes</w:t>
      </w:r>
      <w:r>
        <w:rPr>
          <w:b/>
          <w:bCs/>
        </w:rPr>
        <w:t xml:space="preserve"> </w:t>
      </w:r>
    </w:p>
    <w:p w:rsidR="006D2A8B" w:rsidRDefault="007A472A">
      <w:pPr>
        <w:pStyle w:val="Paragraph"/>
        <w:ind w:firstLine="0"/>
        <w:jc w:val="both"/>
      </w:pPr>
      <w:r>
        <w:t>Left panels: pie charts and bar plots showing the distribution of the number of positive genes of the 5 ectopically expressed genes in all our T-ALL patients (including adults and children) (A), in adult T-ALL patients (B) or in children T-ALL patients (</w:t>
      </w:r>
      <w:r>
        <w:t>C). Prognostic groups were defined according to the number of positive genes as follows: P1 (blue) = none of the 5 genes are activated (red), P2 = 1 or 2 genes are positive, P3 (black) = 3 to 5 genes are activated.</w:t>
      </w:r>
    </w:p>
    <w:p w:rsidR="006D2A8B" w:rsidRDefault="007A472A">
      <w:pPr>
        <w:pStyle w:val="Paragraph"/>
        <w:ind w:firstLine="0"/>
        <w:jc w:val="both"/>
      </w:pPr>
      <w:r>
        <w:t>Right panels: Kaplan-Meier survival curve</w:t>
      </w:r>
      <w:r>
        <w:t>s comparing overall survival (OS) and event-free survival (EFS) between groups P1, P2 and P3 as determined above (same color code), in all our T-ALL patients (including adults and children) (A), in adult T-ALL patients (B) or in children T-ALL patients (C)</w:t>
      </w:r>
      <w:r>
        <w:t xml:space="preserve">. Cox model p-value and log-rank p-value are shown for each plot. </w:t>
      </w:r>
      <w:r>
        <w:rPr>
          <w:i/>
          <w:iCs/>
        </w:rPr>
        <w:t>P</w:t>
      </w:r>
      <w:r>
        <w:t xml:space="preserve">-values obtained from univariate Cox's proportional hazards model reflects how well the number of expressed ectopic genes can explain the survival. Log-rank </w:t>
      </w:r>
      <w:r>
        <w:rPr>
          <w:rFonts w:ascii="Calibri" w:hAnsi="Calibri"/>
        </w:rPr>
        <w:t>p</w:t>
      </w:r>
      <w:r>
        <w:t xml:space="preserve">-value reflects the difference </w:t>
      </w:r>
      <w:r>
        <w:t xml:space="preserve">between the survival probabilities in P1, P2 and P3 prognosis groups. </w:t>
      </w:r>
    </w:p>
    <w:p w:rsidR="006D2A8B" w:rsidRDefault="007A472A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278121" cy="6517617"/>
            <wp:effectExtent l="0" t="0" r="0" b="0"/>
            <wp:docPr id="1073741826" name="officeArt object" descr="F:\投稿\Cancer research and treatment\SM\OK\Figure S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:\投稿\Cancer research and treatment\SM\OK\Figure S2.tif" descr="F:\投稿\Cancer research and treatment\SM\OK\Figure S2.tif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1" cy="65176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6D2A8B" w:rsidRDefault="007A472A">
      <w:pPr>
        <w:pStyle w:val="Legend"/>
        <w:jc w:val="both"/>
      </w:pPr>
      <w:r>
        <w:rPr>
          <w:b/>
          <w:bCs/>
        </w:rPr>
        <w:t xml:space="preserve">Figure S3. </w:t>
      </w:r>
      <w:r>
        <w:rPr>
          <w:b/>
          <w:bCs/>
          <w:sz w:val="22"/>
          <w:szCs w:val="22"/>
        </w:rPr>
        <w:t>Survival analysis of our test dataset regarding to 5-GEC in combination of MRD.</w:t>
      </w:r>
    </w:p>
    <w:p w:rsidR="006D2A8B" w:rsidRDefault="007A472A">
      <w:pPr>
        <w:pStyle w:val="Paragraph"/>
        <w:ind w:firstLine="0"/>
        <w:jc w:val="both"/>
      </w:pPr>
      <w:r>
        <w:t>(A) Left panel: pie chart showing the distribution of MRD negative (grey) or positive (black</w:t>
      </w:r>
      <w:r>
        <w:t>) patients in our test dataset (n</w:t>
      </w:r>
      <w:r>
        <w:rPr>
          <w:i/>
          <w:iCs/>
        </w:rPr>
        <w:t>=</w:t>
      </w:r>
      <w:r>
        <w:t>29, MRD status was missing for three patients). Right panel: Kaplan-Meier curves comparing overall survival (OS) and event-free survival (EFS) between MRD negative (n</w:t>
      </w:r>
      <w:r>
        <w:rPr>
          <w:i/>
          <w:iCs/>
        </w:rPr>
        <w:t>=</w:t>
      </w:r>
      <w:r>
        <w:t>13) and positive (n</w:t>
      </w:r>
      <w:r>
        <w:rPr>
          <w:i/>
          <w:iCs/>
        </w:rPr>
        <w:t>=</w:t>
      </w:r>
      <w:r>
        <w:t>16) T-ALL adult patients; (B) Bar p</w:t>
      </w:r>
      <w:r>
        <w:t>lots showing the respective proportions of 5-GEC negative (blue) or positive (grey) T-ALL according to MRD status (as indicated) in our test dataset. Patients with positive MRD status are significantly more represented in 5-GEC positive group (chi-square p</w:t>
      </w:r>
      <w:r>
        <w:t xml:space="preserve"> value = 0.015); (C) Kaplan-Meier curves comparing overall survival (OS) and event-free survival (EFS) between 5-GEC negative and 5-GEC positive T-ALL adult patients with negative MRD status in test dataset (total n</w:t>
      </w:r>
      <w:r>
        <w:rPr>
          <w:i/>
          <w:iCs/>
        </w:rPr>
        <w:t>=</w:t>
      </w:r>
      <w:r>
        <w:t>13); (D) Kaplan-Meier curves showing ove</w:t>
      </w:r>
      <w:r>
        <w:t>rall survival (OS) and event-free survival (EFS) of 5-GEC negative (n</w:t>
      </w:r>
      <w:r>
        <w:rPr>
          <w:i/>
          <w:iCs/>
        </w:rPr>
        <w:t>=</w:t>
      </w:r>
      <w:r>
        <w:t>2) and 5-GEC positive (n</w:t>
      </w:r>
      <w:r>
        <w:rPr>
          <w:i/>
          <w:iCs/>
        </w:rPr>
        <w:t>=</w:t>
      </w:r>
      <w:r>
        <w:t>14) T-ALL adult patients with positive MRD status in test dataset (total n</w:t>
      </w:r>
      <w:r>
        <w:rPr>
          <w:i/>
          <w:iCs/>
        </w:rPr>
        <w:t>=</w:t>
      </w:r>
      <w:r>
        <w:t>16).</w:t>
      </w:r>
    </w:p>
    <w:p w:rsidR="006D2A8B" w:rsidRDefault="007A472A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278121" cy="5220661"/>
            <wp:effectExtent l="0" t="0" r="0" b="0"/>
            <wp:docPr id="1073741827" name="officeArt object" descr="F:\投稿\Cancer research and treatment\SM\OK\Figure S3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F:\投稿\Cancer research and treatment\SM\OK\Figure S3.tif" descr="F:\投稿\Cancer research and treatment\SM\OK\Figure S3.tif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1" cy="52206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6D2A8B" w:rsidRDefault="006D2A8B">
      <w:pPr>
        <w:pStyle w:val="Paragraph"/>
        <w:ind w:firstLine="0"/>
        <w:rPr>
          <w:b/>
          <w:bCs/>
        </w:rPr>
      </w:pPr>
    </w:p>
    <w:p w:rsidR="006D2A8B" w:rsidRDefault="007A472A">
      <w:pPr>
        <w:pStyle w:val="Legend"/>
        <w:jc w:val="both"/>
        <w:rPr>
          <w:b/>
          <w:bCs/>
        </w:rPr>
      </w:pPr>
      <w:r>
        <w:rPr>
          <w:b/>
          <w:bCs/>
        </w:rPr>
        <w:t xml:space="preserve">Figure S4. Comparison of gene sets enrichment profiles (GSEA) between MRD </w:t>
      </w:r>
      <w:r>
        <w:rPr>
          <w:b/>
          <w:bCs/>
        </w:rPr>
        <w:t>positive and 5-GEC positive ALL</w:t>
      </w:r>
    </w:p>
    <w:p w:rsidR="006D2A8B" w:rsidRDefault="007A472A">
      <w:pPr>
        <w:pStyle w:val="Paragraph"/>
        <w:ind w:firstLine="0"/>
        <w:jc w:val="both"/>
      </w:pPr>
      <w:bookmarkStart w:id="4" w:name="OLE_LINK63"/>
      <w:r>
        <w:t>G</w:t>
      </w:r>
      <w:bookmarkStart w:id="5" w:name="OLE_LINK64"/>
      <w:bookmarkEnd w:id="4"/>
      <w:r>
        <w:t xml:space="preserve">SEA plots illustrating significantly depleted </w:t>
      </w:r>
      <w:proofErr w:type="spellStart"/>
      <w:r>
        <w:t>genesets</w:t>
      </w:r>
      <w:proofErr w:type="spellEnd"/>
      <w:r>
        <w:t xml:space="preserve"> (from </w:t>
      </w:r>
      <w:proofErr w:type="spellStart"/>
      <w:r>
        <w:t>MsigDB</w:t>
      </w:r>
      <w:proofErr w:type="spellEnd"/>
      <w:r>
        <w:t xml:space="preserve"> of the broad Institute, category Hallmarks (H)) in both MRD positive ALL (left panels) and 5-GEC positive T-ALL (right panels). For all these </w:t>
      </w:r>
      <w:proofErr w:type="spellStart"/>
      <w:r>
        <w:t>genesets</w:t>
      </w:r>
      <w:proofErr w:type="spellEnd"/>
      <w:r>
        <w:t>, the</w:t>
      </w:r>
      <w:r>
        <w:t xml:space="preserve"> depletion was significant with a nominal p &lt; 0.0001</w:t>
      </w:r>
      <w:bookmarkEnd w:id="5"/>
      <w:r>
        <w:t>. </w:t>
      </w:r>
    </w:p>
    <w:p w:rsidR="006D2A8B" w:rsidRDefault="007A472A">
      <w:pPr>
        <w:pStyle w:val="Paragraph"/>
        <w:ind w:firstLine="0"/>
        <w:jc w:val="center"/>
      </w:pPr>
      <w:r>
        <w:rPr>
          <w:noProof/>
        </w:rPr>
        <w:drawing>
          <wp:inline distT="0" distB="0" distL="0" distR="0">
            <wp:extent cx="3067050" cy="3952875"/>
            <wp:effectExtent l="0" t="0" r="0" b="0"/>
            <wp:docPr id="1073741828" name="officeArt object" descr="F:\投稿\Cancer research and treatment\SM\OK\Figure S4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F:\投稿\Cancer research and treatment\SM\OK\Figure S4.tif" descr="F:\投稿\Cancer research and treatment\SM\OK\Figure S4.tif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39528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6D2A8B" w:rsidRDefault="006D2A8B">
      <w:pPr>
        <w:pStyle w:val="Paragraph"/>
        <w:ind w:firstLine="0"/>
        <w:jc w:val="center"/>
        <w:sectPr w:rsidR="006D2A8B">
          <w:headerReference w:type="default" r:id="rId11"/>
          <w:pgSz w:w="11900" w:h="16840"/>
          <w:pgMar w:top="1440" w:right="1797" w:bottom="1440" w:left="1797" w:header="851" w:footer="992" w:gutter="0"/>
          <w:cols w:space="720"/>
        </w:sectPr>
      </w:pPr>
    </w:p>
    <w:tbl>
      <w:tblPr>
        <w:tblStyle w:val="TableNormal"/>
        <w:tblW w:w="921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74"/>
        <w:gridCol w:w="1187"/>
        <w:gridCol w:w="1275"/>
        <w:gridCol w:w="709"/>
        <w:gridCol w:w="1134"/>
        <w:gridCol w:w="992"/>
        <w:gridCol w:w="993"/>
        <w:gridCol w:w="850"/>
      </w:tblGrid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  <w:jc w:val="center"/>
        </w:trPr>
        <w:tc>
          <w:tcPr>
            <w:tcW w:w="9214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 xml:space="preserve">Table S1. Characteristics of 86 adult patients according to </w:t>
            </w:r>
            <w:proofErr w:type="spellStart"/>
            <w:r w:rsidRPr="007A472A">
              <w:rPr>
                <w:b/>
                <w:bCs/>
                <w:sz w:val="21"/>
                <w:szCs w:val="24"/>
              </w:rPr>
              <w:t>oncogenetic</w:t>
            </w:r>
            <w:proofErr w:type="spellEnd"/>
            <w:r w:rsidRPr="007A472A">
              <w:rPr>
                <w:b/>
                <w:bCs/>
                <w:sz w:val="21"/>
                <w:szCs w:val="24"/>
              </w:rPr>
              <w:t xml:space="preserve"> classifiers</w:t>
            </w: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  <w:jc w:val="center"/>
        </w:trPr>
        <w:tc>
          <w:tcPr>
            <w:tcW w:w="207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 xml:space="preserve"> Characteristics</w:t>
            </w:r>
          </w:p>
        </w:tc>
        <w:tc>
          <w:tcPr>
            <w:tcW w:w="118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 xml:space="preserve">Number of </w:t>
            </w:r>
            <w:r w:rsidRPr="007A472A">
              <w:rPr>
                <w:b/>
                <w:bCs/>
                <w:sz w:val="21"/>
                <w:szCs w:val="24"/>
              </w:rPr>
              <w:br/>
            </w:r>
            <w:r w:rsidRPr="007A472A">
              <w:rPr>
                <w:b/>
                <w:bCs/>
                <w:sz w:val="21"/>
                <w:szCs w:val="24"/>
              </w:rPr>
              <w:t>patients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N/F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p value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NFRP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p value</w:t>
            </w: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/>
          <w:jc w:val="center"/>
        </w:trPr>
        <w:tc>
          <w:tcPr>
            <w:tcW w:w="207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18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Mutation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WT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 xml:space="preserve">class </w:t>
            </w:r>
            <w:r w:rsidRPr="007A472A">
              <w:rPr>
                <w:rFonts w:ascii="SimSong Bold" w:hAnsi="SimSong Bold"/>
                <w:sz w:val="21"/>
                <w:szCs w:val="24"/>
              </w:rPr>
              <w:t>Ⅰ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 xml:space="preserve">class </w:t>
            </w:r>
            <w:r w:rsidRPr="007A472A">
              <w:rPr>
                <w:rFonts w:ascii="SimSong Bold" w:hAnsi="SimSong Bold"/>
                <w:sz w:val="21"/>
                <w:szCs w:val="24"/>
              </w:rPr>
              <w:t>Ⅱ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  <w:jc w:val="center"/>
        </w:trPr>
        <w:tc>
          <w:tcPr>
            <w:tcW w:w="207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Total</w:t>
            </w:r>
          </w:p>
        </w:tc>
        <w:tc>
          <w:tcPr>
            <w:tcW w:w="11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86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67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/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53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/</w:t>
            </w: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Gender, male/female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male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11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0.314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22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0.904</w:t>
            </w: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female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8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11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Age, years, &gt;35y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&lt;35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0.361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17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0.128</w:t>
            </w: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≥35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9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16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WBC, ×10</w:t>
            </w:r>
            <w:r w:rsidRPr="007A472A">
              <w:rPr>
                <w:b/>
                <w:bCs/>
                <w:sz w:val="21"/>
                <w:szCs w:val="24"/>
                <w:vertAlign w:val="superscript"/>
              </w:rPr>
              <w:t>9</w:t>
            </w:r>
            <w:r w:rsidRPr="007A472A">
              <w:rPr>
                <w:b/>
                <w:bCs/>
                <w:sz w:val="21"/>
                <w:szCs w:val="24"/>
              </w:rPr>
              <w:t>/L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≤100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25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0.551</w:t>
            </w: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&gt;100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4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8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proofErr w:type="spellStart"/>
            <w:r w:rsidRPr="007A472A">
              <w:rPr>
                <w:b/>
                <w:bCs/>
                <w:sz w:val="21"/>
                <w:szCs w:val="24"/>
              </w:rPr>
              <w:t>Immunophenotype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ETP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7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0.562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15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0.027</w:t>
            </w: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non-ETP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12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18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Karyotype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Normal karyotype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18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0.154</w:t>
            </w: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Abnormal karyotype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8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proofErr w:type="gramStart"/>
            <w:r w:rsidRPr="007A472A">
              <w:rPr>
                <w:b/>
                <w:bCs/>
                <w:sz w:val="21"/>
                <w:szCs w:val="24"/>
              </w:rPr>
              <w:t>CR(</w:t>
            </w:r>
            <w:proofErr w:type="gramEnd"/>
            <w:r w:rsidRPr="007A472A">
              <w:rPr>
                <w:b/>
                <w:bCs/>
                <w:sz w:val="21"/>
                <w:szCs w:val="24"/>
              </w:rPr>
              <w:t>%)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61 (70.9%)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0.398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0.842</w:t>
            </w: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b/>
                <w:bCs/>
                <w:sz w:val="21"/>
                <w:szCs w:val="24"/>
              </w:rPr>
              <w:t>MRD-Induction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</w:t>
            </w:r>
            <w:r w:rsidRPr="007A472A">
              <w:rPr>
                <w:rFonts w:ascii="Arial Narrow" w:hAnsi="Arial Narrow"/>
                <w:sz w:val="21"/>
                <w:szCs w:val="24"/>
              </w:rPr>
              <w:t>≥</w:t>
            </w:r>
            <w:r w:rsidRPr="007A472A">
              <w:rPr>
                <w:sz w:val="21"/>
                <w:szCs w:val="24"/>
              </w:rPr>
              <w:t>10^4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0.231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21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0.098</w:t>
            </w: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 xml:space="preserve">  &lt;10^4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jc w:val="center"/>
              <w:rPr>
                <w:sz w:val="21"/>
              </w:rPr>
            </w:pPr>
            <w:r w:rsidRPr="007A472A">
              <w:rPr>
                <w:sz w:val="21"/>
                <w:szCs w:val="24"/>
              </w:rPr>
              <w:t>11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6D2A8B" w:rsidRPr="007A472A" w:rsidRDefault="006D2A8B">
            <w:pPr>
              <w:rPr>
                <w:sz w:val="21"/>
              </w:rPr>
            </w:pPr>
          </w:p>
        </w:tc>
      </w:tr>
      <w:tr w:rsidR="006D2A8B" w:rsidRPr="007A472A" w:rsidTr="007A4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/>
          <w:jc w:val="center"/>
        </w:trPr>
        <w:tc>
          <w:tcPr>
            <w:tcW w:w="9214" w:type="dxa"/>
            <w:gridSpan w:val="8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Pr="007A472A" w:rsidRDefault="007A472A">
            <w:pPr>
              <w:rPr>
                <w:sz w:val="21"/>
              </w:rPr>
            </w:pPr>
            <w:r w:rsidRPr="007A472A">
              <w:rPr>
                <w:sz w:val="21"/>
                <w:szCs w:val="24"/>
              </w:rPr>
              <w:t>NFRP class I: positive for NOTCH1/FBXW7 (N/F) and negative for RAS and PTEN mutations (</w:t>
            </w:r>
            <w:r w:rsidRPr="007A472A">
              <w:rPr>
                <w:i/>
                <w:iCs/>
                <w:sz w:val="21"/>
                <w:szCs w:val="24"/>
              </w:rPr>
              <w:t>n</w:t>
            </w:r>
            <w:r w:rsidRPr="007A472A">
              <w:rPr>
                <w:sz w:val="21"/>
                <w:szCs w:val="24"/>
              </w:rPr>
              <w:t xml:space="preserve"> = 53); NFRP class II: other mutational status (negative for NOTCH1/FBW7 (N/F) and/or positive for RAS and PTEN mutations) (</w:t>
            </w:r>
            <w:r w:rsidRPr="007A472A">
              <w:rPr>
                <w:i/>
                <w:iCs/>
                <w:sz w:val="21"/>
                <w:szCs w:val="24"/>
              </w:rPr>
              <w:t>n</w:t>
            </w:r>
            <w:r w:rsidRPr="007A472A">
              <w:rPr>
                <w:sz w:val="21"/>
                <w:szCs w:val="24"/>
              </w:rPr>
              <w:t xml:space="preserve"> = 33). EFS, Event-free survival; WBC, White Blood Cells counts; ETP, Early T cell Precursors; CR, complete remission; MRD, Minimal</w:t>
            </w:r>
            <w:r w:rsidRPr="007A472A">
              <w:rPr>
                <w:sz w:val="21"/>
                <w:szCs w:val="24"/>
              </w:rPr>
              <w:t xml:space="preserve"> Residual Disease; </w:t>
            </w:r>
            <w:r w:rsidRPr="007A472A">
              <w:rPr>
                <w:i/>
                <w:iCs/>
                <w:sz w:val="21"/>
                <w:szCs w:val="24"/>
              </w:rPr>
              <w:t>p</w:t>
            </w:r>
            <w:r w:rsidRPr="007A472A">
              <w:rPr>
                <w:sz w:val="21"/>
                <w:szCs w:val="24"/>
              </w:rPr>
              <w:t>-value determined by using two-tailed χ2 test.</w:t>
            </w:r>
            <w:bookmarkStart w:id="6" w:name="_GoBack"/>
            <w:bookmarkEnd w:id="6"/>
          </w:p>
        </w:tc>
      </w:tr>
    </w:tbl>
    <w:p w:rsidR="006D2A8B" w:rsidRDefault="006D2A8B">
      <w:pPr>
        <w:pStyle w:val="Paragraph"/>
        <w:widowControl w:val="0"/>
        <w:ind w:left="33" w:hanging="33"/>
        <w:jc w:val="center"/>
        <w:sectPr w:rsidR="006D2A8B">
          <w:headerReference w:type="default" r:id="rId12"/>
          <w:pgSz w:w="11900" w:h="16840"/>
          <w:pgMar w:top="1797" w:right="1440" w:bottom="1797" w:left="1440" w:header="851" w:footer="992" w:gutter="0"/>
          <w:cols w:space="720"/>
        </w:sectPr>
      </w:pPr>
    </w:p>
    <w:tbl>
      <w:tblPr>
        <w:tblStyle w:val="TableNormal"/>
        <w:tblW w:w="90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95"/>
        <w:gridCol w:w="98"/>
        <w:gridCol w:w="927"/>
        <w:gridCol w:w="113"/>
        <w:gridCol w:w="1561"/>
        <w:gridCol w:w="693"/>
        <w:gridCol w:w="953"/>
        <w:gridCol w:w="693"/>
        <w:gridCol w:w="693"/>
        <w:gridCol w:w="867"/>
        <w:gridCol w:w="953"/>
        <w:gridCol w:w="874"/>
      </w:tblGrid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/>
        </w:trPr>
        <w:tc>
          <w:tcPr>
            <w:tcW w:w="9020" w:type="dxa"/>
            <w:gridSpan w:val="1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rPr>
                <w:b/>
                <w:bCs/>
                <w:sz w:val="22"/>
                <w:szCs w:val="22"/>
              </w:rPr>
              <w:t>Table S2: List of 18 ectopically expressed genes in T-ALL samples.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/>
        </w:trPr>
        <w:tc>
          <w:tcPr>
            <w:tcW w:w="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Default="007A472A">
            <w:pPr>
              <w:jc w:val="center"/>
            </w:pPr>
            <w:proofErr w:type="spellStart"/>
            <w:r>
              <w:rPr>
                <w:b/>
                <w:bCs/>
              </w:rPr>
              <w:t>Entrez</w:t>
            </w:r>
            <w:proofErr w:type="spellEnd"/>
            <w:r>
              <w:rPr>
                <w:b/>
                <w:bCs/>
              </w:rPr>
              <w:t xml:space="preserve"> ID</w:t>
            </w:r>
          </w:p>
        </w:tc>
        <w:tc>
          <w:tcPr>
            <w:tcW w:w="11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Default="007A472A">
            <w:pPr>
              <w:jc w:val="center"/>
            </w:pPr>
            <w:r>
              <w:rPr>
                <w:b/>
                <w:bCs/>
              </w:rPr>
              <w:t>Gene symbol</w:t>
            </w:r>
          </w:p>
        </w:tc>
        <w:tc>
          <w:tcPr>
            <w:tcW w:w="15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Default="007A472A">
            <w:r>
              <w:rPr>
                <w:b/>
                <w:bCs/>
              </w:rPr>
              <w:t>Title</w:t>
            </w: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Default="007A472A">
            <w:r>
              <w:rPr>
                <w:b/>
                <w:bCs/>
              </w:rPr>
              <w:t>Location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Default="007A472A">
            <w:r>
              <w:rPr>
                <w:b/>
                <w:bCs/>
              </w:rPr>
              <w:t>Type</w:t>
            </w: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Default="007A472A">
            <w:r>
              <w:rPr>
                <w:b/>
                <w:bCs/>
              </w:rPr>
              <w:t>Associated with survival</w:t>
            </w: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Default="007A472A">
            <w:pPr>
              <w:jc w:val="center"/>
            </w:pPr>
            <w:r>
              <w:rPr>
                <w:b/>
                <w:bCs/>
              </w:rPr>
              <w:t>P-value OS</w:t>
            </w: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Default="007A472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Hazard ratio</w:t>
            </w:r>
          </w:p>
          <w:p w:rsidR="006D2A8B" w:rsidRDefault="007A472A">
            <w:pPr>
              <w:jc w:val="center"/>
            </w:pPr>
            <w:r>
              <w:rPr>
                <w:b/>
                <w:bCs/>
              </w:rPr>
              <w:t xml:space="preserve">          OS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Default="007A472A">
            <w:pPr>
              <w:ind w:firstLine="57"/>
              <w:jc w:val="center"/>
            </w:pPr>
            <w:r>
              <w:rPr>
                <w:b/>
                <w:bCs/>
              </w:rPr>
              <w:t>P-value EFS</w:t>
            </w: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D2A8B" w:rsidRDefault="007A472A">
            <w:pPr>
              <w:jc w:val="center"/>
            </w:pPr>
            <w:r>
              <w:rPr>
                <w:b/>
                <w:bCs/>
              </w:rPr>
              <w:t>Hazard ratio EFS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/>
        </w:trPr>
        <w:tc>
          <w:tcPr>
            <w:tcW w:w="69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140625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ACTRT2</w:t>
            </w:r>
          </w:p>
        </w:tc>
        <w:tc>
          <w:tcPr>
            <w:tcW w:w="167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actin related protein T2</w:t>
            </w: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1p36.32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OS and EFS</w:t>
            </w: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0.039</w:t>
            </w: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0.046</w:t>
            </w: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1.9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137362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GOT1L1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glutamic-</w:t>
            </w:r>
            <w:proofErr w:type="spellStart"/>
            <w:r>
              <w:t>oxaloacetic</w:t>
            </w:r>
            <w:proofErr w:type="spellEnd"/>
            <w:r>
              <w:t xml:space="preserve"> transaminase 1 like 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8p11.23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OS and 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0.032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0.027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149643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SPATA45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spermatogenesis associated 45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1q32.3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1.7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2.2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375337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TOPAZ1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testis and ovary specific PAZ domain containing 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3p21.31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OS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0.223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1.4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11055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ZPBP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 xml:space="preserve">zona </w:t>
            </w:r>
            <w:proofErr w:type="spellStart"/>
            <w:r>
              <w:t>pellucida</w:t>
            </w:r>
            <w:proofErr w:type="spellEnd"/>
            <w:r>
              <w:t xml:space="preserve"> binding protein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7p12.2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0.104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1.8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0.032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643854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CTAGE9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CTAGE family member 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6q23.2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OS and 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3.6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0.005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2.7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124871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FLJ40194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uncharacterized FLJ40194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17q21.32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roofErr w:type="spellStart"/>
            <w:r>
              <w:t>ncRNA</w:t>
            </w:r>
            <w:proofErr w:type="spellEnd"/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0.099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0.042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2.3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2854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GPR32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G protein-coupled receptor 32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19q13.33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OS and 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0.049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1.8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0.021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392843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IQCA1L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IQ motif containing with AAA domain 1 like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7q36.1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0.123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1.6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101928616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LINC00354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long intergenic non-protein coding RNA 354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13q34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roofErr w:type="spellStart"/>
            <w:r>
              <w:t>ncRNA</w:t>
            </w:r>
            <w:proofErr w:type="spellEnd"/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2.6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285501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LINC01098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long intergenic non-protein coding RNA 1098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4q34.3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roofErr w:type="spellStart"/>
            <w:r>
              <w:t>ncRNA</w:t>
            </w:r>
            <w:proofErr w:type="spellEnd"/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OS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1.7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100505768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LINC01364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long intergenic non-protein coding RNA 1364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1p22.3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roofErr w:type="spellStart"/>
            <w:r>
              <w:t>ncRNA</w:t>
            </w:r>
            <w:proofErr w:type="spellEnd"/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OS and 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2.4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286135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LINC02209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long intergenic non-protein coding</w:t>
            </w:r>
            <w:r>
              <w:t xml:space="preserve"> RNA 2209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8p12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roofErr w:type="spellStart"/>
            <w:r>
              <w:t>ncRNA</w:t>
            </w:r>
            <w:proofErr w:type="spellEnd"/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0.145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1.8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2.4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101927666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LOC101927666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uncharacterized LOC101927666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17q22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roofErr w:type="spellStart"/>
            <w:r>
              <w:t>ncRNA</w:t>
            </w:r>
            <w:proofErr w:type="spellEnd"/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0.128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1.9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0.039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2.2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339345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NANOS2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roofErr w:type="spellStart"/>
            <w:r>
              <w:t>nanos</w:t>
            </w:r>
            <w:proofErr w:type="spellEnd"/>
            <w:r>
              <w:t xml:space="preserve"> C2HC-type zinc finger 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19q13.32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OS and 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653492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PSG10P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 xml:space="preserve">pregnancy </w:t>
            </w:r>
            <w:r>
              <w:t>specific beta-1-glycoprotein 10, pseudogene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19q13.2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pseudo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OS and 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2.2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/>
        </w:trPr>
        <w:tc>
          <w:tcPr>
            <w:tcW w:w="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10665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TSBP1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testis expressed basic protein 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6p21.32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OS and EFS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0.006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0.016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2.4</w:t>
            </w:r>
          </w:p>
        </w:tc>
      </w:tr>
      <w:tr w:rsidR="006D2A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/>
        </w:trPr>
        <w:tc>
          <w:tcPr>
            <w:tcW w:w="69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283576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ZDHHC22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zinc finger DHHC-type containing 22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14q24.3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protein-coding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r>
              <w:t>EFS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0.072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0.044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D2A8B" w:rsidRDefault="007A472A">
            <w:pPr>
              <w:jc w:val="center"/>
            </w:pPr>
            <w:r>
              <w:t>2.1</w:t>
            </w:r>
          </w:p>
        </w:tc>
      </w:tr>
    </w:tbl>
    <w:p w:rsidR="006D2A8B" w:rsidRDefault="006D2A8B">
      <w:pPr>
        <w:pStyle w:val="Paragraph"/>
        <w:ind w:firstLine="0"/>
      </w:pPr>
    </w:p>
    <w:sectPr w:rsidR="006D2A8B">
      <w:headerReference w:type="default" r:id="rId13"/>
      <w:pgSz w:w="11900" w:h="16840"/>
      <w:pgMar w:top="1797" w:right="1440" w:bottom="1797" w:left="144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A472A">
      <w:r>
        <w:separator/>
      </w:r>
    </w:p>
  </w:endnote>
  <w:endnote w:type="continuationSeparator" w:id="0">
    <w:p w:rsidR="00000000" w:rsidRDefault="007A4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ong Bold">
    <w:altName w:val="Times New Roman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A472A">
      <w:r>
        <w:separator/>
      </w:r>
    </w:p>
  </w:footnote>
  <w:footnote w:type="continuationSeparator" w:id="0">
    <w:p w:rsidR="00000000" w:rsidRDefault="007A47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A8B" w:rsidRDefault="006D2A8B">
    <w:pPr>
      <w:pStyle w:val="a4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A8B" w:rsidRDefault="006D2A8B">
    <w:pPr>
      <w:pStyle w:val="a4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A8B" w:rsidRDefault="006D2A8B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F82C27"/>
    <w:multiLevelType w:val="hybridMultilevel"/>
    <w:tmpl w:val="5024DA5E"/>
    <w:numStyleLink w:val="1"/>
  </w:abstractNum>
  <w:abstractNum w:abstractNumId="1" w15:restartNumberingAfterBreak="0">
    <w:nsid w:val="5F5E5E8A"/>
    <w:multiLevelType w:val="hybridMultilevel"/>
    <w:tmpl w:val="5024DA5E"/>
    <w:styleLink w:val="1"/>
    <w:lvl w:ilvl="0" w:tplc="FB6853E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DCAA7E">
      <w:start w:val="1"/>
      <w:numFmt w:val="bullet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54273FC">
      <w:start w:val="1"/>
      <w:numFmt w:val="bullet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A30EB96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534B412">
      <w:start w:val="1"/>
      <w:numFmt w:val="bullet"/>
      <w:lvlText w:val="·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E66A6C4">
      <w:start w:val="1"/>
      <w:numFmt w:val="bullet"/>
      <w:lvlText w:val="·"/>
      <w:lvlJc w:val="left"/>
      <w:pPr>
        <w:ind w:left="39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A8C2976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CC274DC">
      <w:start w:val="1"/>
      <w:numFmt w:val="bullet"/>
      <w:lvlText w:val="·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9F47062">
      <w:start w:val="1"/>
      <w:numFmt w:val="bullet"/>
      <w:lvlText w:val="·"/>
      <w:lvlJc w:val="left"/>
      <w:pPr>
        <w:ind w:left="61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A8B"/>
    <w:rsid w:val="006D2A8B"/>
    <w:rsid w:val="007A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B967C70F-48D0-4072-9ABA-3E43A46C4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cs="Arial Unicode MS"/>
      <w:color w:val="00000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Legend">
    <w:name w:val="Legend"/>
    <w:pPr>
      <w:keepNext/>
      <w:spacing w:before="240"/>
      <w:outlineLvl w:val="0"/>
    </w:pPr>
    <w:rPr>
      <w:rFonts w:cs="Arial Unicode MS"/>
      <w:color w:val="000000"/>
      <w:kern w:val="28"/>
      <w:sz w:val="24"/>
      <w:szCs w:val="24"/>
      <w:u w:color="000000"/>
    </w:rPr>
  </w:style>
  <w:style w:type="numbering" w:customStyle="1" w:styleId="1">
    <w:name w:val="已导入的样式“1”"/>
    <w:pPr>
      <w:numPr>
        <w:numId w:val="1"/>
      </w:numPr>
    </w:pPr>
  </w:style>
  <w:style w:type="paragraph" w:customStyle="1" w:styleId="Paragraph">
    <w:name w:val="Paragraph"/>
    <w:pPr>
      <w:spacing w:before="120"/>
      <w:ind w:firstLine="720"/>
    </w:pPr>
    <w:rPr>
      <w:rFonts w:cs="Arial Unicode MS"/>
      <w:color w:val="000000"/>
      <w:sz w:val="24"/>
      <w:szCs w:val="24"/>
      <w:u w:color="000000"/>
    </w:rPr>
  </w:style>
  <w:style w:type="paragraph" w:styleId="a5">
    <w:name w:val="header"/>
    <w:basedOn w:val="a"/>
    <w:link w:val="Char"/>
    <w:uiPriority w:val="99"/>
    <w:unhideWhenUsed/>
    <w:rsid w:val="007A47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A472A"/>
    <w:rPr>
      <w:rFonts w:cs="Arial Unicode MS"/>
      <w:color w:val="000000"/>
      <w:sz w:val="18"/>
      <w:szCs w:val="18"/>
      <w:u w:color="000000"/>
    </w:rPr>
  </w:style>
  <w:style w:type="paragraph" w:styleId="a6">
    <w:name w:val="footer"/>
    <w:basedOn w:val="a"/>
    <w:link w:val="Char0"/>
    <w:uiPriority w:val="99"/>
    <w:unhideWhenUsed/>
    <w:rsid w:val="007A472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A472A"/>
    <w:rPr>
      <w:rFonts w:cs="Arial Unicode MS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1890</Words>
  <Characters>10777</Characters>
  <Application>Microsoft Office Word</Application>
  <DocSecurity>0</DocSecurity>
  <Lines>89</Lines>
  <Paragraphs>25</Paragraphs>
  <ScaleCrop>false</ScaleCrop>
  <Company/>
  <LinksUpToDate>false</LinksUpToDate>
  <CharactersWithSpaces>12642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Peng Stein</cp:lastModifiedBy>
  <cp:revision>2</cp:revision>
  <dcterms:created xsi:type="dcterms:W3CDTF">2021-10-19T07:07:00Z</dcterms:created>
  <dcterms:modified xsi:type="dcterms:W3CDTF">2021-10-19T07:08:00Z</dcterms:modified>
</cp:coreProperties>
</file>