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CFCA8" w14:textId="77777777" w:rsidR="0073402D" w:rsidRDefault="0073402D" w:rsidP="0073402D">
      <w:pPr>
        <w:spacing w:line="480" w:lineRule="auto"/>
        <w:jc w:val="both"/>
        <w:rPr>
          <w:rFonts w:ascii="Arial" w:hAnsi="Arial" w:cs="Arial"/>
          <w:b/>
          <w:bCs/>
          <w:sz w:val="22"/>
          <w:szCs w:val="22"/>
        </w:rPr>
      </w:pPr>
      <w:r>
        <w:rPr>
          <w:rFonts w:ascii="Arial" w:hAnsi="Arial" w:cs="Arial"/>
          <w:b/>
          <w:bCs/>
          <w:sz w:val="22"/>
          <w:szCs w:val="22"/>
        </w:rPr>
        <w:t>SUPPLEMENTARY FIGURE LEGENDS</w:t>
      </w:r>
    </w:p>
    <w:p w14:paraId="6B958FB9" w14:textId="77777777" w:rsidR="0073402D" w:rsidRPr="00DD6015" w:rsidRDefault="0073402D" w:rsidP="0073402D">
      <w:pPr>
        <w:spacing w:line="480" w:lineRule="auto"/>
        <w:jc w:val="both"/>
        <w:rPr>
          <w:rFonts w:ascii="Arial" w:hAnsi="Arial" w:cs="Arial"/>
          <w:b/>
          <w:bCs/>
          <w:sz w:val="22"/>
          <w:szCs w:val="22"/>
        </w:rPr>
      </w:pPr>
    </w:p>
    <w:p w14:paraId="63B78C1D" w14:textId="77777777" w:rsidR="0073402D" w:rsidRPr="00DD6015" w:rsidRDefault="0073402D" w:rsidP="0073402D">
      <w:pPr>
        <w:spacing w:line="480" w:lineRule="auto"/>
        <w:jc w:val="both"/>
        <w:rPr>
          <w:rFonts w:ascii="Arial" w:hAnsi="Arial" w:cs="Arial"/>
          <w:b/>
          <w:bCs/>
          <w:sz w:val="22"/>
          <w:szCs w:val="22"/>
        </w:rPr>
      </w:pPr>
      <w:r w:rsidRPr="00DD6015">
        <w:rPr>
          <w:rFonts w:ascii="Arial" w:hAnsi="Arial" w:cs="Arial"/>
          <w:b/>
          <w:bCs/>
          <w:sz w:val="22"/>
          <w:szCs w:val="22"/>
        </w:rPr>
        <w:t>Figure S1: Gating strategy for identifying CD4</w:t>
      </w:r>
      <w:r w:rsidRPr="00DD6015">
        <w:rPr>
          <w:rFonts w:ascii="Arial" w:hAnsi="Arial" w:cs="Arial"/>
          <w:b/>
          <w:bCs/>
          <w:sz w:val="22"/>
          <w:szCs w:val="22"/>
          <w:vertAlign w:val="superscript"/>
        </w:rPr>
        <w:t>+</w:t>
      </w:r>
      <w:r w:rsidRPr="00DD6015">
        <w:rPr>
          <w:rFonts w:ascii="Arial" w:hAnsi="Arial" w:cs="Arial"/>
          <w:b/>
          <w:bCs/>
          <w:sz w:val="22"/>
          <w:szCs w:val="22"/>
        </w:rPr>
        <w:t xml:space="preserve"> T cell subsets in human PBMCs, TMNCs and murine splenocytes</w:t>
      </w:r>
    </w:p>
    <w:p w14:paraId="1387218F" w14:textId="77777777" w:rsidR="0073402D" w:rsidRPr="00DD6015" w:rsidRDefault="0073402D" w:rsidP="0073402D">
      <w:pPr>
        <w:spacing w:line="480" w:lineRule="auto"/>
        <w:jc w:val="both"/>
        <w:rPr>
          <w:rFonts w:ascii="Arial" w:hAnsi="Arial" w:cs="Arial"/>
          <w:sz w:val="22"/>
          <w:szCs w:val="22"/>
        </w:rPr>
      </w:pPr>
      <w:r w:rsidRPr="00DD6015">
        <w:rPr>
          <w:rFonts w:ascii="Arial" w:hAnsi="Arial" w:cs="Arial"/>
          <w:sz w:val="22"/>
          <w:szCs w:val="22"/>
        </w:rPr>
        <w:t>Successive flow cytometric panels from one representative human donor showing the gating strategy to identify cT</w:t>
      </w:r>
      <w:r w:rsidRPr="00DD6015">
        <w:rPr>
          <w:rFonts w:ascii="Arial" w:hAnsi="Arial" w:cs="Arial"/>
          <w:sz w:val="22"/>
          <w:szCs w:val="22"/>
          <w:vertAlign w:val="subscript"/>
        </w:rPr>
        <w:t>FH</w:t>
      </w:r>
      <w:r w:rsidRPr="00DD6015">
        <w:rPr>
          <w:rFonts w:ascii="Arial" w:hAnsi="Arial" w:cs="Arial"/>
          <w:sz w:val="22"/>
          <w:szCs w:val="22"/>
        </w:rPr>
        <w:t>, cT</w:t>
      </w:r>
      <w:r w:rsidRPr="00DD6015">
        <w:rPr>
          <w:rFonts w:ascii="Arial" w:hAnsi="Arial" w:cs="Arial"/>
          <w:sz w:val="22"/>
          <w:szCs w:val="22"/>
          <w:vertAlign w:val="subscript"/>
        </w:rPr>
        <w:t>FR</w:t>
      </w:r>
      <w:r w:rsidRPr="00DD6015">
        <w:rPr>
          <w:rFonts w:ascii="Arial" w:hAnsi="Arial" w:cs="Arial"/>
          <w:sz w:val="22"/>
          <w:szCs w:val="22"/>
        </w:rPr>
        <w:t>, classical T</w:t>
      </w:r>
      <w:r w:rsidRPr="00DD6015">
        <w:rPr>
          <w:rFonts w:ascii="Arial" w:hAnsi="Arial" w:cs="Arial"/>
          <w:sz w:val="22"/>
          <w:szCs w:val="22"/>
          <w:vertAlign w:val="subscript"/>
        </w:rPr>
        <w:t>REG</w:t>
      </w:r>
      <w:r w:rsidRPr="00DD6015">
        <w:rPr>
          <w:rFonts w:ascii="Arial" w:hAnsi="Arial" w:cs="Arial"/>
          <w:sz w:val="22"/>
          <w:szCs w:val="22"/>
        </w:rPr>
        <w:t xml:space="preserve"> 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w:t>
      </w:r>
      <w:r w:rsidRPr="00DD6015">
        <w:rPr>
          <w:rFonts w:ascii="Arial" w:hAnsi="Arial" w:cs="Arial"/>
          <w:sz w:val="22"/>
          <w:szCs w:val="22"/>
        </w:rPr>
        <w:t xml:space="preserve"> T cells in human PBMCs. For human TMNCs and murine splenocytes, CXCR5/FOXP3 populations were gated directly from CD4</w:t>
      </w:r>
      <w:r w:rsidRPr="00DD6015">
        <w:rPr>
          <w:rFonts w:ascii="Arial" w:hAnsi="Arial" w:cs="Arial"/>
          <w:sz w:val="22"/>
          <w:szCs w:val="22"/>
          <w:vertAlign w:val="superscript"/>
        </w:rPr>
        <w:t>+</w:t>
      </w:r>
      <w:r w:rsidRPr="00DD6015">
        <w:rPr>
          <w:rFonts w:ascii="Arial" w:hAnsi="Arial" w:cs="Arial"/>
          <w:sz w:val="22"/>
          <w:szCs w:val="22"/>
        </w:rPr>
        <w:t xml:space="preserve"> T cells rather than CD45RA</w:t>
      </w:r>
      <w:r w:rsidRPr="00DD6015">
        <w:rPr>
          <w:rFonts w:ascii="Arial" w:hAnsi="Arial" w:cs="Arial"/>
          <w:sz w:val="22"/>
          <w:szCs w:val="22"/>
          <w:vertAlign w:val="superscript"/>
        </w:rPr>
        <w:t>–</w:t>
      </w:r>
      <w:r w:rsidRPr="00DD6015">
        <w:rPr>
          <w:rFonts w:ascii="Arial" w:hAnsi="Arial" w:cs="Arial"/>
          <w:sz w:val="22"/>
          <w:szCs w:val="22"/>
        </w:rPr>
        <w:t xml:space="preserve"> memory cells. </w:t>
      </w:r>
    </w:p>
    <w:p w14:paraId="421F2971" w14:textId="77777777" w:rsidR="0073402D" w:rsidRPr="00DD6015" w:rsidRDefault="0073402D" w:rsidP="0073402D">
      <w:pPr>
        <w:spacing w:line="480" w:lineRule="auto"/>
        <w:jc w:val="both"/>
        <w:rPr>
          <w:rFonts w:ascii="Arial" w:hAnsi="Arial" w:cs="Arial"/>
          <w:sz w:val="22"/>
          <w:szCs w:val="22"/>
        </w:rPr>
      </w:pPr>
    </w:p>
    <w:p w14:paraId="40859A42" w14:textId="77777777" w:rsidR="0073402D" w:rsidRPr="00DD6015" w:rsidRDefault="0073402D" w:rsidP="0073402D">
      <w:pPr>
        <w:spacing w:line="480" w:lineRule="auto"/>
        <w:jc w:val="both"/>
        <w:rPr>
          <w:rFonts w:ascii="Arial" w:hAnsi="Arial" w:cs="Arial"/>
          <w:b/>
          <w:bCs/>
          <w:sz w:val="22"/>
          <w:szCs w:val="22"/>
        </w:rPr>
      </w:pPr>
      <w:r w:rsidRPr="00DD6015">
        <w:rPr>
          <w:rFonts w:ascii="Arial" w:hAnsi="Arial" w:cs="Arial"/>
          <w:b/>
          <w:bCs/>
          <w:sz w:val="22"/>
          <w:szCs w:val="22"/>
        </w:rPr>
        <w:t>Figure S2: Frequency of classical T</w:t>
      </w:r>
      <w:r w:rsidRPr="00DD6015">
        <w:rPr>
          <w:rFonts w:ascii="Arial" w:hAnsi="Arial" w:cs="Arial"/>
          <w:b/>
          <w:bCs/>
          <w:sz w:val="22"/>
          <w:szCs w:val="22"/>
          <w:vertAlign w:val="subscript"/>
        </w:rPr>
        <w:t>REG</w:t>
      </w:r>
      <w:r w:rsidRPr="00DD6015">
        <w:rPr>
          <w:rFonts w:ascii="Arial" w:hAnsi="Arial" w:cs="Arial"/>
          <w:b/>
          <w:bCs/>
          <w:sz w:val="22"/>
          <w:szCs w:val="22"/>
        </w:rPr>
        <w:t xml:space="preserve"> and CXCR5</w:t>
      </w:r>
      <w:r w:rsidRPr="00DD6015">
        <w:rPr>
          <w:rFonts w:ascii="Arial" w:hAnsi="Arial" w:cs="Arial"/>
          <w:b/>
          <w:bCs/>
          <w:sz w:val="22"/>
          <w:szCs w:val="22"/>
          <w:vertAlign w:val="superscript"/>
        </w:rPr>
        <w:t>–</w:t>
      </w:r>
      <w:r w:rsidRPr="00DD6015">
        <w:rPr>
          <w:rFonts w:ascii="Arial" w:hAnsi="Arial" w:cs="Arial"/>
          <w:b/>
          <w:bCs/>
          <w:sz w:val="22"/>
          <w:szCs w:val="22"/>
        </w:rPr>
        <w:t>FOXP3</w:t>
      </w:r>
      <w:r w:rsidRPr="00DD6015">
        <w:rPr>
          <w:rFonts w:ascii="Arial" w:hAnsi="Arial" w:cs="Arial"/>
          <w:b/>
          <w:bCs/>
          <w:sz w:val="22"/>
          <w:szCs w:val="22"/>
          <w:vertAlign w:val="superscript"/>
        </w:rPr>
        <w:t>–</w:t>
      </w:r>
      <w:r w:rsidRPr="00DD6015">
        <w:rPr>
          <w:rFonts w:ascii="Arial" w:hAnsi="Arial" w:cs="Arial"/>
          <w:b/>
          <w:bCs/>
          <w:sz w:val="22"/>
          <w:szCs w:val="22"/>
        </w:rPr>
        <w:t xml:space="preserve"> T cells in response to SAg stimulation</w:t>
      </w:r>
    </w:p>
    <w:p w14:paraId="607BB762"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sz w:val="22"/>
          <w:szCs w:val="22"/>
        </w:rPr>
        <w:t>Frequency of classical T</w:t>
      </w:r>
      <w:r w:rsidRPr="00DD6015">
        <w:rPr>
          <w:rFonts w:ascii="Arial" w:hAnsi="Arial" w:cs="Arial"/>
          <w:sz w:val="22"/>
          <w:szCs w:val="22"/>
          <w:vertAlign w:val="subscript"/>
        </w:rPr>
        <w:t>REG</w:t>
      </w:r>
      <w:r w:rsidRPr="00DD6015">
        <w:rPr>
          <w:rFonts w:ascii="Arial" w:hAnsi="Arial" w:cs="Arial"/>
          <w:sz w:val="22"/>
          <w:szCs w:val="22"/>
        </w:rPr>
        <w:t xml:space="preserve"> (A) 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w:t>
      </w:r>
      <w:r w:rsidRPr="00DD6015">
        <w:rPr>
          <w:rFonts w:ascii="Arial" w:hAnsi="Arial" w:cs="Arial"/>
          <w:sz w:val="22"/>
          <w:szCs w:val="22"/>
        </w:rPr>
        <w:t xml:space="preserve"> T cells </w:t>
      </w:r>
      <w:r>
        <w:rPr>
          <w:rFonts w:ascii="Arial" w:hAnsi="Arial" w:cs="Arial"/>
          <w:sz w:val="22"/>
          <w:szCs w:val="22"/>
        </w:rPr>
        <w:t xml:space="preserve">(B) </w:t>
      </w:r>
      <w:r w:rsidRPr="00DD6015">
        <w:rPr>
          <w:rFonts w:ascii="Arial" w:hAnsi="Arial" w:cs="Arial"/>
          <w:sz w:val="22"/>
          <w:szCs w:val="22"/>
        </w:rPr>
        <w:t>as a proportion of CD4</w:t>
      </w:r>
      <w:r w:rsidRPr="00DD6015">
        <w:rPr>
          <w:rFonts w:ascii="Arial" w:hAnsi="Arial" w:cs="Arial"/>
          <w:sz w:val="22"/>
          <w:szCs w:val="22"/>
          <w:vertAlign w:val="superscript"/>
        </w:rPr>
        <w:t>+</w:t>
      </w:r>
      <w:r w:rsidRPr="00DD6015">
        <w:rPr>
          <w:rFonts w:ascii="Arial" w:hAnsi="Arial" w:cs="Arial"/>
          <w:sz w:val="22"/>
          <w:szCs w:val="22"/>
        </w:rPr>
        <w:t>CD45RA</w:t>
      </w:r>
      <w:r w:rsidRPr="00DD6015">
        <w:rPr>
          <w:rFonts w:ascii="Arial" w:hAnsi="Arial" w:cs="Arial"/>
          <w:sz w:val="22"/>
          <w:szCs w:val="22"/>
          <w:vertAlign w:val="superscript"/>
        </w:rPr>
        <w:t>–</w:t>
      </w:r>
      <w:r w:rsidRPr="00DD6015">
        <w:rPr>
          <w:rFonts w:ascii="Arial" w:hAnsi="Arial" w:cs="Arial"/>
          <w:sz w:val="22"/>
          <w:szCs w:val="22"/>
        </w:rPr>
        <w:t xml:space="preserve"> T cells from human PBMCs from healthy controls cultured either in media alone (control) or stimulated with TSST-1, SEB or SpeC for 24h, 48h or 72h. Data 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w:t>
      </w:r>
      <w:r>
        <w:rPr>
          <w:rFonts w:ascii="Arial" w:hAnsi="Arial" w:cs="Arial"/>
          <w:color w:val="000000" w:themeColor="text1"/>
          <w:sz w:val="22"/>
          <w:szCs w:val="22"/>
        </w:rPr>
        <w:t>Stimulated data</w:t>
      </w:r>
      <w:r w:rsidRPr="00DD6015">
        <w:rPr>
          <w:rFonts w:ascii="Arial" w:hAnsi="Arial" w:cs="Arial"/>
          <w:color w:val="000000" w:themeColor="text1"/>
          <w:sz w:val="22"/>
          <w:szCs w:val="22"/>
        </w:rPr>
        <w:t xml:space="preserve"> are compared </w:t>
      </w:r>
      <w:r>
        <w:rPr>
          <w:rFonts w:ascii="Arial" w:hAnsi="Arial" w:cs="Arial"/>
          <w:color w:val="000000" w:themeColor="text1"/>
          <w:sz w:val="22"/>
          <w:szCs w:val="22"/>
        </w:rPr>
        <w:t xml:space="preserve">to unstimulated controls </w:t>
      </w:r>
      <w:r w:rsidRPr="00DD6015">
        <w:rPr>
          <w:rFonts w:ascii="Arial" w:hAnsi="Arial" w:cs="Arial"/>
          <w:color w:val="000000" w:themeColor="text1"/>
          <w:sz w:val="22"/>
          <w:szCs w:val="22"/>
        </w:rPr>
        <w:t xml:space="preserve">using a </w:t>
      </w:r>
      <w:r>
        <w:rPr>
          <w:rFonts w:ascii="Arial" w:hAnsi="Arial" w:cs="Arial"/>
          <w:color w:val="000000" w:themeColor="text1"/>
          <w:sz w:val="22"/>
          <w:szCs w:val="22"/>
        </w:rPr>
        <w:t>two</w:t>
      </w:r>
      <w:r w:rsidRPr="00DD6015">
        <w:rPr>
          <w:rFonts w:ascii="Arial" w:hAnsi="Arial" w:cs="Arial"/>
          <w:color w:val="000000" w:themeColor="text1"/>
          <w:sz w:val="22"/>
          <w:szCs w:val="22"/>
        </w:rPr>
        <w:t>-way ANOVA with Dunnett’s multiple comparisons test where asterisks indicate statistically significant differences compared to controls. *p&lt;0.05, **p&lt;0.01, ***p&lt;0.001, ****p&lt;0.0001.</w:t>
      </w:r>
    </w:p>
    <w:p w14:paraId="0537098A" w14:textId="77777777" w:rsidR="0073402D" w:rsidRPr="00DD6015" w:rsidRDefault="0073402D" w:rsidP="0073402D">
      <w:pPr>
        <w:spacing w:line="480" w:lineRule="auto"/>
        <w:jc w:val="both"/>
        <w:rPr>
          <w:rFonts w:ascii="Arial" w:hAnsi="Arial" w:cs="Arial"/>
          <w:color w:val="000000" w:themeColor="text1"/>
          <w:sz w:val="22"/>
          <w:szCs w:val="22"/>
        </w:rPr>
      </w:pPr>
    </w:p>
    <w:p w14:paraId="2B75ABEE" w14:textId="77777777" w:rsidR="0073402D" w:rsidRPr="00DD6015" w:rsidRDefault="0073402D" w:rsidP="0073402D">
      <w:pPr>
        <w:spacing w:line="480" w:lineRule="auto"/>
        <w:jc w:val="both"/>
        <w:rPr>
          <w:rFonts w:ascii="Arial" w:hAnsi="Arial" w:cs="Arial"/>
          <w:b/>
          <w:bCs/>
          <w:color w:val="000000" w:themeColor="text1"/>
          <w:sz w:val="22"/>
          <w:szCs w:val="22"/>
        </w:rPr>
      </w:pPr>
      <w:r w:rsidRPr="00DD6015">
        <w:rPr>
          <w:rFonts w:ascii="Arial" w:hAnsi="Arial" w:cs="Arial"/>
          <w:b/>
          <w:bCs/>
          <w:color w:val="000000" w:themeColor="text1"/>
          <w:sz w:val="22"/>
          <w:szCs w:val="22"/>
        </w:rPr>
        <w:t>Figure S3: OX40 and CD40L expression on circulating memory CD4</w:t>
      </w:r>
      <w:r w:rsidRPr="00DD6015">
        <w:rPr>
          <w:rFonts w:ascii="Arial" w:hAnsi="Arial" w:cs="Arial"/>
          <w:b/>
          <w:bCs/>
          <w:color w:val="000000" w:themeColor="text1"/>
          <w:sz w:val="22"/>
          <w:szCs w:val="22"/>
          <w:vertAlign w:val="superscript"/>
        </w:rPr>
        <w:t>+</w:t>
      </w:r>
      <w:r w:rsidRPr="00DD6015">
        <w:rPr>
          <w:rFonts w:ascii="Arial" w:hAnsi="Arial" w:cs="Arial"/>
          <w:b/>
          <w:bCs/>
          <w:color w:val="000000" w:themeColor="text1"/>
          <w:sz w:val="22"/>
          <w:szCs w:val="22"/>
        </w:rPr>
        <w:t xml:space="preserve"> T cells in response to SEB and SpeC stimulation </w:t>
      </w:r>
    </w:p>
    <w:p w14:paraId="5C519729"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sz w:val="22"/>
          <w:szCs w:val="22"/>
        </w:rPr>
        <w:t>Frequency of OX40</w:t>
      </w:r>
      <w:r w:rsidRPr="00DD6015">
        <w:rPr>
          <w:rFonts w:ascii="Arial" w:hAnsi="Arial" w:cs="Arial"/>
          <w:sz w:val="22"/>
          <w:szCs w:val="22"/>
          <w:vertAlign w:val="superscript"/>
        </w:rPr>
        <w:t>+</w:t>
      </w:r>
      <w:r w:rsidRPr="00DD6015">
        <w:rPr>
          <w:rFonts w:ascii="Arial" w:hAnsi="Arial" w:cs="Arial"/>
          <w:sz w:val="22"/>
          <w:szCs w:val="22"/>
        </w:rPr>
        <w:t>CD40L</w:t>
      </w:r>
      <w:r w:rsidRPr="00DD6015">
        <w:rPr>
          <w:rFonts w:ascii="Arial" w:hAnsi="Arial" w:cs="Arial"/>
          <w:sz w:val="22"/>
          <w:szCs w:val="22"/>
          <w:vertAlign w:val="superscript"/>
        </w:rPr>
        <w:t>+</w:t>
      </w:r>
      <w:r w:rsidRPr="00DD6015">
        <w:rPr>
          <w:rFonts w:ascii="Arial" w:hAnsi="Arial" w:cs="Arial"/>
          <w:sz w:val="22"/>
          <w:szCs w:val="22"/>
        </w:rPr>
        <w:t xml:space="preserve"> cT</w:t>
      </w:r>
      <w:r w:rsidRPr="00DD6015">
        <w:rPr>
          <w:rFonts w:ascii="Arial" w:hAnsi="Arial" w:cs="Arial"/>
          <w:sz w:val="22"/>
          <w:szCs w:val="22"/>
          <w:vertAlign w:val="subscript"/>
        </w:rPr>
        <w:t>FH</w:t>
      </w:r>
      <w:r w:rsidRPr="00DD6015">
        <w:rPr>
          <w:rFonts w:ascii="Arial" w:hAnsi="Arial" w:cs="Arial"/>
          <w:sz w:val="22"/>
          <w:szCs w:val="22"/>
        </w:rPr>
        <w:t>, cT</w:t>
      </w:r>
      <w:r w:rsidRPr="00DD6015">
        <w:rPr>
          <w:rFonts w:ascii="Arial" w:hAnsi="Arial" w:cs="Arial"/>
          <w:sz w:val="22"/>
          <w:szCs w:val="22"/>
          <w:vertAlign w:val="subscript"/>
        </w:rPr>
        <w:t>FR</w:t>
      </w:r>
      <w:r w:rsidRPr="00DD6015">
        <w:rPr>
          <w:rFonts w:ascii="Arial" w:hAnsi="Arial" w:cs="Arial"/>
          <w:sz w:val="22"/>
          <w:szCs w:val="22"/>
        </w:rPr>
        <w:t>, classical T</w:t>
      </w:r>
      <w:r w:rsidRPr="00DD6015">
        <w:rPr>
          <w:rFonts w:ascii="Arial" w:hAnsi="Arial" w:cs="Arial"/>
          <w:sz w:val="22"/>
          <w:szCs w:val="22"/>
          <w:vertAlign w:val="subscript"/>
        </w:rPr>
        <w:t xml:space="preserve">REG </w:t>
      </w:r>
      <w:r w:rsidRPr="00DD6015">
        <w:rPr>
          <w:rFonts w:ascii="Arial" w:hAnsi="Arial" w:cs="Arial"/>
          <w:sz w:val="22"/>
          <w:szCs w:val="22"/>
        </w:rPr>
        <w:t>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 xml:space="preserve">– </w:t>
      </w:r>
      <w:r w:rsidRPr="00DD6015">
        <w:rPr>
          <w:rFonts w:ascii="Arial" w:hAnsi="Arial" w:cs="Arial"/>
          <w:sz w:val="22"/>
          <w:szCs w:val="22"/>
        </w:rPr>
        <w:t>T cells from human PBMCs collected from healthy donors in response to 24h, 48h or 72h SEB (A) or SpeC (B) stimulation. Unstimulated data w</w:t>
      </w:r>
      <w:r>
        <w:rPr>
          <w:rFonts w:ascii="Arial" w:hAnsi="Arial" w:cs="Arial"/>
          <w:sz w:val="22"/>
          <w:szCs w:val="22"/>
        </w:rPr>
        <w:t>ere</w:t>
      </w:r>
      <w:r w:rsidRPr="00DD6015">
        <w:rPr>
          <w:rFonts w:ascii="Arial" w:hAnsi="Arial" w:cs="Arial"/>
          <w:sz w:val="22"/>
          <w:szCs w:val="22"/>
        </w:rPr>
        <w:t xml:space="preserve"> subtracted from each stimulated condition. Each dot represents one donor. Data 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For each length of stimulation, cellular subsets are compared using a one-way ANOVA with Tukey’s multiple comparisons test: *p&lt;0.05, **p&lt;0.01, ***p&lt;0.001, ****p&lt;0.0001. </w:t>
      </w:r>
    </w:p>
    <w:p w14:paraId="4120E798" w14:textId="77777777" w:rsidR="0073402D" w:rsidRPr="00DD6015" w:rsidRDefault="0073402D" w:rsidP="0073402D">
      <w:pPr>
        <w:spacing w:line="480" w:lineRule="auto"/>
        <w:jc w:val="both"/>
        <w:rPr>
          <w:rFonts w:ascii="Arial" w:hAnsi="Arial" w:cs="Arial"/>
          <w:color w:val="000000" w:themeColor="text1"/>
          <w:sz w:val="22"/>
          <w:szCs w:val="22"/>
        </w:rPr>
      </w:pPr>
    </w:p>
    <w:p w14:paraId="26619B0C"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b/>
          <w:bCs/>
          <w:color w:val="000000" w:themeColor="text1"/>
          <w:sz w:val="22"/>
          <w:szCs w:val="22"/>
        </w:rPr>
        <w:lastRenderedPageBreak/>
        <w:t>Figure S4: IFN-</w:t>
      </w:r>
      <w:r w:rsidRPr="00DD6015">
        <w:rPr>
          <w:rFonts w:ascii="Arial" w:hAnsi="Arial" w:cs="Arial"/>
          <w:b/>
          <w:bCs/>
          <w:sz w:val="22"/>
          <w:szCs w:val="22"/>
        </w:rPr>
        <w:sym w:font="Symbol" w:char="F067"/>
      </w:r>
      <w:r w:rsidRPr="00DD6015">
        <w:rPr>
          <w:rFonts w:ascii="Arial" w:hAnsi="Arial" w:cs="Arial"/>
          <w:b/>
          <w:bCs/>
          <w:color w:val="000000" w:themeColor="text1"/>
          <w:sz w:val="22"/>
          <w:szCs w:val="22"/>
        </w:rPr>
        <w:t xml:space="preserve"> and granzyme B production by circulating memory CD4</w:t>
      </w:r>
      <w:r w:rsidRPr="00DD6015">
        <w:rPr>
          <w:rFonts w:ascii="Arial" w:hAnsi="Arial" w:cs="Arial"/>
          <w:b/>
          <w:bCs/>
          <w:color w:val="000000" w:themeColor="text1"/>
          <w:sz w:val="22"/>
          <w:szCs w:val="22"/>
          <w:vertAlign w:val="superscript"/>
        </w:rPr>
        <w:t>+</w:t>
      </w:r>
      <w:r w:rsidRPr="00DD6015">
        <w:rPr>
          <w:rFonts w:ascii="Arial" w:hAnsi="Arial" w:cs="Arial"/>
          <w:b/>
          <w:bCs/>
          <w:color w:val="000000" w:themeColor="text1"/>
          <w:sz w:val="22"/>
          <w:szCs w:val="22"/>
        </w:rPr>
        <w:t xml:space="preserve"> T cells in response to SEB and SpeC stimulation</w:t>
      </w:r>
    </w:p>
    <w:p w14:paraId="0985D342"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sz w:val="22"/>
          <w:szCs w:val="22"/>
        </w:rPr>
        <w:t>Frequency of IFN-</w:t>
      </w:r>
      <w:r w:rsidRPr="00DD6015">
        <w:rPr>
          <w:rFonts w:ascii="Arial" w:hAnsi="Arial" w:cs="Arial"/>
          <w:sz w:val="22"/>
          <w:szCs w:val="22"/>
        </w:rPr>
        <w:sym w:font="Symbol" w:char="F067"/>
      </w:r>
      <w:r w:rsidRPr="00DD6015">
        <w:rPr>
          <w:rFonts w:ascii="Arial" w:hAnsi="Arial" w:cs="Arial"/>
          <w:sz w:val="22"/>
          <w:szCs w:val="22"/>
          <w:vertAlign w:val="superscript"/>
        </w:rPr>
        <w:t>+</w:t>
      </w:r>
      <w:r w:rsidRPr="00DD6015">
        <w:rPr>
          <w:rFonts w:ascii="Arial" w:hAnsi="Arial" w:cs="Arial"/>
          <w:sz w:val="22"/>
          <w:szCs w:val="22"/>
        </w:rPr>
        <w:t xml:space="preserve"> cT</w:t>
      </w:r>
      <w:r w:rsidRPr="00DD6015">
        <w:rPr>
          <w:rFonts w:ascii="Arial" w:hAnsi="Arial" w:cs="Arial"/>
          <w:sz w:val="22"/>
          <w:szCs w:val="22"/>
          <w:vertAlign w:val="subscript"/>
        </w:rPr>
        <w:t>FH</w:t>
      </w:r>
      <w:r w:rsidRPr="00DD6015">
        <w:rPr>
          <w:rFonts w:ascii="Arial" w:hAnsi="Arial" w:cs="Arial"/>
          <w:sz w:val="22"/>
          <w:szCs w:val="22"/>
        </w:rPr>
        <w:t>, cT</w:t>
      </w:r>
      <w:r w:rsidRPr="00DD6015">
        <w:rPr>
          <w:rFonts w:ascii="Arial" w:hAnsi="Arial" w:cs="Arial"/>
          <w:sz w:val="22"/>
          <w:szCs w:val="22"/>
          <w:vertAlign w:val="subscript"/>
        </w:rPr>
        <w:t>FR</w:t>
      </w:r>
      <w:r w:rsidRPr="00DD6015">
        <w:rPr>
          <w:rFonts w:ascii="Arial" w:hAnsi="Arial" w:cs="Arial"/>
          <w:sz w:val="22"/>
          <w:szCs w:val="22"/>
        </w:rPr>
        <w:t>, classical T</w:t>
      </w:r>
      <w:r w:rsidRPr="00DD6015">
        <w:rPr>
          <w:rFonts w:ascii="Arial" w:hAnsi="Arial" w:cs="Arial"/>
          <w:sz w:val="22"/>
          <w:szCs w:val="22"/>
          <w:vertAlign w:val="subscript"/>
        </w:rPr>
        <w:t xml:space="preserve">REG </w:t>
      </w:r>
      <w:r w:rsidRPr="00DD6015">
        <w:rPr>
          <w:rFonts w:ascii="Arial" w:hAnsi="Arial" w:cs="Arial"/>
          <w:sz w:val="22"/>
          <w:szCs w:val="22"/>
        </w:rPr>
        <w:t>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 xml:space="preserve">– </w:t>
      </w:r>
      <w:r w:rsidRPr="00DD6015">
        <w:rPr>
          <w:rFonts w:ascii="Arial" w:hAnsi="Arial" w:cs="Arial"/>
          <w:sz w:val="22"/>
          <w:szCs w:val="22"/>
        </w:rPr>
        <w:t>T cells from human PBMCs collected from healthy donors in response to 24h, 48h or 72h SEB (A) or SpeC (B) stimulation. Unstimulated data was subtracted from each stimulated condition.  Frequency of granzyme B</w:t>
      </w:r>
      <w:r w:rsidRPr="00DD6015">
        <w:rPr>
          <w:rFonts w:ascii="Arial" w:hAnsi="Arial" w:cs="Arial"/>
          <w:sz w:val="22"/>
          <w:szCs w:val="22"/>
          <w:vertAlign w:val="superscript"/>
        </w:rPr>
        <w:t>+</w:t>
      </w:r>
      <w:r w:rsidRPr="00DD6015">
        <w:rPr>
          <w:rFonts w:ascii="Arial" w:hAnsi="Arial" w:cs="Arial"/>
          <w:sz w:val="22"/>
          <w:szCs w:val="22"/>
        </w:rPr>
        <w:t xml:space="preserve"> cT</w:t>
      </w:r>
      <w:r w:rsidRPr="00DD6015">
        <w:rPr>
          <w:rFonts w:ascii="Arial" w:hAnsi="Arial" w:cs="Arial"/>
          <w:sz w:val="22"/>
          <w:szCs w:val="22"/>
          <w:vertAlign w:val="subscript"/>
        </w:rPr>
        <w:t>FH</w:t>
      </w:r>
      <w:r w:rsidRPr="00DD6015">
        <w:rPr>
          <w:rFonts w:ascii="Arial" w:hAnsi="Arial" w:cs="Arial"/>
          <w:sz w:val="22"/>
          <w:szCs w:val="22"/>
        </w:rPr>
        <w:t>, cT</w:t>
      </w:r>
      <w:r w:rsidRPr="00DD6015">
        <w:rPr>
          <w:rFonts w:ascii="Arial" w:hAnsi="Arial" w:cs="Arial"/>
          <w:sz w:val="22"/>
          <w:szCs w:val="22"/>
          <w:vertAlign w:val="subscript"/>
        </w:rPr>
        <w:t>FR</w:t>
      </w:r>
      <w:r w:rsidRPr="00DD6015">
        <w:rPr>
          <w:rFonts w:ascii="Arial" w:hAnsi="Arial" w:cs="Arial"/>
          <w:sz w:val="22"/>
          <w:szCs w:val="22"/>
        </w:rPr>
        <w:t>, classical T</w:t>
      </w:r>
      <w:r w:rsidRPr="00DD6015">
        <w:rPr>
          <w:rFonts w:ascii="Arial" w:hAnsi="Arial" w:cs="Arial"/>
          <w:sz w:val="22"/>
          <w:szCs w:val="22"/>
          <w:vertAlign w:val="subscript"/>
        </w:rPr>
        <w:t xml:space="preserve">REG </w:t>
      </w:r>
      <w:r w:rsidRPr="00DD6015">
        <w:rPr>
          <w:rFonts w:ascii="Arial" w:hAnsi="Arial" w:cs="Arial"/>
          <w:sz w:val="22"/>
          <w:szCs w:val="22"/>
        </w:rPr>
        <w:t>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 xml:space="preserve">– </w:t>
      </w:r>
      <w:r w:rsidRPr="00DD6015">
        <w:rPr>
          <w:rFonts w:ascii="Arial" w:hAnsi="Arial" w:cs="Arial"/>
          <w:sz w:val="22"/>
          <w:szCs w:val="22"/>
        </w:rPr>
        <w:t xml:space="preserve">T cells from human PBMCs in response to 24h, 48h or 72h SEB (C) or SpeC (D) stimulation. Unstimulated data </w:t>
      </w:r>
      <w:r>
        <w:rPr>
          <w:rFonts w:ascii="Arial" w:hAnsi="Arial" w:cs="Arial"/>
          <w:sz w:val="22"/>
          <w:szCs w:val="22"/>
        </w:rPr>
        <w:t>were</w:t>
      </w:r>
      <w:r w:rsidRPr="00DD6015">
        <w:rPr>
          <w:rFonts w:ascii="Arial" w:hAnsi="Arial" w:cs="Arial"/>
          <w:sz w:val="22"/>
          <w:szCs w:val="22"/>
        </w:rPr>
        <w:t xml:space="preserve"> subtracted from each stimulated condition.  Each dot represents one donor. Data 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For each length of stimulation, cellular subsets are compared using a one-way ANOVA with Tukey’s multiple comparisons test: *p&lt;0.05, **p&lt;0.01, ***p&lt;0.001, ****p&lt;0.0001.</w:t>
      </w:r>
    </w:p>
    <w:p w14:paraId="6E0651C8" w14:textId="77777777" w:rsidR="0073402D" w:rsidRPr="00DD6015" w:rsidRDefault="0073402D" w:rsidP="0073402D">
      <w:pPr>
        <w:spacing w:line="480" w:lineRule="auto"/>
        <w:jc w:val="both"/>
        <w:rPr>
          <w:rFonts w:ascii="Arial" w:hAnsi="Arial" w:cs="Arial"/>
          <w:color w:val="000000" w:themeColor="text1"/>
          <w:sz w:val="22"/>
          <w:szCs w:val="22"/>
        </w:rPr>
      </w:pPr>
    </w:p>
    <w:p w14:paraId="037C5873" w14:textId="77777777" w:rsidR="0073402D" w:rsidRPr="00DD6015" w:rsidRDefault="0073402D" w:rsidP="0073402D">
      <w:pPr>
        <w:spacing w:line="480" w:lineRule="auto"/>
        <w:jc w:val="both"/>
        <w:rPr>
          <w:rFonts w:ascii="Arial" w:hAnsi="Arial" w:cs="Arial"/>
          <w:b/>
          <w:bCs/>
          <w:color w:val="000000" w:themeColor="text1"/>
          <w:sz w:val="22"/>
          <w:szCs w:val="22"/>
        </w:rPr>
      </w:pPr>
      <w:r w:rsidRPr="00DD6015">
        <w:rPr>
          <w:rFonts w:ascii="Arial" w:hAnsi="Arial" w:cs="Arial"/>
          <w:b/>
          <w:bCs/>
          <w:color w:val="000000" w:themeColor="text1"/>
          <w:sz w:val="22"/>
          <w:szCs w:val="22"/>
        </w:rPr>
        <w:t xml:space="preserve">Figure S5: Co-IR expression on </w:t>
      </w:r>
      <w:r w:rsidRPr="00DD6015">
        <w:rPr>
          <w:rFonts w:ascii="Arial" w:hAnsi="Arial" w:cs="Arial"/>
          <w:b/>
          <w:bCs/>
          <w:sz w:val="22"/>
          <w:szCs w:val="22"/>
        </w:rPr>
        <w:t>cT</w:t>
      </w:r>
      <w:r w:rsidRPr="00DD6015">
        <w:rPr>
          <w:rFonts w:ascii="Arial" w:hAnsi="Arial" w:cs="Arial"/>
          <w:b/>
          <w:bCs/>
          <w:sz w:val="22"/>
          <w:szCs w:val="22"/>
          <w:vertAlign w:val="subscript"/>
        </w:rPr>
        <w:t>FR</w:t>
      </w:r>
      <w:r w:rsidRPr="00DD6015">
        <w:rPr>
          <w:rFonts w:ascii="Arial" w:hAnsi="Arial" w:cs="Arial"/>
          <w:b/>
          <w:bCs/>
          <w:sz w:val="22"/>
          <w:szCs w:val="22"/>
        </w:rPr>
        <w:t xml:space="preserve"> and cT</w:t>
      </w:r>
      <w:r w:rsidRPr="00DD6015">
        <w:rPr>
          <w:rFonts w:ascii="Arial" w:hAnsi="Arial" w:cs="Arial"/>
          <w:b/>
          <w:bCs/>
          <w:sz w:val="22"/>
          <w:szCs w:val="22"/>
          <w:vertAlign w:val="subscript"/>
        </w:rPr>
        <w:t xml:space="preserve">REG </w:t>
      </w:r>
      <w:r w:rsidRPr="00DD6015">
        <w:rPr>
          <w:rFonts w:ascii="Arial" w:hAnsi="Arial" w:cs="Arial"/>
          <w:b/>
          <w:bCs/>
          <w:sz w:val="22"/>
          <w:szCs w:val="22"/>
        </w:rPr>
        <w:t>cells compared to CXCR5</w:t>
      </w:r>
      <w:r w:rsidRPr="00DD6015">
        <w:rPr>
          <w:rFonts w:ascii="Arial" w:hAnsi="Arial" w:cs="Arial"/>
          <w:b/>
          <w:bCs/>
          <w:sz w:val="22"/>
          <w:szCs w:val="22"/>
          <w:vertAlign w:val="superscript"/>
        </w:rPr>
        <w:t>–</w:t>
      </w:r>
      <w:r w:rsidRPr="00DD6015">
        <w:rPr>
          <w:rFonts w:ascii="Arial" w:hAnsi="Arial" w:cs="Arial"/>
          <w:b/>
          <w:bCs/>
          <w:sz w:val="22"/>
          <w:szCs w:val="22"/>
        </w:rPr>
        <w:t>FOXP3</w:t>
      </w:r>
      <w:r w:rsidRPr="00DD6015">
        <w:rPr>
          <w:rFonts w:ascii="Arial" w:hAnsi="Arial" w:cs="Arial"/>
          <w:b/>
          <w:bCs/>
          <w:sz w:val="22"/>
          <w:szCs w:val="22"/>
          <w:vertAlign w:val="superscript"/>
        </w:rPr>
        <w:t xml:space="preserve">– </w:t>
      </w:r>
      <w:r w:rsidRPr="00DD6015">
        <w:rPr>
          <w:rFonts w:ascii="Arial" w:hAnsi="Arial" w:cs="Arial"/>
          <w:b/>
          <w:bCs/>
          <w:sz w:val="22"/>
          <w:szCs w:val="22"/>
        </w:rPr>
        <w:t>T cells in response to TSST-1 stimulation</w:t>
      </w:r>
    </w:p>
    <w:p w14:paraId="5459F1BE"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color w:val="000000" w:themeColor="text1"/>
          <w:sz w:val="22"/>
          <w:szCs w:val="22"/>
        </w:rPr>
        <w:t>Frequency of CTLA-4</w:t>
      </w:r>
      <w:r w:rsidRPr="00DD6015">
        <w:rPr>
          <w:rFonts w:ascii="Arial" w:hAnsi="Arial" w:cs="Arial"/>
          <w:color w:val="000000" w:themeColor="text1"/>
          <w:sz w:val="22"/>
          <w:szCs w:val="22"/>
          <w:vertAlign w:val="superscript"/>
        </w:rPr>
        <w:t xml:space="preserve">+ </w:t>
      </w:r>
      <w:r w:rsidRPr="00DD6015">
        <w:rPr>
          <w:rFonts w:ascii="Arial" w:hAnsi="Arial" w:cs="Arial"/>
          <w:color w:val="000000" w:themeColor="text1"/>
          <w:sz w:val="22"/>
          <w:szCs w:val="22"/>
        </w:rPr>
        <w:t>(red dots), LAG-3</w:t>
      </w:r>
      <w:r w:rsidRPr="00DD6015">
        <w:rPr>
          <w:rFonts w:ascii="Arial" w:hAnsi="Arial" w:cs="Arial"/>
          <w:color w:val="000000" w:themeColor="text1"/>
          <w:sz w:val="22"/>
          <w:szCs w:val="22"/>
          <w:vertAlign w:val="superscript"/>
        </w:rPr>
        <w:t xml:space="preserve">+ </w:t>
      </w:r>
      <w:r w:rsidRPr="00DD6015">
        <w:rPr>
          <w:rFonts w:ascii="Arial" w:hAnsi="Arial" w:cs="Arial"/>
          <w:color w:val="000000" w:themeColor="text1"/>
          <w:sz w:val="22"/>
          <w:szCs w:val="22"/>
        </w:rPr>
        <w:t>(yellow dots), TIGIT</w:t>
      </w:r>
      <w:r w:rsidRPr="00DD6015">
        <w:rPr>
          <w:rFonts w:ascii="Arial" w:hAnsi="Arial" w:cs="Arial"/>
          <w:color w:val="000000" w:themeColor="text1"/>
          <w:sz w:val="22"/>
          <w:szCs w:val="22"/>
          <w:vertAlign w:val="superscript"/>
        </w:rPr>
        <w:t>+</w:t>
      </w:r>
      <w:r w:rsidRPr="00DD6015">
        <w:rPr>
          <w:rFonts w:ascii="Arial" w:hAnsi="Arial" w:cs="Arial"/>
          <w:color w:val="000000" w:themeColor="text1"/>
          <w:sz w:val="22"/>
          <w:szCs w:val="22"/>
        </w:rPr>
        <w:t xml:space="preserve"> (green dots) and TIM-3</w:t>
      </w:r>
      <w:r w:rsidRPr="00DD6015">
        <w:rPr>
          <w:rFonts w:ascii="Arial" w:hAnsi="Arial" w:cs="Arial"/>
          <w:color w:val="000000" w:themeColor="text1"/>
          <w:sz w:val="22"/>
          <w:szCs w:val="22"/>
          <w:vertAlign w:val="superscript"/>
        </w:rPr>
        <w:t>+</w:t>
      </w:r>
      <w:r w:rsidRPr="00DD6015">
        <w:rPr>
          <w:rFonts w:ascii="Arial" w:hAnsi="Arial" w:cs="Arial"/>
          <w:color w:val="000000" w:themeColor="text1"/>
          <w:sz w:val="22"/>
          <w:szCs w:val="22"/>
        </w:rPr>
        <w:t xml:space="preserve"> (blue dots) </w:t>
      </w:r>
      <w:r w:rsidRPr="00DD6015">
        <w:rPr>
          <w:rFonts w:ascii="Arial" w:hAnsi="Arial" w:cs="Arial"/>
          <w:sz w:val="22"/>
          <w:szCs w:val="22"/>
        </w:rPr>
        <w:t>cT</w:t>
      </w:r>
      <w:r w:rsidRPr="00DD6015">
        <w:rPr>
          <w:rFonts w:ascii="Arial" w:hAnsi="Arial" w:cs="Arial"/>
          <w:sz w:val="22"/>
          <w:szCs w:val="22"/>
          <w:vertAlign w:val="subscript"/>
        </w:rPr>
        <w:t>FR</w:t>
      </w:r>
      <w:r w:rsidRPr="00DD6015">
        <w:rPr>
          <w:rFonts w:ascii="Arial" w:hAnsi="Arial" w:cs="Arial"/>
          <w:sz w:val="22"/>
          <w:szCs w:val="22"/>
        </w:rPr>
        <w:t xml:space="preserve"> (A) classical T</w:t>
      </w:r>
      <w:r w:rsidRPr="00DD6015">
        <w:rPr>
          <w:rFonts w:ascii="Arial" w:hAnsi="Arial" w:cs="Arial"/>
          <w:sz w:val="22"/>
          <w:szCs w:val="22"/>
          <w:vertAlign w:val="subscript"/>
        </w:rPr>
        <w:t xml:space="preserve">REG </w:t>
      </w:r>
      <w:r w:rsidRPr="00DD6015">
        <w:rPr>
          <w:rFonts w:ascii="Arial" w:hAnsi="Arial" w:cs="Arial"/>
          <w:sz w:val="22"/>
          <w:szCs w:val="22"/>
        </w:rPr>
        <w:t>(B) and CXCR5</w:t>
      </w:r>
      <w:r w:rsidRPr="00DD6015">
        <w:rPr>
          <w:rFonts w:ascii="Arial" w:hAnsi="Arial" w:cs="Arial"/>
          <w:sz w:val="22"/>
          <w:szCs w:val="22"/>
          <w:vertAlign w:val="superscript"/>
        </w:rPr>
        <w:t>–</w:t>
      </w:r>
      <w:r w:rsidRPr="00DD6015">
        <w:rPr>
          <w:rFonts w:ascii="Arial" w:hAnsi="Arial" w:cs="Arial"/>
          <w:sz w:val="22"/>
          <w:szCs w:val="22"/>
        </w:rPr>
        <w:t>FOXP3</w:t>
      </w:r>
      <w:r w:rsidRPr="00DD6015">
        <w:rPr>
          <w:rFonts w:ascii="Arial" w:hAnsi="Arial" w:cs="Arial"/>
          <w:sz w:val="22"/>
          <w:szCs w:val="22"/>
          <w:vertAlign w:val="superscript"/>
        </w:rPr>
        <w:t xml:space="preserve">– </w:t>
      </w:r>
      <w:r w:rsidRPr="00DD6015">
        <w:rPr>
          <w:rFonts w:ascii="Arial" w:hAnsi="Arial" w:cs="Arial"/>
          <w:sz w:val="22"/>
          <w:szCs w:val="22"/>
        </w:rPr>
        <w:t xml:space="preserve">T cells (C) from human PBMCs collected from healthy donors either cultured in media alone (control) or stimulated with TSST-1 for 24h, 48h or 72h. Each dot represents one donor. Data 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For each marker, cellular subsets are compared using a one-way ANOVA with Tukey’s multiple comparisons test: *p&lt;0.05, **p&lt;0.01, ***p&lt;0.001, ****p&lt;0.0001. </w:t>
      </w:r>
    </w:p>
    <w:p w14:paraId="199BE82F" w14:textId="77777777" w:rsidR="0073402D" w:rsidRPr="00DD6015" w:rsidRDefault="0073402D" w:rsidP="0073402D">
      <w:pPr>
        <w:spacing w:line="480" w:lineRule="auto"/>
        <w:jc w:val="both"/>
        <w:rPr>
          <w:rFonts w:ascii="Arial" w:hAnsi="Arial" w:cs="Arial"/>
          <w:color w:val="000000" w:themeColor="text1"/>
          <w:sz w:val="22"/>
          <w:szCs w:val="22"/>
        </w:rPr>
      </w:pPr>
    </w:p>
    <w:p w14:paraId="0D27049B" w14:textId="77777777" w:rsidR="0073402D" w:rsidRPr="00DD6015" w:rsidRDefault="0073402D" w:rsidP="0073402D">
      <w:pPr>
        <w:spacing w:line="480" w:lineRule="auto"/>
        <w:jc w:val="both"/>
        <w:rPr>
          <w:rFonts w:ascii="Arial" w:hAnsi="Arial" w:cs="Arial"/>
          <w:b/>
          <w:bCs/>
          <w:color w:val="000000" w:themeColor="text1"/>
          <w:sz w:val="22"/>
          <w:szCs w:val="22"/>
        </w:rPr>
      </w:pPr>
      <w:r w:rsidRPr="00DD6015">
        <w:rPr>
          <w:rFonts w:ascii="Arial" w:hAnsi="Arial" w:cs="Arial"/>
          <w:b/>
          <w:bCs/>
          <w:color w:val="000000" w:themeColor="text1"/>
          <w:sz w:val="22"/>
          <w:szCs w:val="22"/>
        </w:rPr>
        <w:t>Figure S6: TNFR2 blockade reduces TSST-1-induced decline in the ratio of cT</w:t>
      </w:r>
      <w:r w:rsidRPr="00DD6015">
        <w:rPr>
          <w:rFonts w:ascii="Arial" w:hAnsi="Arial" w:cs="Arial"/>
          <w:b/>
          <w:bCs/>
          <w:color w:val="000000" w:themeColor="text1"/>
          <w:sz w:val="22"/>
          <w:szCs w:val="22"/>
          <w:vertAlign w:val="subscript"/>
        </w:rPr>
        <w:t>FH</w:t>
      </w:r>
      <w:r w:rsidRPr="00DD6015">
        <w:rPr>
          <w:rFonts w:ascii="Arial" w:hAnsi="Arial" w:cs="Arial"/>
          <w:b/>
          <w:bCs/>
          <w:color w:val="000000" w:themeColor="text1"/>
          <w:sz w:val="22"/>
          <w:szCs w:val="22"/>
        </w:rPr>
        <w:t>:T</w:t>
      </w:r>
      <w:r w:rsidRPr="00DD6015">
        <w:rPr>
          <w:rFonts w:ascii="Arial" w:hAnsi="Arial" w:cs="Arial"/>
          <w:b/>
          <w:bCs/>
          <w:color w:val="000000" w:themeColor="text1"/>
          <w:sz w:val="22"/>
          <w:szCs w:val="22"/>
          <w:vertAlign w:val="subscript"/>
        </w:rPr>
        <w:t>FR</w:t>
      </w:r>
      <w:r w:rsidRPr="00DD6015">
        <w:rPr>
          <w:rFonts w:ascii="Arial" w:hAnsi="Arial" w:cs="Arial"/>
          <w:b/>
          <w:bCs/>
          <w:color w:val="000000" w:themeColor="text1"/>
          <w:sz w:val="22"/>
          <w:szCs w:val="22"/>
        </w:rPr>
        <w:t xml:space="preserve"> cells</w:t>
      </w:r>
    </w:p>
    <w:p w14:paraId="2CE86442" w14:textId="77777777" w:rsidR="0073402D" w:rsidRPr="00DD6015" w:rsidRDefault="0073402D" w:rsidP="0073402D">
      <w:pPr>
        <w:spacing w:line="480" w:lineRule="auto"/>
        <w:jc w:val="both"/>
        <w:rPr>
          <w:rFonts w:ascii="Arial" w:hAnsi="Arial" w:cs="Arial"/>
          <w:color w:val="000000" w:themeColor="text1"/>
          <w:sz w:val="22"/>
          <w:szCs w:val="22"/>
        </w:rPr>
      </w:pPr>
      <w:r w:rsidRPr="00DD6015">
        <w:rPr>
          <w:rFonts w:ascii="Arial" w:hAnsi="Arial" w:cs="Arial"/>
          <w:color w:val="000000" w:themeColor="text1"/>
          <w:sz w:val="22"/>
          <w:szCs w:val="22"/>
        </w:rPr>
        <w:t>Ratio of cT</w:t>
      </w:r>
      <w:r w:rsidRPr="00DD6015">
        <w:rPr>
          <w:rFonts w:ascii="Arial" w:hAnsi="Arial" w:cs="Arial"/>
          <w:color w:val="000000" w:themeColor="text1"/>
          <w:sz w:val="22"/>
          <w:szCs w:val="22"/>
          <w:vertAlign w:val="subscript"/>
        </w:rPr>
        <w:t>FH</w:t>
      </w:r>
      <w:r w:rsidRPr="00DD6015">
        <w:rPr>
          <w:rFonts w:ascii="Arial" w:hAnsi="Arial" w:cs="Arial"/>
          <w:color w:val="000000" w:themeColor="text1"/>
          <w:sz w:val="22"/>
          <w:szCs w:val="22"/>
        </w:rPr>
        <w:t>:cT</w:t>
      </w:r>
      <w:r w:rsidRPr="00DD6015">
        <w:rPr>
          <w:rFonts w:ascii="Arial" w:hAnsi="Arial" w:cs="Arial"/>
          <w:color w:val="000000" w:themeColor="text1"/>
          <w:sz w:val="22"/>
          <w:szCs w:val="22"/>
          <w:vertAlign w:val="subscript"/>
        </w:rPr>
        <w:t>FR</w:t>
      </w:r>
      <w:r w:rsidRPr="00DD6015">
        <w:rPr>
          <w:rFonts w:ascii="Arial" w:hAnsi="Arial" w:cs="Arial"/>
          <w:color w:val="000000" w:themeColor="text1"/>
          <w:sz w:val="22"/>
          <w:szCs w:val="22"/>
        </w:rPr>
        <w:t xml:space="preserve"> cells from human PBMCs collected from healthy donors either cultured with media alone (control, white bars) or stimulated with TSST-1 for 72h (grey bars) in the presence of an IgG2 isotype control or a TNFR2 blocking antibody.</w:t>
      </w:r>
      <w:r w:rsidRPr="00DD6015">
        <w:rPr>
          <w:rFonts w:ascii="Arial" w:hAnsi="Arial" w:cs="Arial"/>
          <w:sz w:val="22"/>
          <w:szCs w:val="22"/>
        </w:rPr>
        <w:t xml:space="preserve"> Each dot represents one donor. Data </w:t>
      </w:r>
      <w:r w:rsidRPr="00DD6015">
        <w:rPr>
          <w:rFonts w:ascii="Arial" w:hAnsi="Arial" w:cs="Arial"/>
          <w:sz w:val="22"/>
          <w:szCs w:val="22"/>
        </w:rPr>
        <w:lastRenderedPageBreak/>
        <w:t xml:space="preserve">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Data are compared using a two-way ANOVA with uncorrected Fisher’s LSD: *p&lt;0.05, **p&lt;0.01, ***p&lt;0.001, ****p&lt;0.0001. </w:t>
      </w:r>
    </w:p>
    <w:p w14:paraId="6A5B096C" w14:textId="77777777" w:rsidR="0073402D" w:rsidRPr="00DD6015" w:rsidRDefault="0073402D" w:rsidP="0073402D">
      <w:pPr>
        <w:spacing w:line="480" w:lineRule="auto"/>
        <w:jc w:val="both"/>
        <w:rPr>
          <w:rFonts w:ascii="Arial" w:hAnsi="Arial" w:cs="Arial"/>
          <w:color w:val="000000" w:themeColor="text1"/>
          <w:sz w:val="22"/>
          <w:szCs w:val="22"/>
        </w:rPr>
      </w:pPr>
    </w:p>
    <w:p w14:paraId="41855F15" w14:textId="77777777" w:rsidR="0073402D" w:rsidRPr="00DD6015" w:rsidRDefault="0073402D" w:rsidP="0073402D">
      <w:pPr>
        <w:spacing w:line="480" w:lineRule="auto"/>
        <w:jc w:val="both"/>
        <w:rPr>
          <w:rFonts w:ascii="Arial" w:hAnsi="Arial" w:cs="Arial"/>
          <w:b/>
          <w:bCs/>
          <w:sz w:val="22"/>
          <w:szCs w:val="22"/>
        </w:rPr>
      </w:pPr>
      <w:r w:rsidRPr="00DD6015">
        <w:rPr>
          <w:rFonts w:ascii="Arial" w:hAnsi="Arial" w:cs="Arial"/>
          <w:b/>
          <w:bCs/>
          <w:color w:val="000000" w:themeColor="text1"/>
          <w:sz w:val="22"/>
          <w:szCs w:val="22"/>
        </w:rPr>
        <w:t xml:space="preserve">Figure S7: Gating strategy for identifying </w:t>
      </w:r>
      <w:r w:rsidRPr="00DD6015">
        <w:rPr>
          <w:rFonts w:ascii="Arial" w:hAnsi="Arial" w:cs="Arial"/>
          <w:b/>
          <w:bCs/>
          <w:sz w:val="22"/>
          <w:szCs w:val="22"/>
        </w:rPr>
        <w:t>CD38</w:t>
      </w:r>
      <w:r w:rsidRPr="00DD6015">
        <w:rPr>
          <w:rFonts w:ascii="Arial" w:hAnsi="Arial" w:cs="Arial"/>
          <w:b/>
          <w:bCs/>
          <w:sz w:val="22"/>
          <w:szCs w:val="22"/>
          <w:vertAlign w:val="superscript"/>
        </w:rPr>
        <w:t>hi</w:t>
      </w:r>
      <w:r w:rsidRPr="00DD6015">
        <w:rPr>
          <w:rFonts w:ascii="Arial" w:hAnsi="Arial" w:cs="Arial"/>
          <w:b/>
          <w:bCs/>
          <w:sz w:val="22"/>
          <w:szCs w:val="22"/>
        </w:rPr>
        <w:t>CD27</w:t>
      </w:r>
      <w:r w:rsidRPr="00DD6015">
        <w:rPr>
          <w:rFonts w:ascii="Arial" w:hAnsi="Arial" w:cs="Arial"/>
          <w:b/>
          <w:bCs/>
          <w:sz w:val="22"/>
          <w:szCs w:val="22"/>
          <w:vertAlign w:val="superscript"/>
        </w:rPr>
        <w:t>hi</w:t>
      </w:r>
      <w:r w:rsidRPr="00DD6015">
        <w:rPr>
          <w:rFonts w:ascii="Arial" w:hAnsi="Arial" w:cs="Arial"/>
          <w:b/>
          <w:bCs/>
          <w:sz w:val="22"/>
          <w:szCs w:val="22"/>
        </w:rPr>
        <w:t xml:space="preserve"> plasmablasts in human tonsil organoids</w:t>
      </w:r>
    </w:p>
    <w:p w14:paraId="349D8338" w14:textId="77777777" w:rsidR="0073402D" w:rsidRDefault="0073402D" w:rsidP="0073402D">
      <w:pPr>
        <w:spacing w:line="480" w:lineRule="auto"/>
        <w:jc w:val="both"/>
        <w:rPr>
          <w:rFonts w:ascii="Arial" w:hAnsi="Arial" w:cs="Arial"/>
          <w:sz w:val="22"/>
          <w:szCs w:val="22"/>
        </w:rPr>
      </w:pPr>
      <w:r w:rsidRPr="00DD6015">
        <w:rPr>
          <w:rFonts w:ascii="Arial" w:hAnsi="Arial" w:cs="Arial"/>
          <w:sz w:val="22"/>
          <w:szCs w:val="22"/>
        </w:rPr>
        <w:t>Successive flow cytometric panels from one representative human donor showing the gating strategy to identify CD38</w:t>
      </w:r>
      <w:r w:rsidRPr="00DD6015">
        <w:rPr>
          <w:rFonts w:ascii="Arial" w:hAnsi="Arial" w:cs="Arial"/>
          <w:sz w:val="22"/>
          <w:szCs w:val="22"/>
          <w:vertAlign w:val="superscript"/>
        </w:rPr>
        <w:t>hi</w:t>
      </w:r>
      <w:r w:rsidRPr="00DD6015">
        <w:rPr>
          <w:rFonts w:ascii="Arial" w:hAnsi="Arial" w:cs="Arial"/>
          <w:sz w:val="22"/>
          <w:szCs w:val="22"/>
        </w:rPr>
        <w:t>CD27</w:t>
      </w:r>
      <w:r w:rsidRPr="00DD6015">
        <w:rPr>
          <w:rFonts w:ascii="Arial" w:hAnsi="Arial" w:cs="Arial"/>
          <w:sz w:val="22"/>
          <w:szCs w:val="22"/>
          <w:vertAlign w:val="superscript"/>
        </w:rPr>
        <w:t>hi</w:t>
      </w:r>
      <w:r w:rsidRPr="00DD6015">
        <w:rPr>
          <w:rFonts w:ascii="Arial" w:hAnsi="Arial" w:cs="Arial"/>
          <w:sz w:val="22"/>
          <w:szCs w:val="22"/>
        </w:rPr>
        <w:t xml:space="preserve"> plasmablasts in human tonsil organoids.</w:t>
      </w:r>
    </w:p>
    <w:p w14:paraId="19BFC5FA" w14:textId="77777777" w:rsidR="0073402D" w:rsidRPr="00DD6015" w:rsidRDefault="0073402D" w:rsidP="0073402D">
      <w:pPr>
        <w:spacing w:line="480" w:lineRule="auto"/>
        <w:jc w:val="both"/>
        <w:rPr>
          <w:rFonts w:ascii="Arial" w:hAnsi="Arial" w:cs="Arial"/>
          <w:b/>
          <w:bCs/>
          <w:color w:val="000000" w:themeColor="text1"/>
          <w:sz w:val="22"/>
          <w:szCs w:val="22"/>
        </w:rPr>
      </w:pPr>
    </w:p>
    <w:p w14:paraId="6D1AB7FF" w14:textId="77777777" w:rsidR="0073402D" w:rsidRPr="00DD6015" w:rsidRDefault="0073402D" w:rsidP="0073402D">
      <w:pPr>
        <w:spacing w:line="480" w:lineRule="auto"/>
        <w:jc w:val="both"/>
        <w:rPr>
          <w:rFonts w:ascii="Arial" w:hAnsi="Arial" w:cs="Arial"/>
          <w:b/>
          <w:bCs/>
          <w:color w:val="000000" w:themeColor="text1"/>
          <w:sz w:val="22"/>
          <w:szCs w:val="22"/>
        </w:rPr>
      </w:pPr>
      <w:r w:rsidRPr="00DD6015">
        <w:rPr>
          <w:rFonts w:ascii="Arial" w:hAnsi="Arial" w:cs="Arial"/>
          <w:b/>
          <w:bCs/>
          <w:color w:val="000000" w:themeColor="text1"/>
          <w:sz w:val="22"/>
          <w:szCs w:val="22"/>
        </w:rPr>
        <w:t>Figure S8: TSST-1 induced alterations in CXCR5</w:t>
      </w:r>
      <w:r w:rsidRPr="00DD6015">
        <w:rPr>
          <w:rFonts w:ascii="Arial" w:hAnsi="Arial" w:cs="Arial"/>
          <w:b/>
          <w:bCs/>
          <w:color w:val="000000" w:themeColor="text1"/>
          <w:sz w:val="22"/>
          <w:szCs w:val="22"/>
          <w:vertAlign w:val="superscript"/>
        </w:rPr>
        <w:t>+</w:t>
      </w:r>
      <w:r w:rsidRPr="00DD6015">
        <w:rPr>
          <w:rFonts w:ascii="Arial" w:hAnsi="Arial" w:cs="Arial"/>
          <w:b/>
          <w:bCs/>
          <w:color w:val="000000" w:themeColor="text1"/>
          <w:sz w:val="22"/>
          <w:szCs w:val="22"/>
        </w:rPr>
        <w:t xml:space="preserve"> CD4</w:t>
      </w:r>
      <w:r w:rsidRPr="00DD6015">
        <w:rPr>
          <w:rFonts w:ascii="Arial" w:hAnsi="Arial" w:cs="Arial"/>
          <w:b/>
          <w:bCs/>
          <w:color w:val="000000" w:themeColor="text1"/>
          <w:sz w:val="22"/>
          <w:szCs w:val="22"/>
          <w:vertAlign w:val="superscript"/>
        </w:rPr>
        <w:t>+</w:t>
      </w:r>
      <w:r w:rsidRPr="00DD6015">
        <w:rPr>
          <w:rFonts w:ascii="Arial" w:hAnsi="Arial" w:cs="Arial"/>
          <w:b/>
          <w:bCs/>
          <w:color w:val="000000" w:themeColor="text1"/>
          <w:sz w:val="22"/>
          <w:szCs w:val="22"/>
        </w:rPr>
        <w:t xml:space="preserve"> T cells and plasmablasts in human tonsil organoids </w:t>
      </w:r>
    </w:p>
    <w:p w14:paraId="3511A9F9" w14:textId="77777777" w:rsidR="0073402D" w:rsidRDefault="0073402D" w:rsidP="0073402D">
      <w:pPr>
        <w:spacing w:line="480" w:lineRule="auto"/>
        <w:jc w:val="both"/>
        <w:rPr>
          <w:rFonts w:ascii="Arial" w:hAnsi="Arial" w:cs="Arial"/>
          <w:color w:val="000000" w:themeColor="text1"/>
          <w:sz w:val="22"/>
          <w:szCs w:val="22"/>
        </w:rPr>
      </w:pPr>
      <w:r w:rsidRPr="00DD6015">
        <w:rPr>
          <w:rFonts w:ascii="Arial" w:hAnsi="Arial" w:cs="Arial"/>
          <w:sz w:val="22"/>
          <w:szCs w:val="22"/>
        </w:rPr>
        <w:t xml:space="preserve"> Proportion of CD38</w:t>
      </w:r>
      <w:r w:rsidRPr="00DD6015">
        <w:rPr>
          <w:rFonts w:ascii="Arial" w:hAnsi="Arial" w:cs="Arial"/>
          <w:sz w:val="22"/>
          <w:szCs w:val="22"/>
          <w:vertAlign w:val="superscript"/>
        </w:rPr>
        <w:t>+</w:t>
      </w:r>
      <w:r w:rsidRPr="00DD6015">
        <w:rPr>
          <w:rFonts w:ascii="Arial" w:hAnsi="Arial" w:cs="Arial"/>
          <w:sz w:val="22"/>
          <w:szCs w:val="22"/>
        </w:rPr>
        <w:t>CD27</w:t>
      </w:r>
      <w:r w:rsidRPr="00DD6015">
        <w:rPr>
          <w:rFonts w:ascii="Arial" w:hAnsi="Arial" w:cs="Arial"/>
          <w:sz w:val="22"/>
          <w:szCs w:val="22"/>
          <w:vertAlign w:val="superscript"/>
        </w:rPr>
        <w:t>+</w:t>
      </w:r>
      <w:r w:rsidRPr="00DD6015">
        <w:rPr>
          <w:rFonts w:ascii="Arial" w:hAnsi="Arial" w:cs="Arial"/>
          <w:sz w:val="22"/>
          <w:szCs w:val="22"/>
        </w:rPr>
        <w:t xml:space="preserve"> B cells from human tonsil organoids either cultured in media with BAFF alone (control) or cultured in media with BAFF alone  and stimulated with TSST-1 for 3 or 14 days that are alive (Viability dye</w:t>
      </w:r>
      <w:r w:rsidRPr="00DD6015">
        <w:rPr>
          <w:rFonts w:ascii="Arial" w:hAnsi="Arial" w:cs="Arial"/>
          <w:sz w:val="22"/>
          <w:szCs w:val="22"/>
          <w:vertAlign w:val="superscript"/>
        </w:rPr>
        <w:t>–</w:t>
      </w:r>
      <w:r w:rsidRPr="00DD6015">
        <w:rPr>
          <w:rFonts w:ascii="Arial" w:hAnsi="Arial" w:cs="Arial"/>
          <w:sz w:val="22"/>
          <w:szCs w:val="22"/>
        </w:rPr>
        <w:t xml:space="preserve"> Annexin V</w:t>
      </w:r>
      <w:r w:rsidRPr="00DD6015">
        <w:rPr>
          <w:rFonts w:ascii="Arial" w:hAnsi="Arial" w:cs="Arial"/>
          <w:sz w:val="22"/>
          <w:szCs w:val="22"/>
          <w:vertAlign w:val="superscript"/>
        </w:rPr>
        <w:t>–</w:t>
      </w:r>
      <w:r w:rsidRPr="00DD6015">
        <w:rPr>
          <w:rFonts w:ascii="Arial" w:hAnsi="Arial" w:cs="Arial"/>
          <w:sz w:val="22"/>
          <w:szCs w:val="22"/>
        </w:rPr>
        <w:t>), in early apoptosis (Viability dye</w:t>
      </w:r>
      <w:r w:rsidRPr="00DD6015">
        <w:rPr>
          <w:rFonts w:ascii="Arial" w:hAnsi="Arial" w:cs="Arial"/>
          <w:sz w:val="22"/>
          <w:szCs w:val="22"/>
          <w:vertAlign w:val="superscript"/>
        </w:rPr>
        <w:t>–</w:t>
      </w:r>
      <w:r w:rsidRPr="00DD6015">
        <w:rPr>
          <w:rFonts w:ascii="Arial" w:hAnsi="Arial" w:cs="Arial"/>
          <w:sz w:val="22"/>
          <w:szCs w:val="22"/>
        </w:rPr>
        <w:t>Annexin V</w:t>
      </w:r>
      <w:r w:rsidRPr="00DD6015">
        <w:rPr>
          <w:rFonts w:ascii="Arial" w:hAnsi="Arial" w:cs="Arial"/>
          <w:sz w:val="22"/>
          <w:szCs w:val="22"/>
          <w:vertAlign w:val="superscript"/>
        </w:rPr>
        <w:t>+</w:t>
      </w:r>
      <w:r w:rsidRPr="00DD6015">
        <w:rPr>
          <w:rFonts w:ascii="Arial" w:hAnsi="Arial" w:cs="Arial"/>
          <w:sz w:val="22"/>
          <w:szCs w:val="22"/>
        </w:rPr>
        <w:t>), in late apoptosis (Viability dye</w:t>
      </w:r>
      <w:r w:rsidRPr="00DD6015">
        <w:rPr>
          <w:rFonts w:ascii="Arial" w:hAnsi="Arial" w:cs="Arial"/>
          <w:sz w:val="22"/>
          <w:szCs w:val="22"/>
          <w:vertAlign w:val="superscript"/>
        </w:rPr>
        <w:t>+</w:t>
      </w:r>
      <w:r w:rsidRPr="00DD6015">
        <w:rPr>
          <w:rFonts w:ascii="Arial" w:hAnsi="Arial" w:cs="Arial"/>
          <w:sz w:val="22"/>
          <w:szCs w:val="22"/>
        </w:rPr>
        <w:t>Annexin V</w:t>
      </w:r>
      <w:r w:rsidRPr="00DD6015">
        <w:rPr>
          <w:rFonts w:ascii="Arial" w:hAnsi="Arial" w:cs="Arial"/>
          <w:sz w:val="22"/>
          <w:szCs w:val="22"/>
          <w:vertAlign w:val="superscript"/>
        </w:rPr>
        <w:t>+</w:t>
      </w:r>
      <w:r w:rsidRPr="00DD6015">
        <w:rPr>
          <w:rFonts w:ascii="Arial" w:hAnsi="Arial" w:cs="Arial"/>
          <w:sz w:val="22"/>
          <w:szCs w:val="22"/>
        </w:rPr>
        <w:t>) or dead (Viability dye</w:t>
      </w:r>
      <w:r w:rsidRPr="00DD6015">
        <w:rPr>
          <w:rFonts w:ascii="Arial" w:hAnsi="Arial" w:cs="Arial"/>
          <w:sz w:val="22"/>
          <w:szCs w:val="22"/>
          <w:vertAlign w:val="superscript"/>
        </w:rPr>
        <w:t>+</w:t>
      </w:r>
      <w:r w:rsidRPr="00DD6015">
        <w:rPr>
          <w:rFonts w:ascii="Arial" w:hAnsi="Arial" w:cs="Arial"/>
          <w:sz w:val="22"/>
          <w:szCs w:val="22"/>
        </w:rPr>
        <w:t>Annexin V</w:t>
      </w:r>
      <w:r w:rsidRPr="00DD6015">
        <w:rPr>
          <w:rFonts w:ascii="Arial" w:hAnsi="Arial" w:cs="Arial"/>
          <w:sz w:val="22"/>
          <w:szCs w:val="22"/>
          <w:vertAlign w:val="superscript"/>
        </w:rPr>
        <w:t>–</w:t>
      </w:r>
      <w:r w:rsidRPr="00DD6015">
        <w:rPr>
          <w:rFonts w:ascii="Arial" w:hAnsi="Arial" w:cs="Arial"/>
          <w:sz w:val="22"/>
          <w:szCs w:val="22"/>
        </w:rPr>
        <w:t xml:space="preserve">) (A). Data are shown as stacked bar charts and represent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w:t>
      </w:r>
      <w:r w:rsidRPr="00DD6015">
        <w:rPr>
          <w:rFonts w:ascii="Arial" w:hAnsi="Arial" w:cs="Arial"/>
          <w:sz w:val="22"/>
          <w:szCs w:val="22"/>
        </w:rPr>
        <w:t>Frequency of T</w:t>
      </w:r>
      <w:r w:rsidRPr="00DD6015">
        <w:rPr>
          <w:rFonts w:ascii="Arial" w:hAnsi="Arial" w:cs="Arial"/>
          <w:sz w:val="22"/>
          <w:szCs w:val="22"/>
          <w:vertAlign w:val="subscript"/>
        </w:rPr>
        <w:t>FR</w:t>
      </w:r>
      <w:r w:rsidRPr="00DD6015">
        <w:rPr>
          <w:rFonts w:ascii="Arial" w:hAnsi="Arial" w:cs="Arial"/>
          <w:sz w:val="22"/>
          <w:szCs w:val="22"/>
        </w:rPr>
        <w:t xml:space="preserve"> (B) and T</w:t>
      </w:r>
      <w:r w:rsidRPr="00DD6015">
        <w:rPr>
          <w:rFonts w:ascii="Arial" w:hAnsi="Arial" w:cs="Arial"/>
          <w:sz w:val="22"/>
          <w:szCs w:val="22"/>
          <w:vertAlign w:val="subscript"/>
        </w:rPr>
        <w:t>FH</w:t>
      </w:r>
      <w:r w:rsidRPr="00DD6015">
        <w:rPr>
          <w:rFonts w:ascii="Arial" w:hAnsi="Arial" w:cs="Arial"/>
          <w:sz w:val="22"/>
          <w:szCs w:val="22"/>
        </w:rPr>
        <w:t xml:space="preserve"> (C) cells as a proportion of CD4</w:t>
      </w:r>
      <w:r w:rsidRPr="00DD6015">
        <w:rPr>
          <w:rFonts w:ascii="Arial" w:hAnsi="Arial" w:cs="Arial"/>
          <w:sz w:val="22"/>
          <w:szCs w:val="22"/>
          <w:vertAlign w:val="superscript"/>
        </w:rPr>
        <w:t>+</w:t>
      </w:r>
      <w:r w:rsidRPr="00DD6015">
        <w:rPr>
          <w:rFonts w:ascii="Arial" w:hAnsi="Arial" w:cs="Arial"/>
          <w:sz w:val="22"/>
          <w:szCs w:val="22"/>
        </w:rPr>
        <w:t xml:space="preserve"> T cells from human tonsil organoids either cultured in media with BAFF alone (control) or cultured in media with BAFF and stimulated with TSST-1 for 3 or 14 days. Each dot represents one donor. Data are shown as mean </w:t>
      </w:r>
      <w:r w:rsidRPr="00DD6015">
        <w:rPr>
          <w:rFonts w:ascii="Arial" w:hAnsi="Arial" w:cs="Arial"/>
          <w:color w:val="000000" w:themeColor="text1"/>
          <w:sz w:val="22"/>
          <w:szCs w:val="22"/>
        </w:rPr>
        <w:sym w:font="Symbol" w:char="F0B1"/>
      </w:r>
      <w:r w:rsidRPr="00DD6015">
        <w:rPr>
          <w:rFonts w:ascii="Arial" w:hAnsi="Arial" w:cs="Arial"/>
          <w:color w:val="000000" w:themeColor="text1"/>
          <w:sz w:val="22"/>
          <w:szCs w:val="22"/>
        </w:rPr>
        <w:t xml:space="preserve"> SEM. Data are compared using a one-way ANOVA with Tukey’s multiple comparisons test: *p&lt;0.05, **p&lt;0.01, ***p&lt;0.001, ****p&lt;0.0001. Polyfunctionality profiles of </w:t>
      </w:r>
      <w:r w:rsidRPr="00DD6015">
        <w:rPr>
          <w:rFonts w:ascii="Arial" w:hAnsi="Arial" w:cs="Arial"/>
          <w:sz w:val="22"/>
          <w:szCs w:val="22"/>
        </w:rPr>
        <w:t>T</w:t>
      </w:r>
      <w:r w:rsidRPr="00DD6015">
        <w:rPr>
          <w:rFonts w:ascii="Arial" w:hAnsi="Arial" w:cs="Arial"/>
          <w:sz w:val="22"/>
          <w:szCs w:val="22"/>
          <w:vertAlign w:val="subscript"/>
        </w:rPr>
        <w:t>FR</w:t>
      </w:r>
      <w:r w:rsidRPr="00DD6015">
        <w:rPr>
          <w:rFonts w:ascii="Arial" w:hAnsi="Arial" w:cs="Arial"/>
          <w:sz w:val="22"/>
          <w:szCs w:val="22"/>
        </w:rPr>
        <w:t xml:space="preserve"> cells from human tonsil organoids either cultured in media with BAFF alone (control) or cultured in media with BAFF and stimulated with TSST-1 for 3 or 14 days, or TSST-1 + IL-21 for 14 days (D). Pie chart segments from concatenated data (n=3 donors) represent the proportion of cells expressing the indicated number of surface or intracellular markers (functions). Arcs describe the individual markers found on expressing cells including OX40, IFN-</w:t>
      </w:r>
      <w:r w:rsidRPr="00DD6015">
        <w:rPr>
          <w:rFonts w:ascii="Arial" w:hAnsi="Arial" w:cs="Arial"/>
          <w:sz w:val="22"/>
          <w:szCs w:val="22"/>
        </w:rPr>
        <w:sym w:font="Symbol" w:char="F067"/>
      </w:r>
      <w:r w:rsidRPr="00DD6015">
        <w:rPr>
          <w:rFonts w:ascii="Arial" w:hAnsi="Arial" w:cs="Arial"/>
          <w:sz w:val="22"/>
          <w:szCs w:val="22"/>
        </w:rPr>
        <w:t xml:space="preserve">, </w:t>
      </w:r>
      <w:r>
        <w:rPr>
          <w:rFonts w:ascii="Arial" w:hAnsi="Arial" w:cs="Arial"/>
          <w:sz w:val="22"/>
          <w:szCs w:val="22"/>
        </w:rPr>
        <w:t>GzmB</w:t>
      </w:r>
      <w:r w:rsidRPr="00DD6015">
        <w:rPr>
          <w:rFonts w:ascii="Arial" w:hAnsi="Arial" w:cs="Arial"/>
          <w:sz w:val="22"/>
          <w:szCs w:val="22"/>
        </w:rPr>
        <w:t xml:space="preserve"> and CD40L (arc legend). Co-IR profiles of tonsillar T</w:t>
      </w:r>
      <w:r w:rsidRPr="00DD6015">
        <w:rPr>
          <w:rFonts w:ascii="Arial" w:hAnsi="Arial" w:cs="Arial"/>
          <w:sz w:val="22"/>
          <w:szCs w:val="22"/>
          <w:vertAlign w:val="subscript"/>
        </w:rPr>
        <w:t>FR</w:t>
      </w:r>
      <w:r w:rsidRPr="00DD6015">
        <w:rPr>
          <w:rFonts w:ascii="Arial" w:hAnsi="Arial" w:cs="Arial"/>
          <w:sz w:val="22"/>
          <w:szCs w:val="22"/>
        </w:rPr>
        <w:t xml:space="preserve"> from human tonsil organoids either cultured in media with BAFF alone (control) or cultured in media with BAFF and stimulated with TSST-1 for 3 or 14 days </w:t>
      </w:r>
      <w:r w:rsidRPr="00DD6015">
        <w:rPr>
          <w:rFonts w:ascii="Arial" w:hAnsi="Arial" w:cs="Arial"/>
          <w:sz w:val="22"/>
          <w:szCs w:val="22"/>
        </w:rPr>
        <w:lastRenderedPageBreak/>
        <w:t>(E). Pie chart segments from concatenated data (n=3) represent the proportion of cells expressing the indicated number of surface or intracellular markers (functions). Arcs describe the individual markers found on expressing cells including CTLA-4, LAG-3, TIGIT and TIM-3 (arc legend).</w:t>
      </w:r>
    </w:p>
    <w:p w14:paraId="01B28483" w14:textId="77777777" w:rsidR="0073402D" w:rsidRDefault="0073402D" w:rsidP="0073402D">
      <w:pPr>
        <w:spacing w:line="480" w:lineRule="auto"/>
        <w:jc w:val="both"/>
        <w:rPr>
          <w:rFonts w:ascii="Arial" w:hAnsi="Arial" w:cs="Arial"/>
          <w:color w:val="000000" w:themeColor="text1"/>
          <w:sz w:val="22"/>
          <w:szCs w:val="22"/>
        </w:rPr>
      </w:pPr>
    </w:p>
    <w:p w14:paraId="38923AE8"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2D"/>
    <w:rsid w:val="000C4033"/>
    <w:rsid w:val="00173ED8"/>
    <w:rsid w:val="00344A33"/>
    <w:rsid w:val="004B42CB"/>
    <w:rsid w:val="005F2B46"/>
    <w:rsid w:val="006E1731"/>
    <w:rsid w:val="0073402D"/>
    <w:rsid w:val="00866D74"/>
    <w:rsid w:val="00882A73"/>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B16A"/>
  <w15:chartTrackingRefBased/>
  <w15:docId w15:val="{FEBAE013-9F98-4565-A731-4C32E5C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2D"/>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7340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340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340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3402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73402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73402D"/>
    <w:pPr>
      <w:keepNext/>
      <w:keepLines/>
      <w:spacing w:before="40" w:line="278"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73402D"/>
    <w:pPr>
      <w:keepNext/>
      <w:keepLines/>
      <w:spacing w:before="40" w:line="278"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73402D"/>
    <w:pPr>
      <w:keepNext/>
      <w:keepLines/>
      <w:spacing w:line="278"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73402D"/>
    <w:pPr>
      <w:keepNext/>
      <w:keepLines/>
      <w:spacing w:line="278"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02D"/>
    <w:rPr>
      <w:rFonts w:eastAsiaTheme="majorEastAsia" w:cstheme="majorBidi"/>
      <w:color w:val="272727" w:themeColor="text1" w:themeTint="D8"/>
    </w:rPr>
  </w:style>
  <w:style w:type="paragraph" w:styleId="Title">
    <w:name w:val="Title"/>
    <w:basedOn w:val="Normal"/>
    <w:next w:val="Normal"/>
    <w:link w:val="TitleChar"/>
    <w:uiPriority w:val="10"/>
    <w:qFormat/>
    <w:rsid w:val="0073402D"/>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34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0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34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02D"/>
    <w:pPr>
      <w:spacing w:before="160" w:after="160" w:line="278"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73402D"/>
    <w:rPr>
      <w:i/>
      <w:iCs/>
      <w:color w:val="404040" w:themeColor="text1" w:themeTint="BF"/>
    </w:rPr>
  </w:style>
  <w:style w:type="paragraph" w:styleId="ListParagraph">
    <w:name w:val="List Paragraph"/>
    <w:basedOn w:val="Normal"/>
    <w:uiPriority w:val="34"/>
    <w:qFormat/>
    <w:rsid w:val="0073402D"/>
    <w:pPr>
      <w:spacing w:after="160" w:line="278"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73402D"/>
    <w:rPr>
      <w:i/>
      <w:iCs/>
      <w:color w:val="0F4761" w:themeColor="accent1" w:themeShade="BF"/>
    </w:rPr>
  </w:style>
  <w:style w:type="paragraph" w:styleId="IntenseQuote">
    <w:name w:val="Intense Quote"/>
    <w:basedOn w:val="Normal"/>
    <w:next w:val="Normal"/>
    <w:link w:val="IntenseQuoteChar"/>
    <w:uiPriority w:val="30"/>
    <w:qFormat/>
    <w:rsid w:val="007340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73402D"/>
    <w:rPr>
      <w:i/>
      <w:iCs/>
      <w:color w:val="0F4761" w:themeColor="accent1" w:themeShade="BF"/>
    </w:rPr>
  </w:style>
  <w:style w:type="character" w:styleId="IntenseReference">
    <w:name w:val="Intense Reference"/>
    <w:basedOn w:val="DefaultParagraphFont"/>
    <w:uiPriority w:val="32"/>
    <w:qFormat/>
    <w:rsid w:val="00734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2026-06-05T10:43:00Z</dcterms:created>
  <dcterms:modified xsi:type="dcterms:W3CDTF">2026-06-05T10:43:00Z</dcterms:modified>
</cp:coreProperties>
</file>