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F099B" w14:textId="77777777" w:rsidR="00CE5E3B" w:rsidRPr="001B75C7" w:rsidRDefault="00CE5E3B" w:rsidP="00CE5E3B">
      <w:pPr>
        <w:pStyle w:val="NoSpacing"/>
        <w:spacing w:before="600"/>
        <w:jc w:val="left"/>
        <w:rPr>
          <w:rFonts w:cs="Calibri"/>
          <w:b/>
          <w:bCs/>
          <w:color w:val="000000" w:themeColor="text1"/>
          <w:sz w:val="28"/>
          <w:szCs w:val="28"/>
        </w:rPr>
      </w:pPr>
      <w:r>
        <w:rPr>
          <w:rFonts w:cs="Calibri"/>
          <w:b/>
          <w:bCs/>
          <w:color w:val="000000" w:themeColor="text1"/>
          <w:sz w:val="28"/>
          <w:szCs w:val="28"/>
        </w:rPr>
        <w:t>SUPPLEMENTARY</w:t>
      </w:r>
      <w:r w:rsidRPr="001B75C7">
        <w:rPr>
          <w:rFonts w:cs="Calibri"/>
          <w:b/>
          <w:bCs/>
          <w:color w:val="000000" w:themeColor="text1"/>
          <w:sz w:val="28"/>
          <w:szCs w:val="28"/>
        </w:rPr>
        <w:t xml:space="preserve"> </w:t>
      </w:r>
      <w:r>
        <w:rPr>
          <w:rFonts w:cs="Calibri"/>
          <w:b/>
          <w:bCs/>
          <w:color w:val="000000" w:themeColor="text1"/>
          <w:sz w:val="28"/>
          <w:szCs w:val="28"/>
        </w:rPr>
        <w:t>MATERIAL</w:t>
      </w:r>
    </w:p>
    <w:p w14:paraId="17F07B62"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 xml:space="preserve">Supplementary Table 1: </w:t>
      </w:r>
      <w:r w:rsidRPr="00F371D3">
        <w:rPr>
          <w:rFonts w:cs="Calibri"/>
          <w:i w:val="0"/>
          <w:color w:val="000000" w:themeColor="text1"/>
          <w:sz w:val="24"/>
          <w:szCs w:val="24"/>
          <w:lang w:val="en-GB"/>
        </w:rPr>
        <w:t xml:space="preserve">Complete raw and Bonferroni-adjusted p-values of </w:t>
      </w:r>
      <w:r w:rsidRPr="00F371D3">
        <w:rPr>
          <w:rFonts w:ascii="Cambria Math" w:hAnsi="Cambria Math" w:cs="Cambria Math"/>
          <w:i w:val="0"/>
          <w:color w:val="000000" w:themeColor="text1"/>
          <w:sz w:val="24"/>
          <w:szCs w:val="24"/>
          <w:lang w:val="en-GB"/>
        </w:rPr>
        <w:t>𝛼</w:t>
      </w:r>
      <w:r w:rsidRPr="00F371D3">
        <w:rPr>
          <w:rFonts w:cs="Calibri"/>
          <w:i w:val="0"/>
          <w:color w:val="000000" w:themeColor="text1"/>
          <w:sz w:val="24"/>
          <w:szCs w:val="24"/>
          <w:lang w:val="en-GB"/>
        </w:rPr>
        <w:t>- diversity measure using Shannon</w:t>
      </w:r>
      <w:r>
        <w:rPr>
          <w:rFonts w:cs="Calibri"/>
          <w:i w:val="0"/>
          <w:color w:val="000000" w:themeColor="text1"/>
          <w:sz w:val="24"/>
          <w:szCs w:val="24"/>
          <w:lang w:val="en-GB"/>
        </w:rPr>
        <w:t>.</w:t>
      </w:r>
    </w:p>
    <w:p w14:paraId="7FBA2182"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Figure 1:</w:t>
      </w:r>
      <w:r w:rsidRPr="00F371D3">
        <w:rPr>
          <w:rFonts w:cs="Calibri"/>
          <w:i w:val="0"/>
          <w:color w:val="000000" w:themeColor="text1"/>
          <w:sz w:val="24"/>
          <w:szCs w:val="24"/>
          <w:lang w:val="en-GB"/>
        </w:rPr>
        <w:t xml:space="preserve"> Observed ASV richness for </w:t>
      </w:r>
      <w:r w:rsidRPr="00F371D3">
        <w:rPr>
          <w:rFonts w:ascii="Cambria Math" w:hAnsi="Cambria Math" w:cs="Cambria Math"/>
          <w:i w:val="0"/>
          <w:color w:val="000000" w:themeColor="text1"/>
          <w:sz w:val="24"/>
          <w:szCs w:val="24"/>
          <w:lang w:val="en-GB"/>
        </w:rPr>
        <w:t>𝛼</w:t>
      </w:r>
      <w:r w:rsidRPr="00F371D3">
        <w:rPr>
          <w:rFonts w:cs="Calibri"/>
          <w:i w:val="0"/>
          <w:color w:val="000000" w:themeColor="text1"/>
          <w:sz w:val="24"/>
          <w:szCs w:val="24"/>
          <w:lang w:val="en-GB"/>
        </w:rPr>
        <w:t>-diversity relative to the salinity groups at 50 mM NaCl (A) and 75 mM NaCl (B) in each generation.</w:t>
      </w:r>
    </w:p>
    <w:p w14:paraId="22A4804C" w14:textId="77777777" w:rsidR="00CE5E3B" w:rsidRPr="00F371D3" w:rsidRDefault="00CE5E3B" w:rsidP="00CE5E3B">
      <w:pPr>
        <w:pStyle w:val="Caption"/>
        <w:spacing w:after="0"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Table 2:</w:t>
      </w:r>
      <w:r w:rsidRPr="00F371D3">
        <w:rPr>
          <w:rFonts w:cs="Calibri"/>
          <w:i w:val="0"/>
          <w:color w:val="000000" w:themeColor="text1"/>
          <w:sz w:val="24"/>
          <w:szCs w:val="24"/>
          <w:lang w:val="en-GB"/>
        </w:rPr>
        <w:t xml:space="preserve"> Statistical data relative to the salinity group at 50 mM NaCl (A) and 75 mM NaCl (B).</w:t>
      </w:r>
      <w:r>
        <w:rPr>
          <w:rFonts w:cs="Calibri"/>
          <w:i w:val="0"/>
          <w:color w:val="000000" w:themeColor="text1"/>
          <w:sz w:val="24"/>
          <w:szCs w:val="24"/>
          <w:lang w:val="en-GB"/>
        </w:rPr>
        <w:t xml:space="preserve"> </w:t>
      </w:r>
      <w:r w:rsidRPr="00F371D3">
        <w:rPr>
          <w:rFonts w:cs="Calibri"/>
          <w:i w:val="0"/>
          <w:color w:val="000000" w:themeColor="text1"/>
          <w:sz w:val="24"/>
          <w:szCs w:val="24"/>
          <w:lang w:val="en-GB"/>
        </w:rPr>
        <w:t xml:space="preserve">An ANOVA-like permutation test with 999 permutations was applied via anova.cca. Data was analyzed using permutational analysis considering size effect and significance exerted by both Generation and Time of growth. </w:t>
      </w:r>
    </w:p>
    <w:p w14:paraId="1BDAB80E"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Figure 2:</w:t>
      </w:r>
      <w:r w:rsidRPr="00F371D3">
        <w:rPr>
          <w:rFonts w:cs="Calibri"/>
          <w:i w:val="0"/>
          <w:color w:val="000000" w:themeColor="text1"/>
          <w:sz w:val="24"/>
          <w:szCs w:val="24"/>
          <w:lang w:val="en-GB"/>
        </w:rPr>
        <w:t xml:space="preserve"> Heatmap of genus abundance by Generation and Time under 50mM of NaCl throughout the enrichment procedure. Percentage of abundance shown is relative only to analyzed strains and is not an absolute value. The average percentage of abundance is across all replicates in the group.</w:t>
      </w:r>
    </w:p>
    <w:p w14:paraId="30D3BFC3"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Figure 3:</w:t>
      </w:r>
      <w:r w:rsidRPr="00F371D3">
        <w:rPr>
          <w:rFonts w:cs="Calibri"/>
          <w:i w:val="0"/>
          <w:color w:val="000000" w:themeColor="text1"/>
          <w:sz w:val="24"/>
          <w:szCs w:val="24"/>
          <w:lang w:val="en-GB"/>
        </w:rPr>
        <w:t xml:space="preserve"> Heatmap of genus abundance by Generation and Time under 75mM of NaCl throughout the enrichment procedure.</w:t>
      </w:r>
      <w:r>
        <w:rPr>
          <w:rFonts w:cs="Calibri"/>
          <w:i w:val="0"/>
          <w:color w:val="000000" w:themeColor="text1"/>
          <w:sz w:val="24"/>
          <w:szCs w:val="24"/>
          <w:lang w:val="en-GB"/>
        </w:rPr>
        <w:t xml:space="preserve"> </w:t>
      </w:r>
      <w:r w:rsidRPr="00F371D3">
        <w:rPr>
          <w:rFonts w:cs="Calibri"/>
          <w:i w:val="0"/>
          <w:color w:val="000000" w:themeColor="text1"/>
          <w:sz w:val="24"/>
          <w:szCs w:val="24"/>
          <w:lang w:val="en-GB"/>
        </w:rPr>
        <w:t>Percentage of abundance shown is relative only to analyzed strains and is not an absolute value. The average percentage of abundance</w:t>
      </w:r>
      <w:r w:rsidRPr="00F371D3">
        <w:rPr>
          <w:rFonts w:cs="Calibri"/>
          <w:i w:val="0"/>
          <w:color w:val="000000" w:themeColor="text1"/>
        </w:rPr>
        <w:t xml:space="preserve"> </w:t>
      </w:r>
      <w:r w:rsidRPr="00F371D3">
        <w:rPr>
          <w:rFonts w:cs="Calibri"/>
          <w:i w:val="0"/>
          <w:color w:val="000000" w:themeColor="text1"/>
          <w:sz w:val="24"/>
          <w:szCs w:val="24"/>
          <w:lang w:val="en-GB"/>
        </w:rPr>
        <w:t>is across all replicates in the group.</w:t>
      </w:r>
    </w:p>
    <w:p w14:paraId="46706B0A"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lastRenderedPageBreak/>
        <w:t xml:space="preserve">Supplementary Table 3: </w:t>
      </w:r>
      <w:r w:rsidRPr="00F371D3">
        <w:rPr>
          <w:rFonts w:cs="Calibri"/>
          <w:i w:val="0"/>
          <w:color w:val="000000" w:themeColor="text1"/>
          <w:sz w:val="24"/>
          <w:szCs w:val="24"/>
          <w:lang w:val="en-GB"/>
        </w:rPr>
        <w:t xml:space="preserve">PGP phenotypes tested </w:t>
      </w:r>
      <w:r w:rsidRPr="00F371D3">
        <w:rPr>
          <w:rFonts w:cs="Calibri"/>
          <w:iCs w:val="0"/>
          <w:color w:val="000000" w:themeColor="text1"/>
          <w:sz w:val="24"/>
          <w:szCs w:val="24"/>
          <w:lang w:val="en-GB"/>
        </w:rPr>
        <w:t>in vitro</w:t>
      </w:r>
      <w:r w:rsidRPr="00F371D3">
        <w:rPr>
          <w:rFonts w:cs="Calibri"/>
          <w:i w:val="0"/>
          <w:color w:val="000000" w:themeColor="text1"/>
          <w:sz w:val="24"/>
          <w:szCs w:val="24"/>
          <w:lang w:val="en-GB"/>
        </w:rPr>
        <w:t xml:space="preserve"> on the 8 strains used in this study. Each test was performed under increasing percentages of salinity (0, 3 and 5 % of NaCl). Obtained phenotypes derive from 3 biological and technical replicates.</w:t>
      </w:r>
    </w:p>
    <w:p w14:paraId="61C7383F"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Table 4:</w:t>
      </w:r>
      <w:r w:rsidRPr="00F371D3">
        <w:rPr>
          <w:rFonts w:cs="Calibri"/>
          <w:i w:val="0"/>
          <w:color w:val="000000" w:themeColor="text1"/>
          <w:sz w:val="24"/>
          <w:szCs w:val="24"/>
          <w:lang w:val="en-GB"/>
        </w:rPr>
        <w:t xml:space="preserve"> PGP phenotypes mining </w:t>
      </w:r>
      <w:r w:rsidRPr="00F371D3">
        <w:rPr>
          <w:rFonts w:cs="Calibri"/>
          <w:iCs w:val="0"/>
          <w:color w:val="000000" w:themeColor="text1"/>
          <w:sz w:val="24"/>
          <w:szCs w:val="24"/>
          <w:lang w:val="en-GB"/>
        </w:rPr>
        <w:t>in silico</w:t>
      </w:r>
      <w:r>
        <w:rPr>
          <w:rFonts w:cs="Calibri"/>
          <w:i w:val="0"/>
          <w:color w:val="000000" w:themeColor="text1"/>
          <w:sz w:val="24"/>
          <w:szCs w:val="24"/>
          <w:lang w:val="en-GB"/>
        </w:rPr>
        <w:t>.</w:t>
      </w:r>
    </w:p>
    <w:p w14:paraId="32C5AC05"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Table 5:</w:t>
      </w:r>
      <w:r w:rsidRPr="00F371D3">
        <w:rPr>
          <w:rFonts w:cs="Calibri"/>
          <w:i w:val="0"/>
          <w:color w:val="000000" w:themeColor="text1"/>
          <w:sz w:val="24"/>
          <w:szCs w:val="24"/>
          <w:lang w:val="en-GB"/>
        </w:rPr>
        <w:t xml:space="preserve"> Complete raw and Bonferroni-adjusted p-values of </w:t>
      </w:r>
      <w:r w:rsidRPr="00F371D3">
        <w:rPr>
          <w:rFonts w:ascii="Cambria Math" w:hAnsi="Cambria Math" w:cs="Cambria Math"/>
          <w:i w:val="0"/>
          <w:color w:val="000000" w:themeColor="text1"/>
          <w:sz w:val="24"/>
          <w:szCs w:val="24"/>
          <w:lang w:val="en-GB"/>
        </w:rPr>
        <w:t>𝛼</w:t>
      </w:r>
      <w:r w:rsidRPr="00F371D3">
        <w:rPr>
          <w:rFonts w:cs="Calibri"/>
          <w:i w:val="0"/>
          <w:color w:val="000000" w:themeColor="text1"/>
          <w:sz w:val="24"/>
          <w:szCs w:val="24"/>
          <w:lang w:val="en-GB"/>
        </w:rPr>
        <w:t>- diversity measure using Shannon</w:t>
      </w:r>
      <w:r>
        <w:rPr>
          <w:rFonts w:cs="Calibri"/>
          <w:i w:val="0"/>
          <w:color w:val="000000" w:themeColor="text1"/>
          <w:sz w:val="24"/>
          <w:szCs w:val="24"/>
          <w:lang w:val="en-GB"/>
        </w:rPr>
        <w:t>.</w:t>
      </w:r>
    </w:p>
    <w:p w14:paraId="6464FB34"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Figure 4:</w:t>
      </w:r>
      <w:r w:rsidRPr="00F371D3">
        <w:rPr>
          <w:rFonts w:cs="Calibri"/>
          <w:i w:val="0"/>
          <w:color w:val="000000" w:themeColor="text1"/>
          <w:sz w:val="24"/>
          <w:szCs w:val="24"/>
          <w:lang w:val="en-GB"/>
        </w:rPr>
        <w:t xml:space="preserve"> Observed ASV richness for </w:t>
      </w:r>
      <w:r w:rsidRPr="00F371D3">
        <w:rPr>
          <w:rFonts w:ascii="Cambria Math" w:hAnsi="Cambria Math" w:cs="Cambria Math"/>
          <w:i w:val="0"/>
          <w:color w:val="000000" w:themeColor="text1"/>
          <w:sz w:val="24"/>
          <w:szCs w:val="24"/>
          <w:lang w:val="en-GB"/>
        </w:rPr>
        <w:t>𝛼</w:t>
      </w:r>
      <w:r w:rsidRPr="00F371D3">
        <w:rPr>
          <w:rFonts w:cs="Calibri"/>
          <w:i w:val="0"/>
          <w:color w:val="000000" w:themeColor="text1"/>
          <w:sz w:val="24"/>
          <w:szCs w:val="24"/>
          <w:lang w:val="en-GB"/>
        </w:rPr>
        <w:t>-diversity relative to the salinity groups at 0 mM NaCl (A) and 50 mM NaCl (B) with the different consortia applied.</w:t>
      </w:r>
    </w:p>
    <w:p w14:paraId="1105ED5C"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Table 6:</w:t>
      </w:r>
      <w:r w:rsidRPr="00F371D3">
        <w:rPr>
          <w:rFonts w:cs="Calibri"/>
          <w:i w:val="0"/>
          <w:color w:val="000000" w:themeColor="text1"/>
          <w:sz w:val="24"/>
          <w:szCs w:val="24"/>
          <w:lang w:val="en-GB"/>
        </w:rPr>
        <w:t xml:space="preserve"> Statistical data relative to treated plants under no stress conditions (A) and with 50 mM NaCl added to soil (B). An ANOVA-like permutation test with 999 permutations was applied via anova.cca. Data was analyzed using permutational analysis considering size effect and significance exerted by both Consortia and Time of growth.</w:t>
      </w:r>
    </w:p>
    <w:p w14:paraId="2B6F9261"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Figure 5:</w:t>
      </w:r>
      <w:r w:rsidRPr="00F371D3">
        <w:rPr>
          <w:rFonts w:cs="Calibri"/>
          <w:i w:val="0"/>
          <w:color w:val="000000" w:themeColor="text1"/>
          <w:sz w:val="24"/>
          <w:szCs w:val="24"/>
          <w:lang w:val="en-GB"/>
        </w:rPr>
        <w:t xml:space="preserve"> Comparison of abundance of the 8 applied strains in different consortia at 6 weeks of growth in salt stressed conditions (50 mM NaCl applied to soil).</w:t>
      </w:r>
      <w:r>
        <w:rPr>
          <w:rFonts w:cs="Calibri"/>
          <w:i w:val="0"/>
          <w:color w:val="000000" w:themeColor="text1"/>
          <w:sz w:val="24"/>
          <w:szCs w:val="24"/>
          <w:lang w:val="en-GB"/>
        </w:rPr>
        <w:t xml:space="preserve"> </w:t>
      </w:r>
      <w:r w:rsidRPr="00F371D3">
        <w:rPr>
          <w:rFonts w:cs="Calibri"/>
          <w:i w:val="0"/>
          <w:color w:val="000000" w:themeColor="text1"/>
          <w:sz w:val="24"/>
          <w:szCs w:val="24"/>
          <w:lang w:val="en-GB"/>
        </w:rPr>
        <w:t>BarCharts show the Log2 Transformed Mean Abundance of the strains based on consortia and compared to the untreated control.</w:t>
      </w:r>
    </w:p>
    <w:p w14:paraId="724F504D" w14:textId="77777777" w:rsidR="00CE5E3B" w:rsidRPr="00F371D3" w:rsidRDefault="00CE5E3B" w:rsidP="00CE5E3B">
      <w:pPr>
        <w:pStyle w:val="Caption"/>
        <w:spacing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Figure 6:</w:t>
      </w:r>
      <w:r w:rsidRPr="00F371D3">
        <w:rPr>
          <w:rFonts w:cs="Calibri"/>
          <w:i w:val="0"/>
          <w:color w:val="000000" w:themeColor="text1"/>
          <w:sz w:val="24"/>
          <w:szCs w:val="24"/>
          <w:lang w:val="en-GB"/>
        </w:rPr>
        <w:t xml:space="preserve"> </w:t>
      </w:r>
      <w:r w:rsidRPr="00F371D3">
        <w:rPr>
          <w:rFonts w:cs="Calibri"/>
          <w:iCs w:val="0"/>
          <w:color w:val="000000" w:themeColor="text1"/>
          <w:sz w:val="24"/>
          <w:szCs w:val="24"/>
          <w:lang w:val="en-GB"/>
        </w:rPr>
        <w:t>In planta</w:t>
      </w:r>
      <w:r w:rsidRPr="00F371D3">
        <w:rPr>
          <w:rFonts w:cs="Calibri"/>
          <w:i w:val="0"/>
          <w:color w:val="000000" w:themeColor="text1"/>
          <w:sz w:val="24"/>
          <w:szCs w:val="24"/>
          <w:lang w:val="en-GB"/>
        </w:rPr>
        <w:t xml:space="preserve"> colonization and recovery by 8 single strains inocula. Colonization was evaluated by CFU/g of root in rice plants at 14 dpi. Two biological replicates were performed in different times including 20 plants per inoculum. For rice plants inoculated </w:t>
      </w:r>
      <w:r w:rsidRPr="00F371D3">
        <w:rPr>
          <w:rFonts w:cs="Calibri"/>
          <w:i w:val="0"/>
          <w:color w:val="000000" w:themeColor="text1"/>
          <w:sz w:val="24"/>
          <w:szCs w:val="24"/>
          <w:lang w:val="en-GB"/>
        </w:rPr>
        <w:lastRenderedPageBreak/>
        <w:t xml:space="preserve">with </w:t>
      </w:r>
      <w:r w:rsidRPr="00F371D3">
        <w:rPr>
          <w:rFonts w:cs="Calibri"/>
          <w:iCs w:val="0"/>
          <w:color w:val="000000" w:themeColor="text1"/>
          <w:sz w:val="24"/>
          <w:szCs w:val="24"/>
          <w:lang w:val="en-GB"/>
        </w:rPr>
        <w:t>R. rosettiformans, R. marisflavi, P. hunanensis</w:t>
      </w:r>
      <w:r w:rsidRPr="00F371D3">
        <w:rPr>
          <w:rFonts w:cs="Calibri"/>
          <w:i w:val="0"/>
          <w:color w:val="000000" w:themeColor="text1"/>
          <w:sz w:val="24"/>
          <w:szCs w:val="24"/>
          <w:lang w:val="en-GB"/>
        </w:rPr>
        <w:t xml:space="preserve">, and </w:t>
      </w:r>
      <w:r w:rsidRPr="00F371D3">
        <w:rPr>
          <w:rFonts w:cs="Calibri"/>
          <w:iCs w:val="0"/>
          <w:color w:val="000000" w:themeColor="text1"/>
          <w:sz w:val="24"/>
          <w:szCs w:val="24"/>
          <w:lang w:val="en-GB"/>
        </w:rPr>
        <w:t>M. oleivorans</w:t>
      </w:r>
      <w:r w:rsidRPr="00F371D3">
        <w:rPr>
          <w:rFonts w:cs="Calibri"/>
          <w:i w:val="0"/>
          <w:color w:val="000000" w:themeColor="text1"/>
          <w:sz w:val="24"/>
          <w:szCs w:val="24"/>
          <w:lang w:val="en-GB"/>
        </w:rPr>
        <w:t>, the assay was repeated a third time with endophytic recovery at 7 and 14 dpi handling 10 plants per inoculum each time.</w:t>
      </w:r>
    </w:p>
    <w:p w14:paraId="67C89B99" w14:textId="77777777" w:rsidR="00CE5E3B" w:rsidRPr="00F371D3" w:rsidRDefault="00CE5E3B" w:rsidP="00CE5E3B">
      <w:pPr>
        <w:pStyle w:val="Caption"/>
        <w:spacing w:line="480" w:lineRule="auto"/>
        <w:rPr>
          <w:rFonts w:cs="Calibri"/>
          <w:i w:val="0"/>
          <w:color w:val="000000" w:themeColor="text1"/>
          <w:sz w:val="24"/>
          <w:szCs w:val="24"/>
        </w:rPr>
      </w:pPr>
      <w:r w:rsidRPr="00F371D3">
        <w:rPr>
          <w:rFonts w:cs="Calibri"/>
          <w:b/>
          <w:bCs/>
          <w:i w:val="0"/>
          <w:color w:val="000000" w:themeColor="text1"/>
          <w:sz w:val="24"/>
          <w:szCs w:val="24"/>
          <w:lang w:val="en-GB"/>
        </w:rPr>
        <w:t>Supplementary</w:t>
      </w:r>
      <w:r w:rsidRPr="00F371D3">
        <w:rPr>
          <w:rFonts w:cs="Calibri"/>
          <w:b/>
          <w:bCs/>
          <w:i w:val="0"/>
          <w:color w:val="000000" w:themeColor="text1"/>
          <w:sz w:val="24"/>
          <w:szCs w:val="24"/>
        </w:rPr>
        <w:t xml:space="preserve"> Figure 7:</w:t>
      </w:r>
      <w:r w:rsidRPr="00F371D3">
        <w:rPr>
          <w:rFonts w:cs="Calibri"/>
          <w:i w:val="0"/>
          <w:color w:val="000000" w:themeColor="text1"/>
          <w:sz w:val="24"/>
          <w:szCs w:val="24"/>
        </w:rPr>
        <w:t xml:space="preserve"> Roots weight measurements following inoculation with 8 single strains 2 wpi in Hoagland.</w:t>
      </w:r>
      <w:r>
        <w:rPr>
          <w:rFonts w:cs="Calibri"/>
          <w:i w:val="0"/>
          <w:color w:val="000000" w:themeColor="text1"/>
          <w:sz w:val="24"/>
          <w:szCs w:val="24"/>
        </w:rPr>
        <w:t xml:space="preserve"> </w:t>
      </w:r>
      <w:r w:rsidRPr="00F371D3">
        <w:rPr>
          <w:rFonts w:cs="Calibri"/>
          <w:i w:val="0"/>
          <w:color w:val="000000" w:themeColor="text1"/>
          <w:sz w:val="24"/>
          <w:szCs w:val="24"/>
        </w:rPr>
        <w:t>BarCharts show variations of weight in mg of roots (* indicate degree of significance). Statistical analysis was performed using ordinary one-way ANOVA on Prism. 20 plants were weighted per treatment.</w:t>
      </w:r>
    </w:p>
    <w:p w14:paraId="16061FB7" w14:textId="77777777" w:rsidR="00CE5E3B" w:rsidRPr="00F371D3" w:rsidRDefault="00CE5E3B" w:rsidP="00CE5E3B">
      <w:pPr>
        <w:pStyle w:val="Caption"/>
        <w:spacing w:after="840" w:line="480" w:lineRule="auto"/>
        <w:rPr>
          <w:rFonts w:cs="Calibri"/>
          <w:i w:val="0"/>
          <w:color w:val="000000" w:themeColor="text1"/>
          <w:sz w:val="24"/>
          <w:szCs w:val="24"/>
          <w:lang w:val="en-GB"/>
        </w:rPr>
      </w:pPr>
      <w:r w:rsidRPr="00F371D3">
        <w:rPr>
          <w:rFonts w:cs="Calibri"/>
          <w:b/>
          <w:bCs/>
          <w:i w:val="0"/>
          <w:color w:val="000000" w:themeColor="text1"/>
          <w:sz w:val="24"/>
          <w:szCs w:val="24"/>
          <w:lang w:val="en-GB"/>
        </w:rPr>
        <w:t>Supplementary Table 7:</w:t>
      </w:r>
      <w:r w:rsidRPr="00F371D3">
        <w:rPr>
          <w:rFonts w:cs="Calibri"/>
          <w:i w:val="0"/>
          <w:color w:val="000000" w:themeColor="text1"/>
          <w:sz w:val="24"/>
          <w:szCs w:val="24"/>
          <w:lang w:val="en-GB"/>
        </w:rPr>
        <w:t xml:space="preserve"> Complete statistics for the </w:t>
      </w:r>
      <w:r>
        <w:rPr>
          <w:rFonts w:cs="Calibri"/>
          <w:i w:val="0"/>
          <w:color w:val="000000" w:themeColor="text1"/>
          <w:sz w:val="24"/>
          <w:szCs w:val="24"/>
          <w:lang w:val="en-GB"/>
        </w:rPr>
        <w:t>c</w:t>
      </w:r>
      <w:r w:rsidRPr="00F371D3">
        <w:rPr>
          <w:rFonts w:cs="Calibri"/>
          <w:i w:val="0"/>
          <w:color w:val="000000" w:themeColor="text1"/>
          <w:sz w:val="24"/>
          <w:szCs w:val="24"/>
          <w:lang w:val="en-GB"/>
        </w:rPr>
        <w:t>omparison of abundance of the applied strains in C1 and C5 at 7 dpi.</w:t>
      </w:r>
      <w:r>
        <w:rPr>
          <w:rFonts w:cs="Calibri"/>
          <w:i w:val="0"/>
          <w:color w:val="000000" w:themeColor="text1"/>
          <w:sz w:val="24"/>
          <w:szCs w:val="24"/>
          <w:lang w:val="en-GB"/>
        </w:rPr>
        <w:t xml:space="preserve"> </w:t>
      </w:r>
      <w:r w:rsidRPr="00F371D3">
        <w:rPr>
          <w:rFonts w:ascii="Aptos Narrow" w:hAnsi="Aptos Narrow"/>
          <w:i w:val="0"/>
          <w:color w:val="000000"/>
          <w:sz w:val="11"/>
          <w:szCs w:val="11"/>
        </w:rPr>
        <w:t xml:space="preserve"> </w:t>
      </w:r>
      <w:r w:rsidRPr="00F371D3">
        <w:rPr>
          <w:rFonts w:cs="Calibri"/>
          <w:i w:val="0"/>
          <w:color w:val="000000" w:themeColor="text1"/>
          <w:sz w:val="24"/>
          <w:szCs w:val="24"/>
          <w:lang w:val="en-GB"/>
        </w:rPr>
        <w:t>Statistical comparisons were performed using per-sample log2-transformed abundance values. For each species/strain, Control and inoculated groups were compared using two-sided Wilcoxon rank-sum tests, with Bonferroni correction across all plotted comparisons. No comparison remained significant after correction.</w:t>
      </w:r>
    </w:p>
    <w:p w14:paraId="6352DC70"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3B"/>
    <w:rsid w:val="00066677"/>
    <w:rsid w:val="001058B3"/>
    <w:rsid w:val="00153A17"/>
    <w:rsid w:val="001A37F3"/>
    <w:rsid w:val="003A4E89"/>
    <w:rsid w:val="00556784"/>
    <w:rsid w:val="008B07A6"/>
    <w:rsid w:val="0097029A"/>
    <w:rsid w:val="00987B63"/>
    <w:rsid w:val="00990454"/>
    <w:rsid w:val="00A234E6"/>
    <w:rsid w:val="00BF13F9"/>
    <w:rsid w:val="00CE5E3B"/>
    <w:rsid w:val="00CE738E"/>
    <w:rsid w:val="00D31E7D"/>
    <w:rsid w:val="00F52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0AFA2"/>
  <w15:chartTrackingRefBased/>
  <w15:docId w15:val="{920E62C1-C36B-4970-9F18-6E646E50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E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E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E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E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E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E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E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E3B"/>
    <w:rPr>
      <w:rFonts w:eastAsiaTheme="majorEastAsia" w:cstheme="majorBidi"/>
      <w:color w:val="272727" w:themeColor="text1" w:themeTint="D8"/>
    </w:rPr>
  </w:style>
  <w:style w:type="paragraph" w:styleId="Title">
    <w:name w:val="Title"/>
    <w:basedOn w:val="Normal"/>
    <w:next w:val="Normal"/>
    <w:link w:val="TitleChar"/>
    <w:uiPriority w:val="10"/>
    <w:qFormat/>
    <w:rsid w:val="00CE5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E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E3B"/>
    <w:pPr>
      <w:spacing w:before="160"/>
      <w:jc w:val="center"/>
    </w:pPr>
    <w:rPr>
      <w:i/>
      <w:iCs/>
      <w:color w:val="404040" w:themeColor="text1" w:themeTint="BF"/>
    </w:rPr>
  </w:style>
  <w:style w:type="character" w:customStyle="1" w:styleId="QuoteChar">
    <w:name w:val="Quote Char"/>
    <w:basedOn w:val="DefaultParagraphFont"/>
    <w:link w:val="Quote"/>
    <w:uiPriority w:val="29"/>
    <w:rsid w:val="00CE5E3B"/>
    <w:rPr>
      <w:i/>
      <w:iCs/>
      <w:color w:val="404040" w:themeColor="text1" w:themeTint="BF"/>
    </w:rPr>
  </w:style>
  <w:style w:type="paragraph" w:styleId="ListParagraph">
    <w:name w:val="List Paragraph"/>
    <w:basedOn w:val="Normal"/>
    <w:uiPriority w:val="34"/>
    <w:qFormat/>
    <w:rsid w:val="00CE5E3B"/>
    <w:pPr>
      <w:ind w:left="720"/>
      <w:contextualSpacing/>
    </w:pPr>
  </w:style>
  <w:style w:type="character" w:styleId="IntenseEmphasis">
    <w:name w:val="Intense Emphasis"/>
    <w:basedOn w:val="DefaultParagraphFont"/>
    <w:uiPriority w:val="21"/>
    <w:qFormat/>
    <w:rsid w:val="00CE5E3B"/>
    <w:rPr>
      <w:i/>
      <w:iCs/>
      <w:color w:val="0F4761" w:themeColor="accent1" w:themeShade="BF"/>
    </w:rPr>
  </w:style>
  <w:style w:type="paragraph" w:styleId="IntenseQuote">
    <w:name w:val="Intense Quote"/>
    <w:basedOn w:val="Normal"/>
    <w:next w:val="Normal"/>
    <w:link w:val="IntenseQuoteChar"/>
    <w:uiPriority w:val="30"/>
    <w:qFormat/>
    <w:rsid w:val="00CE5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E3B"/>
    <w:rPr>
      <w:i/>
      <w:iCs/>
      <w:color w:val="0F4761" w:themeColor="accent1" w:themeShade="BF"/>
    </w:rPr>
  </w:style>
  <w:style w:type="character" w:styleId="IntenseReference">
    <w:name w:val="Intense Reference"/>
    <w:basedOn w:val="DefaultParagraphFont"/>
    <w:uiPriority w:val="32"/>
    <w:qFormat/>
    <w:rsid w:val="00CE5E3B"/>
    <w:rPr>
      <w:b/>
      <w:bCs/>
      <w:smallCaps/>
      <w:color w:val="0F4761" w:themeColor="accent1" w:themeShade="BF"/>
      <w:spacing w:val="5"/>
    </w:rPr>
  </w:style>
  <w:style w:type="paragraph" w:styleId="Caption">
    <w:name w:val="caption"/>
    <w:basedOn w:val="Normal"/>
    <w:next w:val="Normal"/>
    <w:uiPriority w:val="35"/>
    <w:unhideWhenUsed/>
    <w:qFormat/>
    <w:rsid w:val="00CE5E3B"/>
    <w:pPr>
      <w:spacing w:after="200" w:line="240" w:lineRule="auto"/>
      <w:jc w:val="both"/>
    </w:pPr>
    <w:rPr>
      <w:rFonts w:ascii="Calibri" w:eastAsia="Times New Roman" w:hAnsi="Calibri" w:cs="Times New Roman"/>
      <w:i/>
      <w:iCs/>
      <w:color w:val="0E2841" w:themeColor="text2"/>
      <w:kern w:val="0"/>
      <w:sz w:val="18"/>
      <w:szCs w:val="18"/>
      <w14:ligatures w14:val="none"/>
    </w:rPr>
  </w:style>
  <w:style w:type="paragraph" w:styleId="NoSpacing">
    <w:name w:val="No Spacing"/>
    <w:aliases w:val="body"/>
    <w:basedOn w:val="Normal"/>
    <w:uiPriority w:val="1"/>
    <w:qFormat/>
    <w:rsid w:val="00CE5E3B"/>
    <w:pPr>
      <w:spacing w:before="120" w:after="120" w:line="480" w:lineRule="auto"/>
      <w:jc w:val="both"/>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547</Words>
  <Characters>3124</Characters>
  <Application>Microsoft Office Word</Application>
  <DocSecurity>0</DocSecurity>
  <Lines>26</Lines>
  <Paragraphs>7</Paragraphs>
  <ScaleCrop>false</ScaleCrop>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2026-09-02T16:10:00Z</dcterms:created>
  <dcterms:modified xsi:type="dcterms:W3CDTF">2026-09-02T16:10:00Z</dcterms:modified>
</cp:coreProperties>
</file>