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236F2" w14:textId="7F582401" w:rsidR="00F722B2" w:rsidRDefault="00F722B2"/>
    <w:p w14:paraId="0FBE98C2" w14:textId="77777777" w:rsidR="000902CF" w:rsidRPr="00206052" w:rsidRDefault="000902CF" w:rsidP="000902CF">
      <w:pPr>
        <w:spacing w:line="360" w:lineRule="auto"/>
        <w:rPr>
          <w:rFonts w:ascii="Calibri Light" w:hAnsi="Calibri Light" w:cs="Calibri Light"/>
          <w:b/>
          <w:bCs/>
          <w:i/>
          <w:iCs/>
        </w:rPr>
      </w:pPr>
      <w:r w:rsidRPr="00206052">
        <w:rPr>
          <w:rFonts w:ascii="Calibri Light" w:hAnsi="Calibri Light" w:cs="Calibri Light"/>
          <w:b/>
          <w:bCs/>
          <w:i/>
          <w:iCs/>
        </w:rPr>
        <w:t>Well-being</w:t>
      </w:r>
    </w:p>
    <w:p w14:paraId="4218512D" w14:textId="16B6196C" w:rsidR="0024003A" w:rsidRDefault="0024003A" w:rsidP="000902CF">
      <w:pPr>
        <w:spacing w:line="360" w:lineRule="auto"/>
        <w:ind w:firstLine="426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Presentation of well-being-related findings was beyond the scope of the main body of the present study, however, associated findings can be found below.</w:t>
      </w:r>
    </w:p>
    <w:p w14:paraId="1DF70AB1" w14:textId="108C8B4A" w:rsidR="000902CF" w:rsidRDefault="0024003A" w:rsidP="000902CF">
      <w:pPr>
        <w:spacing w:line="360" w:lineRule="auto"/>
        <w:ind w:firstLine="426"/>
        <w:rPr>
          <w:rFonts w:ascii="Calibri Light" w:hAnsi="Calibri Light" w:cs="Calibri Light"/>
          <w:color w:val="000000" w:themeColor="text1"/>
        </w:rPr>
      </w:pPr>
      <w:r w:rsidRPr="0024003A">
        <w:rPr>
          <w:rFonts w:ascii="Calibri Light" w:hAnsi="Calibri Light" w:cs="Calibri Light"/>
          <w:i/>
          <w:iCs/>
        </w:rPr>
        <w:t>Method.</w:t>
      </w:r>
      <w:r>
        <w:rPr>
          <w:rFonts w:ascii="Calibri Light" w:hAnsi="Calibri Light" w:cs="Calibri Light"/>
        </w:rPr>
        <w:t xml:space="preserve"> </w:t>
      </w:r>
      <w:r w:rsidR="000902CF">
        <w:rPr>
          <w:rFonts w:ascii="Calibri Light" w:hAnsi="Calibri Light" w:cs="Calibri Light"/>
        </w:rPr>
        <w:t>The p</w:t>
      </w:r>
      <w:r w:rsidR="000902CF" w:rsidRPr="00206052">
        <w:rPr>
          <w:rFonts w:ascii="Calibri Light" w:hAnsi="Calibri Light" w:cs="Calibri Light"/>
        </w:rPr>
        <w:t xml:space="preserve">articipants’ general well-being was measured </w:t>
      </w:r>
      <w:r w:rsidR="000902CF">
        <w:rPr>
          <w:rFonts w:ascii="Calibri Light" w:hAnsi="Calibri Light" w:cs="Calibri Light"/>
        </w:rPr>
        <w:t>with the help of five items of</w:t>
      </w:r>
      <w:r w:rsidR="000902CF" w:rsidRPr="00206052">
        <w:rPr>
          <w:rFonts w:ascii="Calibri Light" w:hAnsi="Calibri Light" w:cs="Calibri Light"/>
        </w:rPr>
        <w:t xml:space="preserve"> The World Health Organization-Five Well-Being Index (WHO-5</w:t>
      </w:r>
      <w:r w:rsidR="000902CF" w:rsidRPr="00206052">
        <w:rPr>
          <w:rFonts w:ascii="Calibri Light" w:hAnsi="Calibri Light" w:cs="Calibri Light"/>
          <w:color w:val="000000" w:themeColor="text1"/>
        </w:rPr>
        <w:t>)</w:t>
      </w:r>
      <w:r w:rsidR="000902CF">
        <w:rPr>
          <w:rFonts w:ascii="Calibri Light" w:hAnsi="Calibri Light" w:cs="Calibri Light"/>
          <w:color w:val="000000" w:themeColor="text1"/>
        </w:rPr>
        <w:t>. It was assessed</w:t>
      </w:r>
      <w:r w:rsidR="000902CF" w:rsidRPr="00206052">
        <w:rPr>
          <w:rFonts w:ascii="Calibri Light" w:hAnsi="Calibri Light" w:cs="Calibri Light"/>
          <w:color w:val="000000" w:themeColor="text1"/>
        </w:rPr>
        <w:t xml:space="preserve"> </w:t>
      </w:r>
      <w:r w:rsidR="000902CF">
        <w:rPr>
          <w:rFonts w:ascii="Calibri Light" w:hAnsi="Calibri Light" w:cs="Calibri Light"/>
          <w:color w:val="000000" w:themeColor="text1"/>
        </w:rPr>
        <w:t xml:space="preserve">on a scale </w:t>
      </w:r>
      <w:r w:rsidR="000902CF" w:rsidRPr="00206052">
        <w:rPr>
          <w:rFonts w:ascii="Calibri Light" w:hAnsi="Calibri Light" w:cs="Calibri Light"/>
          <w:color w:val="000000" w:themeColor="text1"/>
        </w:rPr>
        <w:t>with 0 = “at no time” to 5 = “all of the time” (World Health Organization</w:t>
      </w:r>
      <w:r w:rsidR="000902CF" w:rsidRPr="00206052">
        <w:rPr>
          <w:rFonts w:ascii="Calibri Light" w:hAnsi="Calibri Light" w:cs="Calibri Light"/>
        </w:rPr>
        <w:t>, 2024)</w:t>
      </w:r>
      <w:r w:rsidR="000902CF">
        <w:rPr>
          <w:rFonts w:ascii="Calibri Light" w:hAnsi="Calibri Light" w:cs="Calibri Light"/>
        </w:rPr>
        <w:t>, whereby lower WHO-5 scores indicated poorer well-being</w:t>
      </w:r>
      <w:r w:rsidR="000902CF" w:rsidRPr="00206052">
        <w:rPr>
          <w:rFonts w:ascii="Calibri Light" w:hAnsi="Calibri Light" w:cs="Calibri Light"/>
        </w:rPr>
        <w:t>. WHO-5 is a psychometrically validated measure displaying high reliability (</w:t>
      </w:r>
      <w:proofErr w:type="spellStart"/>
      <w:r w:rsidR="000902CF" w:rsidRPr="00206052">
        <w:rPr>
          <w:rFonts w:ascii="Calibri Light" w:hAnsi="Calibri Light" w:cs="Calibri Light"/>
        </w:rPr>
        <w:t>Sischka</w:t>
      </w:r>
      <w:proofErr w:type="spellEnd"/>
      <w:r w:rsidR="000902CF" w:rsidRPr="00206052">
        <w:rPr>
          <w:rFonts w:ascii="Calibri Light" w:hAnsi="Calibri Light" w:cs="Calibri Light"/>
        </w:rPr>
        <w:t xml:space="preserve"> et al., 2020). </w:t>
      </w:r>
      <w:r w:rsidR="000902CF">
        <w:rPr>
          <w:rFonts w:ascii="Calibri Light" w:hAnsi="Calibri Light" w:cs="Calibri Light"/>
        </w:rPr>
        <w:t>Furthermore, p</w:t>
      </w:r>
      <w:r w:rsidR="000902CF" w:rsidRPr="00206052">
        <w:rPr>
          <w:rFonts w:ascii="Calibri Light" w:hAnsi="Calibri Light" w:cs="Calibri Light"/>
        </w:rPr>
        <w:t>articipants</w:t>
      </w:r>
      <w:r w:rsidR="000902CF">
        <w:rPr>
          <w:rFonts w:ascii="Calibri Light" w:hAnsi="Calibri Light" w:cs="Calibri Light"/>
        </w:rPr>
        <w:t>’</w:t>
      </w:r>
      <w:r w:rsidR="000902CF" w:rsidRPr="00206052">
        <w:rPr>
          <w:rFonts w:ascii="Calibri Light" w:hAnsi="Calibri Light" w:cs="Calibri Light"/>
        </w:rPr>
        <w:t xml:space="preserve"> eudemonic well-being </w:t>
      </w:r>
      <w:r w:rsidR="00D4585C">
        <w:rPr>
          <w:rFonts w:ascii="Calibri Light" w:hAnsi="Calibri Light" w:cs="Calibri Light"/>
        </w:rPr>
        <w:t xml:space="preserve">(EWB) </w:t>
      </w:r>
      <w:r w:rsidR="000902CF" w:rsidRPr="00206052">
        <w:rPr>
          <w:rFonts w:ascii="Calibri Light" w:hAnsi="Calibri Light" w:cs="Calibri Light"/>
        </w:rPr>
        <w:t xml:space="preserve">was assessed incorporating </w:t>
      </w:r>
      <w:r w:rsidR="000902CF">
        <w:rPr>
          <w:rFonts w:ascii="Calibri Light" w:hAnsi="Calibri Light" w:cs="Calibri Light"/>
        </w:rPr>
        <w:t>six</w:t>
      </w:r>
      <w:r w:rsidR="000902CF" w:rsidRPr="00206052">
        <w:rPr>
          <w:rFonts w:ascii="Calibri Light" w:hAnsi="Calibri Light" w:cs="Calibri Light"/>
        </w:rPr>
        <w:t xml:space="preserve"> of </w:t>
      </w:r>
      <w:r w:rsidR="000902CF">
        <w:rPr>
          <w:rFonts w:ascii="Calibri Light" w:hAnsi="Calibri Light" w:cs="Calibri Light"/>
        </w:rPr>
        <w:t>twenty-one</w:t>
      </w:r>
      <w:r w:rsidR="000902CF" w:rsidRPr="00206052">
        <w:rPr>
          <w:rFonts w:ascii="Calibri Light" w:hAnsi="Calibri Light" w:cs="Calibri Light"/>
        </w:rPr>
        <w:t xml:space="preserve"> items </w:t>
      </w:r>
      <w:r w:rsidR="000902CF" w:rsidRPr="00206052">
        <w:rPr>
          <w:rFonts w:ascii="Calibri Light" w:hAnsi="Calibri Light" w:cs="Calibri Light"/>
          <w:color w:val="000000" w:themeColor="text1"/>
        </w:rPr>
        <w:t xml:space="preserve">from The Questionnaire for Eudaimonic Well-Being (Waterman et al., 2021) </w:t>
      </w:r>
      <w:r w:rsidR="000902CF">
        <w:rPr>
          <w:rFonts w:ascii="Calibri Light" w:hAnsi="Calibri Light" w:cs="Calibri Light"/>
          <w:color w:val="000000" w:themeColor="text1"/>
        </w:rPr>
        <w:t xml:space="preserve">on a scale </w:t>
      </w:r>
      <w:r w:rsidR="000902CF" w:rsidRPr="00206052">
        <w:rPr>
          <w:rFonts w:ascii="Calibri Light" w:hAnsi="Calibri Light" w:cs="Calibri Light"/>
          <w:color w:val="000000" w:themeColor="text1"/>
        </w:rPr>
        <w:t>with 1 = “strongly disagree” and 6 = “strongly agree”. Th</w:t>
      </w:r>
      <w:r w:rsidR="000902CF">
        <w:rPr>
          <w:rFonts w:ascii="Calibri Light" w:hAnsi="Calibri Light" w:cs="Calibri Light"/>
          <w:color w:val="000000" w:themeColor="text1"/>
        </w:rPr>
        <w:t>ose items were</w:t>
      </w:r>
      <w:r w:rsidR="000902CF" w:rsidRPr="00206052">
        <w:rPr>
          <w:rFonts w:ascii="Calibri Light" w:hAnsi="Calibri Light" w:cs="Calibri Light"/>
          <w:color w:val="000000" w:themeColor="text1"/>
        </w:rPr>
        <w:t xml:space="preserve"> selected </w:t>
      </w:r>
      <w:r w:rsidR="000902CF">
        <w:rPr>
          <w:rFonts w:ascii="Calibri Light" w:hAnsi="Calibri Light" w:cs="Calibri Light"/>
          <w:color w:val="000000" w:themeColor="text1"/>
        </w:rPr>
        <w:t>which</w:t>
      </w:r>
      <w:r w:rsidR="000902CF" w:rsidRPr="00206052">
        <w:rPr>
          <w:rFonts w:ascii="Calibri Light" w:hAnsi="Calibri Light" w:cs="Calibri Light"/>
          <w:color w:val="000000" w:themeColor="text1"/>
        </w:rPr>
        <w:t xml:space="preserve"> appeared to </w:t>
      </w:r>
      <w:r w:rsidR="000902CF">
        <w:rPr>
          <w:rFonts w:ascii="Calibri Light" w:hAnsi="Calibri Light" w:cs="Calibri Light"/>
          <w:color w:val="000000" w:themeColor="text1"/>
        </w:rPr>
        <w:t xml:space="preserve">be linked </w:t>
      </w:r>
      <w:r w:rsidR="000902CF" w:rsidRPr="00206052">
        <w:rPr>
          <w:rFonts w:ascii="Calibri Light" w:hAnsi="Calibri Light" w:cs="Calibri Light"/>
          <w:color w:val="000000" w:themeColor="text1"/>
        </w:rPr>
        <w:t xml:space="preserve">to the </w:t>
      </w:r>
      <w:r w:rsidR="000902CF" w:rsidRPr="00206052">
        <w:rPr>
          <w:rFonts w:ascii="Calibri Light" w:hAnsi="Calibri Light" w:cs="Calibri Light"/>
        </w:rPr>
        <w:t xml:space="preserve">intention categories </w:t>
      </w:r>
      <w:r w:rsidR="000902CF">
        <w:rPr>
          <w:rFonts w:ascii="Calibri Light" w:hAnsi="Calibri Light" w:cs="Calibri Light"/>
        </w:rPr>
        <w:t xml:space="preserve">at the core </w:t>
      </w:r>
      <w:r w:rsidR="000902CF" w:rsidRPr="00206052">
        <w:rPr>
          <w:rFonts w:ascii="Calibri Light" w:hAnsi="Calibri Light" w:cs="Calibri Light"/>
        </w:rPr>
        <w:t xml:space="preserve">of </w:t>
      </w:r>
      <w:r w:rsidR="000902CF" w:rsidRPr="00206052">
        <w:rPr>
          <w:rFonts w:ascii="Calibri Light" w:hAnsi="Calibri Light" w:cs="Calibri Light"/>
          <w:color w:val="000000" w:themeColor="text1"/>
        </w:rPr>
        <w:t>this study</w:t>
      </w:r>
      <w:r w:rsidR="000902CF">
        <w:rPr>
          <w:rFonts w:ascii="Calibri Light" w:hAnsi="Calibri Light" w:cs="Calibri Light"/>
          <w:color w:val="000000" w:themeColor="text1"/>
        </w:rPr>
        <w:t>.</w:t>
      </w:r>
      <w:r w:rsidR="000902CF" w:rsidRPr="00206052">
        <w:rPr>
          <w:rFonts w:ascii="Calibri Light" w:hAnsi="Calibri Light" w:cs="Calibri Light"/>
          <w:color w:val="000000" w:themeColor="text1"/>
        </w:rPr>
        <w:t xml:space="preserve"> This measure has been validated in terms of convergent, discriminant, construct, and incremental validity. Total well-being scores were calculated as the mean of all items </w:t>
      </w:r>
      <w:r w:rsidR="000902CF">
        <w:rPr>
          <w:rFonts w:ascii="Calibri Light" w:hAnsi="Calibri Light" w:cs="Calibri Light"/>
          <w:color w:val="000000" w:themeColor="text1"/>
        </w:rPr>
        <w:t>for</w:t>
      </w:r>
      <w:r w:rsidR="000902CF" w:rsidRPr="00206052">
        <w:rPr>
          <w:rFonts w:ascii="Calibri Light" w:hAnsi="Calibri Light" w:cs="Calibri Light"/>
          <w:color w:val="000000" w:themeColor="text1"/>
        </w:rPr>
        <w:t xml:space="preserve"> both </w:t>
      </w:r>
      <w:r w:rsidR="000902CF">
        <w:rPr>
          <w:rFonts w:ascii="Calibri Light" w:hAnsi="Calibri Light" w:cs="Calibri Light"/>
          <w:color w:val="000000" w:themeColor="text1"/>
        </w:rPr>
        <w:t>general and eudaimonic well-being</w:t>
      </w:r>
      <w:r w:rsidR="000902CF" w:rsidRPr="00206052">
        <w:rPr>
          <w:rFonts w:ascii="Calibri Light" w:hAnsi="Calibri Light" w:cs="Calibri Light"/>
          <w:color w:val="000000" w:themeColor="text1"/>
        </w:rPr>
        <w:t xml:space="preserve">. </w:t>
      </w:r>
    </w:p>
    <w:p w14:paraId="4CBC29D8" w14:textId="07502AD3" w:rsidR="00BF0EEC" w:rsidRPr="0024003A" w:rsidRDefault="0024003A" w:rsidP="0024003A">
      <w:pPr>
        <w:spacing w:line="360" w:lineRule="auto"/>
        <w:ind w:firstLine="426"/>
        <w:rPr>
          <w:rFonts w:asciiTheme="majorHAnsi" w:hAnsiTheme="majorHAnsi" w:cstheme="majorHAnsi"/>
        </w:rPr>
      </w:pPr>
      <w:r w:rsidRPr="0024003A">
        <w:rPr>
          <w:rFonts w:asciiTheme="majorHAnsi" w:hAnsiTheme="majorHAnsi" w:cstheme="majorHAnsi"/>
          <w:i/>
          <w:iCs/>
        </w:rPr>
        <w:t>Results</w:t>
      </w:r>
      <w:r>
        <w:rPr>
          <w:rFonts w:asciiTheme="majorHAnsi" w:hAnsiTheme="majorHAnsi" w:cstheme="majorHAnsi"/>
        </w:rPr>
        <w:t xml:space="preserve">. </w:t>
      </w:r>
      <w:r w:rsidR="00BF0EEC">
        <w:rPr>
          <w:rFonts w:asciiTheme="majorHAnsi" w:hAnsiTheme="majorHAnsi" w:cstheme="majorHAnsi"/>
        </w:rPr>
        <w:t>L</w:t>
      </w:r>
      <w:r w:rsidR="00BF0EEC" w:rsidRPr="00206052">
        <w:rPr>
          <w:rFonts w:asciiTheme="majorHAnsi" w:hAnsiTheme="majorHAnsi" w:cstheme="majorHAnsi"/>
        </w:rPr>
        <w:t>inear regression analyses were carried out to assess the relationship</w:t>
      </w:r>
      <w:r w:rsidR="00BF0EEC">
        <w:rPr>
          <w:rFonts w:asciiTheme="majorHAnsi" w:hAnsiTheme="majorHAnsi" w:cstheme="majorHAnsi"/>
        </w:rPr>
        <w:t>s</w:t>
      </w:r>
      <w:r w:rsidR="00BF0EEC" w:rsidRPr="00206052">
        <w:rPr>
          <w:rFonts w:asciiTheme="majorHAnsi" w:hAnsiTheme="majorHAnsi" w:cstheme="majorHAnsi"/>
        </w:rPr>
        <w:t xml:space="preserve"> between intention explicitness</w:t>
      </w:r>
      <w:r w:rsidR="00BF0EEC">
        <w:rPr>
          <w:rFonts w:asciiTheme="majorHAnsi" w:hAnsiTheme="majorHAnsi" w:cstheme="majorHAnsi"/>
        </w:rPr>
        <w:t xml:space="preserve"> and well-being. A</w:t>
      </w:r>
      <w:r w:rsidR="00BF0EEC" w:rsidRPr="00206052">
        <w:rPr>
          <w:rFonts w:asciiTheme="majorHAnsi" w:hAnsiTheme="majorHAnsi" w:cstheme="majorHAnsi"/>
        </w:rPr>
        <w:t xml:space="preserve"> significant positive association between intention explicitness</w:t>
      </w:r>
      <w:r w:rsidR="00BF0EEC">
        <w:rPr>
          <w:rFonts w:asciiTheme="majorHAnsi" w:hAnsiTheme="majorHAnsi" w:cstheme="majorHAnsi"/>
        </w:rPr>
        <w:t xml:space="preserve"> </w:t>
      </w:r>
      <w:r w:rsidR="00BF0EEC" w:rsidRPr="00206052">
        <w:rPr>
          <w:rFonts w:asciiTheme="majorHAnsi" w:hAnsiTheme="majorHAnsi" w:cstheme="majorHAnsi"/>
          <w:color w:val="000000" w:themeColor="text1"/>
        </w:rPr>
        <w:t>and eudaimonic wellbeing</w:t>
      </w:r>
      <w:r w:rsidR="00BF0EEC">
        <w:rPr>
          <w:rFonts w:asciiTheme="majorHAnsi" w:hAnsiTheme="majorHAnsi" w:cstheme="majorHAnsi"/>
          <w:color w:val="000000" w:themeColor="text1"/>
        </w:rPr>
        <w:t xml:space="preserve"> was found</w:t>
      </w:r>
      <w:r w:rsidR="00BF0EEC" w:rsidRPr="00206052">
        <w:rPr>
          <w:rFonts w:asciiTheme="majorHAnsi" w:hAnsiTheme="majorHAnsi" w:cstheme="majorHAnsi"/>
          <w:color w:val="000000" w:themeColor="text1"/>
        </w:rPr>
        <w:t xml:space="preserve">, </w:t>
      </w:r>
      <w:r w:rsidR="00BF0EEC" w:rsidRPr="00206052">
        <w:rPr>
          <w:rFonts w:asciiTheme="majorHAnsi" w:hAnsiTheme="majorHAnsi" w:cstheme="majorHAnsi"/>
          <w:i/>
          <w:iCs/>
          <w:color w:val="000000" w:themeColor="text1"/>
        </w:rPr>
        <w:t xml:space="preserve">F </w:t>
      </w:r>
      <w:r w:rsidR="00BF0EEC" w:rsidRPr="00206052">
        <w:rPr>
          <w:rFonts w:asciiTheme="majorHAnsi" w:hAnsiTheme="majorHAnsi" w:cstheme="majorHAnsi"/>
          <w:color w:val="000000" w:themeColor="text1"/>
        </w:rPr>
        <w:t xml:space="preserve">(1, 244) = 5.91, </w:t>
      </w:r>
      <w:r w:rsidR="00BF0EEC" w:rsidRPr="00206052">
        <w:rPr>
          <w:rFonts w:asciiTheme="majorHAnsi" w:hAnsiTheme="majorHAnsi" w:cstheme="majorHAnsi"/>
          <w:i/>
          <w:iCs/>
          <w:color w:val="000000" w:themeColor="text1"/>
        </w:rPr>
        <w:t>p</w:t>
      </w:r>
      <w:r w:rsidR="00BF0EEC" w:rsidRPr="00206052">
        <w:rPr>
          <w:rFonts w:asciiTheme="majorHAnsi" w:hAnsiTheme="majorHAnsi" w:cstheme="majorHAnsi"/>
          <w:color w:val="000000" w:themeColor="text1"/>
        </w:rPr>
        <w:t xml:space="preserve"> &lt; .016.</w:t>
      </w:r>
      <w:r w:rsidR="00BF0EEC">
        <w:rPr>
          <w:rFonts w:asciiTheme="majorHAnsi" w:hAnsiTheme="majorHAnsi" w:cstheme="majorHAnsi"/>
          <w:color w:val="000000" w:themeColor="text1"/>
        </w:rPr>
        <w:t xml:space="preserve"> </w:t>
      </w:r>
      <w:r w:rsidR="00BF0EEC" w:rsidRPr="00206052">
        <w:rPr>
          <w:rFonts w:asciiTheme="majorHAnsi" w:hAnsiTheme="majorHAnsi" w:cstheme="majorHAnsi"/>
          <w:color w:val="000000" w:themeColor="text1"/>
        </w:rPr>
        <w:t>Furthermore, a significant negative</w:t>
      </w:r>
      <w:r w:rsidR="00BF0EEC">
        <w:rPr>
          <w:rFonts w:asciiTheme="majorHAnsi" w:hAnsiTheme="majorHAnsi" w:cstheme="majorHAnsi"/>
          <w:color w:val="000000" w:themeColor="text1"/>
        </w:rPr>
        <w:t xml:space="preserve">, </w:t>
      </w:r>
      <w:r w:rsidR="00BF0EEC" w:rsidRPr="00206052">
        <w:rPr>
          <w:rFonts w:asciiTheme="majorHAnsi" w:hAnsiTheme="majorHAnsi" w:cstheme="majorHAnsi"/>
          <w:color w:val="000000" w:themeColor="text1"/>
        </w:rPr>
        <w:t>instead of a positive</w:t>
      </w:r>
      <w:r w:rsidR="00BF0EEC">
        <w:rPr>
          <w:rFonts w:asciiTheme="majorHAnsi" w:hAnsiTheme="majorHAnsi" w:cstheme="majorHAnsi"/>
          <w:color w:val="000000" w:themeColor="text1"/>
        </w:rPr>
        <w:t>,</w:t>
      </w:r>
      <w:r w:rsidR="00BF0EEC" w:rsidRPr="00206052">
        <w:rPr>
          <w:rFonts w:asciiTheme="majorHAnsi" w:hAnsiTheme="majorHAnsi" w:cstheme="majorHAnsi"/>
          <w:color w:val="000000" w:themeColor="text1"/>
        </w:rPr>
        <w:t xml:space="preserve"> </w:t>
      </w:r>
      <w:r w:rsidRPr="00206052">
        <w:rPr>
          <w:rFonts w:asciiTheme="majorHAnsi" w:hAnsiTheme="majorHAnsi" w:cstheme="majorHAnsi"/>
          <w:i/>
          <w:iCs/>
          <w:color w:val="000000" w:themeColor="text1"/>
        </w:rPr>
        <w:t xml:space="preserve">F </w:t>
      </w:r>
      <w:r w:rsidRPr="00206052">
        <w:rPr>
          <w:rFonts w:asciiTheme="majorHAnsi" w:hAnsiTheme="majorHAnsi" w:cstheme="majorHAnsi"/>
          <w:color w:val="000000" w:themeColor="text1"/>
        </w:rPr>
        <w:t xml:space="preserve">(1, 239) = 11.68, </w:t>
      </w:r>
      <w:r w:rsidRPr="00206052">
        <w:rPr>
          <w:rFonts w:asciiTheme="majorHAnsi" w:hAnsiTheme="majorHAnsi" w:cstheme="majorHAnsi"/>
          <w:i/>
          <w:iCs/>
          <w:color w:val="000000" w:themeColor="text1"/>
        </w:rPr>
        <w:t>p</w:t>
      </w:r>
      <w:r w:rsidRPr="00206052">
        <w:rPr>
          <w:rFonts w:asciiTheme="majorHAnsi" w:hAnsiTheme="majorHAnsi" w:cstheme="majorHAnsi"/>
          <w:color w:val="000000" w:themeColor="text1"/>
        </w:rPr>
        <w:t xml:space="preserve"> &lt; .001</w:t>
      </w:r>
      <w:r>
        <w:rPr>
          <w:rFonts w:asciiTheme="majorHAnsi" w:hAnsiTheme="majorHAnsi" w:cstheme="majorHAnsi"/>
          <w:color w:val="000000" w:themeColor="text1"/>
        </w:rPr>
        <w:t xml:space="preserve">, </w:t>
      </w:r>
      <w:r w:rsidR="00BF0EEC" w:rsidRPr="00206052">
        <w:rPr>
          <w:rFonts w:asciiTheme="majorHAnsi" w:hAnsiTheme="majorHAnsi" w:cstheme="majorHAnsi"/>
          <w:color w:val="000000" w:themeColor="text1"/>
        </w:rPr>
        <w:t>association between intention explicitness and general well</w:t>
      </w:r>
      <w:r w:rsidR="00BF0EEC">
        <w:rPr>
          <w:rFonts w:asciiTheme="majorHAnsi" w:hAnsiTheme="majorHAnsi" w:cstheme="majorHAnsi"/>
          <w:color w:val="000000" w:themeColor="text1"/>
        </w:rPr>
        <w:t>-</w:t>
      </w:r>
      <w:r w:rsidR="00BF0EEC" w:rsidRPr="00206052">
        <w:rPr>
          <w:rFonts w:asciiTheme="majorHAnsi" w:hAnsiTheme="majorHAnsi" w:cstheme="majorHAnsi"/>
          <w:color w:val="000000" w:themeColor="text1"/>
        </w:rPr>
        <w:t>being was found</w:t>
      </w:r>
      <w:r>
        <w:rPr>
          <w:rFonts w:asciiTheme="majorHAnsi" w:hAnsiTheme="majorHAnsi" w:cstheme="majorHAnsi"/>
          <w:color w:val="000000" w:themeColor="text1"/>
        </w:rPr>
        <w:t xml:space="preserve"> contrary to </w:t>
      </w:r>
      <w:r w:rsidRPr="0024003A">
        <w:rPr>
          <w:rFonts w:asciiTheme="majorHAnsi" w:hAnsiTheme="majorHAnsi" w:cstheme="majorHAnsi"/>
          <w:i/>
          <w:iCs/>
          <w:color w:val="000000" w:themeColor="text1"/>
        </w:rPr>
        <w:t>H2</w:t>
      </w:r>
      <w:r w:rsidR="00BF0EEC">
        <w:rPr>
          <w:rFonts w:asciiTheme="majorHAnsi" w:hAnsiTheme="majorHAnsi" w:cstheme="majorHAnsi"/>
          <w:color w:val="000000" w:themeColor="text1"/>
        </w:rPr>
        <w:t>, indicating slightly poorer well-being associated with higher intention explicitness scores.</w:t>
      </w:r>
    </w:p>
    <w:tbl>
      <w:tblPr>
        <w:tblStyle w:val="PlainTable2"/>
        <w:tblpPr w:leftFromText="181" w:rightFromText="181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4248"/>
        <w:gridCol w:w="709"/>
        <w:gridCol w:w="708"/>
        <w:gridCol w:w="709"/>
        <w:gridCol w:w="709"/>
        <w:gridCol w:w="642"/>
        <w:gridCol w:w="625"/>
        <w:gridCol w:w="609"/>
      </w:tblGrid>
      <w:tr w:rsidR="00BF0EEC" w:rsidRPr="00567981" w14:paraId="6141F8BC" w14:textId="77777777" w:rsidTr="003931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1FAD0AD9" w14:textId="77777777" w:rsidR="00BF0EEC" w:rsidRPr="00161F29" w:rsidRDefault="00BF0EEC" w:rsidP="003931C5">
            <w:pPr>
              <w:rPr>
                <w:rFonts w:ascii="Calibri" w:hAnsi="Calibri" w:cs="Calibri"/>
                <w:b w:val="0"/>
                <w:bCs w:val="0"/>
                <w:color w:val="1F4E79" w:themeColor="accent5" w:themeShade="80"/>
                <w:sz w:val="18"/>
                <w:szCs w:val="18"/>
              </w:rPr>
            </w:pPr>
          </w:p>
        </w:tc>
        <w:tc>
          <w:tcPr>
            <w:tcW w:w="709" w:type="dxa"/>
          </w:tcPr>
          <w:p w14:paraId="4C85E71F" w14:textId="77777777" w:rsidR="00BF0EEC" w:rsidRPr="00161F29" w:rsidRDefault="00BF0EEC" w:rsidP="003931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1F4E79" w:themeColor="accent5" w:themeShade="80"/>
                <w:sz w:val="18"/>
                <w:szCs w:val="18"/>
              </w:rPr>
            </w:pPr>
            <w:r w:rsidRPr="00161F29">
              <w:rPr>
                <w:rFonts w:ascii="Calibri" w:hAnsi="Calibri" w:cs="Calibri"/>
                <w:b w:val="0"/>
                <w:bCs w:val="0"/>
                <w:color w:val="1F4E79" w:themeColor="accent5" w:themeShade="80"/>
                <w:sz w:val="18"/>
                <w:szCs w:val="18"/>
              </w:rPr>
              <w:t>B</w:t>
            </w:r>
          </w:p>
        </w:tc>
        <w:tc>
          <w:tcPr>
            <w:tcW w:w="708" w:type="dxa"/>
          </w:tcPr>
          <w:p w14:paraId="48006442" w14:textId="77777777" w:rsidR="00BF0EEC" w:rsidRPr="00161F29" w:rsidRDefault="00BF0EEC" w:rsidP="003931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1F4E79" w:themeColor="accent5" w:themeShade="80"/>
                <w:sz w:val="18"/>
                <w:szCs w:val="18"/>
              </w:rPr>
            </w:pPr>
            <w:r w:rsidRPr="00161F29">
              <w:rPr>
                <w:rFonts w:ascii="Calibri" w:hAnsi="Calibri" w:cs="Calibri"/>
                <w:b w:val="0"/>
                <w:bCs w:val="0"/>
                <w:color w:val="1F4E79" w:themeColor="accent5" w:themeShade="80"/>
                <w:sz w:val="18"/>
                <w:szCs w:val="18"/>
              </w:rPr>
              <w:t>SE</w:t>
            </w:r>
          </w:p>
        </w:tc>
        <w:tc>
          <w:tcPr>
            <w:tcW w:w="709" w:type="dxa"/>
          </w:tcPr>
          <w:p w14:paraId="52130334" w14:textId="77777777" w:rsidR="00BF0EEC" w:rsidRPr="00161F29" w:rsidRDefault="00BF0EEC" w:rsidP="003931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1F4E79" w:themeColor="accent5" w:themeShade="80"/>
                <w:sz w:val="18"/>
                <w:szCs w:val="18"/>
              </w:rPr>
            </w:pPr>
            <w:r w:rsidRPr="00161F29">
              <w:rPr>
                <w:rFonts w:ascii="Calibri" w:hAnsi="Calibri" w:cs="Calibri"/>
                <w:b w:val="0"/>
                <w:bCs w:val="0"/>
                <w:color w:val="1F4E79" w:themeColor="accent5" w:themeShade="80"/>
                <w:sz w:val="18"/>
                <w:szCs w:val="18"/>
              </w:rPr>
              <w:t>β</w:t>
            </w:r>
          </w:p>
        </w:tc>
        <w:tc>
          <w:tcPr>
            <w:tcW w:w="709" w:type="dxa"/>
          </w:tcPr>
          <w:p w14:paraId="3E6EC9D1" w14:textId="77777777" w:rsidR="00BF0EEC" w:rsidRPr="000F671E" w:rsidRDefault="00BF0EEC" w:rsidP="003931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i/>
                <w:iCs/>
                <w:color w:val="1F4E79" w:themeColor="accent5" w:themeShade="80"/>
                <w:sz w:val="18"/>
                <w:szCs w:val="18"/>
              </w:rPr>
            </w:pPr>
            <w:r w:rsidRPr="000F671E">
              <w:rPr>
                <w:rFonts w:ascii="Calibri" w:hAnsi="Calibri" w:cs="Calibri"/>
                <w:b w:val="0"/>
                <w:bCs w:val="0"/>
                <w:i/>
                <w:iCs/>
                <w:color w:val="1F4E79" w:themeColor="accent5" w:themeShade="80"/>
                <w:sz w:val="18"/>
                <w:szCs w:val="18"/>
              </w:rPr>
              <w:t>t</w:t>
            </w:r>
          </w:p>
        </w:tc>
        <w:tc>
          <w:tcPr>
            <w:tcW w:w="642" w:type="dxa"/>
          </w:tcPr>
          <w:p w14:paraId="3B412E4B" w14:textId="77777777" w:rsidR="00BF0EEC" w:rsidRPr="000F671E" w:rsidRDefault="00BF0EEC" w:rsidP="003931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i/>
                <w:iCs/>
                <w:color w:val="1F4E79" w:themeColor="accent5" w:themeShade="80"/>
                <w:sz w:val="18"/>
                <w:szCs w:val="18"/>
              </w:rPr>
            </w:pPr>
            <w:r w:rsidRPr="000F671E">
              <w:rPr>
                <w:rFonts w:ascii="Calibri" w:hAnsi="Calibri" w:cs="Calibri"/>
                <w:b w:val="0"/>
                <w:bCs w:val="0"/>
                <w:i/>
                <w:iCs/>
                <w:color w:val="1F4E79" w:themeColor="accent5" w:themeShade="80"/>
                <w:sz w:val="18"/>
                <w:szCs w:val="18"/>
              </w:rPr>
              <w:t>p</w:t>
            </w:r>
          </w:p>
        </w:tc>
        <w:tc>
          <w:tcPr>
            <w:tcW w:w="625" w:type="dxa"/>
          </w:tcPr>
          <w:p w14:paraId="4E99C524" w14:textId="77777777" w:rsidR="00BF0EEC" w:rsidRPr="00161F29" w:rsidRDefault="00BF0EEC" w:rsidP="003931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1F4E79" w:themeColor="accent5" w:themeShade="80"/>
                <w:sz w:val="18"/>
                <w:szCs w:val="18"/>
              </w:rPr>
            </w:pPr>
            <w:r w:rsidRPr="00161F29">
              <w:rPr>
                <w:rFonts w:ascii="Calibri" w:hAnsi="Calibri" w:cs="Calibri"/>
                <w:b w:val="0"/>
                <w:bCs w:val="0"/>
                <w:color w:val="1F4E79" w:themeColor="accent5" w:themeShade="80"/>
                <w:sz w:val="18"/>
                <w:szCs w:val="18"/>
              </w:rPr>
              <w:t>R</w:t>
            </w:r>
          </w:p>
        </w:tc>
        <w:tc>
          <w:tcPr>
            <w:tcW w:w="609" w:type="dxa"/>
          </w:tcPr>
          <w:p w14:paraId="7C2CE45F" w14:textId="77777777" w:rsidR="00BF0EEC" w:rsidRPr="00161F29" w:rsidRDefault="00BF0EEC" w:rsidP="003931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1F4E79" w:themeColor="accent5" w:themeShade="80"/>
                <w:sz w:val="18"/>
                <w:szCs w:val="18"/>
              </w:rPr>
            </w:pPr>
            <w:r w:rsidRPr="00161F29">
              <w:rPr>
                <w:rFonts w:ascii="Calibri" w:hAnsi="Calibri" w:cs="Calibri"/>
                <w:b w:val="0"/>
                <w:bCs w:val="0"/>
                <w:color w:val="1F4E79" w:themeColor="accent5" w:themeShade="80"/>
                <w:sz w:val="18"/>
                <w:szCs w:val="18"/>
              </w:rPr>
              <w:t>R²</w:t>
            </w:r>
          </w:p>
        </w:tc>
      </w:tr>
      <w:tr w:rsidR="00BF0EEC" w:rsidRPr="00567981" w14:paraId="36D08AA3" w14:textId="77777777" w:rsidTr="00393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4D8D7259" w14:textId="77777777" w:rsidR="00BF0EEC" w:rsidRPr="001F38DE" w:rsidRDefault="00BF0EEC" w:rsidP="003931C5">
            <w:pPr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1F38DE"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18"/>
                <w:szCs w:val="18"/>
              </w:rPr>
              <w:t>WHO-5</w:t>
            </w:r>
          </w:p>
        </w:tc>
        <w:tc>
          <w:tcPr>
            <w:tcW w:w="709" w:type="dxa"/>
          </w:tcPr>
          <w:p w14:paraId="46688C14" w14:textId="77777777" w:rsidR="00BF0EEC" w:rsidRPr="00567981" w:rsidRDefault="00BF0EEC" w:rsidP="003931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</w:rPr>
            </w:pPr>
            <w:r w:rsidRPr="00567981">
              <w:rPr>
                <w:rFonts w:asciiTheme="majorHAnsi" w:hAnsiTheme="majorHAnsi" w:cstheme="majorHAnsi"/>
                <w:sz w:val="18"/>
                <w:szCs w:val="18"/>
              </w:rPr>
              <w:t>-0.008</w:t>
            </w:r>
          </w:p>
        </w:tc>
        <w:tc>
          <w:tcPr>
            <w:tcW w:w="708" w:type="dxa"/>
          </w:tcPr>
          <w:p w14:paraId="33D2C5F7" w14:textId="77777777" w:rsidR="00BF0EEC" w:rsidRPr="00567981" w:rsidRDefault="00BF0EEC" w:rsidP="003931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</w:rPr>
            </w:pPr>
            <w:r w:rsidRPr="00567981">
              <w:rPr>
                <w:rFonts w:asciiTheme="majorHAnsi" w:hAnsiTheme="majorHAnsi" w:cstheme="majorHAnsi"/>
                <w:sz w:val="18"/>
                <w:szCs w:val="18"/>
              </w:rPr>
              <w:t>0.002</w:t>
            </w:r>
          </w:p>
        </w:tc>
        <w:tc>
          <w:tcPr>
            <w:tcW w:w="709" w:type="dxa"/>
          </w:tcPr>
          <w:p w14:paraId="38016162" w14:textId="77777777" w:rsidR="00BF0EEC" w:rsidRPr="00567981" w:rsidRDefault="00BF0EEC" w:rsidP="003931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</w:rPr>
            </w:pPr>
            <w:r w:rsidRPr="00567981">
              <w:rPr>
                <w:rFonts w:asciiTheme="majorHAnsi" w:hAnsiTheme="majorHAnsi" w:cstheme="majorHAnsi"/>
                <w:sz w:val="18"/>
                <w:szCs w:val="18"/>
              </w:rPr>
              <w:t>-.216</w:t>
            </w:r>
          </w:p>
        </w:tc>
        <w:tc>
          <w:tcPr>
            <w:tcW w:w="709" w:type="dxa"/>
          </w:tcPr>
          <w:p w14:paraId="2801BF79" w14:textId="77777777" w:rsidR="00BF0EEC" w:rsidRPr="00567981" w:rsidRDefault="00BF0EEC" w:rsidP="003931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</w:rPr>
            </w:pPr>
            <w:r w:rsidRPr="00567981">
              <w:rPr>
                <w:rFonts w:asciiTheme="majorHAnsi" w:hAnsiTheme="majorHAnsi" w:cstheme="majorHAnsi"/>
                <w:sz w:val="18"/>
                <w:szCs w:val="18"/>
              </w:rPr>
              <w:t>-3.41</w:t>
            </w:r>
          </w:p>
        </w:tc>
        <w:tc>
          <w:tcPr>
            <w:tcW w:w="642" w:type="dxa"/>
          </w:tcPr>
          <w:p w14:paraId="661B5ABF" w14:textId="77777777" w:rsidR="00BF0EEC" w:rsidRPr="00030494" w:rsidRDefault="00BF0EEC" w:rsidP="003931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03049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&lt;.001</w:t>
            </w:r>
          </w:p>
        </w:tc>
        <w:tc>
          <w:tcPr>
            <w:tcW w:w="625" w:type="dxa"/>
          </w:tcPr>
          <w:p w14:paraId="427550C4" w14:textId="77777777" w:rsidR="00BF0EEC" w:rsidRPr="00567981" w:rsidRDefault="00BF0EEC" w:rsidP="003931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</w:rPr>
            </w:pPr>
            <w:r w:rsidRPr="00567981">
              <w:rPr>
                <w:rFonts w:asciiTheme="majorHAnsi" w:hAnsiTheme="majorHAnsi" w:cstheme="majorHAnsi"/>
                <w:sz w:val="18"/>
                <w:szCs w:val="18"/>
              </w:rPr>
              <w:t>0.216</w:t>
            </w:r>
          </w:p>
        </w:tc>
        <w:tc>
          <w:tcPr>
            <w:tcW w:w="609" w:type="dxa"/>
          </w:tcPr>
          <w:p w14:paraId="29A840F4" w14:textId="77777777" w:rsidR="00BF0EEC" w:rsidRPr="00567981" w:rsidRDefault="00BF0EEC" w:rsidP="003931C5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</w:rPr>
            </w:pPr>
            <w:r w:rsidRPr="00567981">
              <w:rPr>
                <w:rFonts w:asciiTheme="majorHAnsi" w:hAnsiTheme="majorHAnsi" w:cstheme="majorHAnsi"/>
                <w:sz w:val="18"/>
                <w:szCs w:val="18"/>
              </w:rPr>
              <w:t>.047</w:t>
            </w:r>
          </w:p>
        </w:tc>
      </w:tr>
      <w:tr w:rsidR="00BF0EEC" w:rsidRPr="00567981" w14:paraId="2A436798" w14:textId="77777777" w:rsidTr="003931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79635951" w14:textId="77777777" w:rsidR="00BF0EEC" w:rsidRPr="001F38DE" w:rsidRDefault="00BF0EEC" w:rsidP="003931C5">
            <w:pPr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1F38DE"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18"/>
                <w:szCs w:val="18"/>
              </w:rPr>
              <w:t>EWB</w:t>
            </w:r>
          </w:p>
        </w:tc>
        <w:tc>
          <w:tcPr>
            <w:tcW w:w="709" w:type="dxa"/>
          </w:tcPr>
          <w:p w14:paraId="73666AEA" w14:textId="77777777" w:rsidR="00BF0EEC" w:rsidRPr="00567981" w:rsidRDefault="00BF0EEC" w:rsidP="003931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</w:rPr>
            </w:pPr>
            <w:r w:rsidRPr="00567981">
              <w:rPr>
                <w:rFonts w:asciiTheme="majorHAnsi" w:hAnsiTheme="majorHAnsi" w:cstheme="majorHAnsi"/>
                <w:sz w:val="18"/>
                <w:szCs w:val="18"/>
              </w:rPr>
              <w:t xml:space="preserve"> 0.006</w:t>
            </w:r>
          </w:p>
        </w:tc>
        <w:tc>
          <w:tcPr>
            <w:tcW w:w="708" w:type="dxa"/>
          </w:tcPr>
          <w:p w14:paraId="3B2081D4" w14:textId="77777777" w:rsidR="00BF0EEC" w:rsidRPr="00567981" w:rsidRDefault="00BF0EEC" w:rsidP="003931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</w:rPr>
            </w:pPr>
            <w:r w:rsidRPr="00567981">
              <w:rPr>
                <w:rFonts w:asciiTheme="majorHAnsi" w:hAnsiTheme="majorHAnsi" w:cstheme="majorHAnsi"/>
                <w:sz w:val="18"/>
                <w:szCs w:val="18"/>
              </w:rPr>
              <w:t>0.003</w:t>
            </w:r>
          </w:p>
        </w:tc>
        <w:tc>
          <w:tcPr>
            <w:tcW w:w="709" w:type="dxa"/>
          </w:tcPr>
          <w:p w14:paraId="69216E5E" w14:textId="77777777" w:rsidR="00BF0EEC" w:rsidRPr="00567981" w:rsidRDefault="00BF0EEC" w:rsidP="003931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</w:rPr>
            </w:pPr>
            <w:r w:rsidRPr="00567981">
              <w:rPr>
                <w:rFonts w:asciiTheme="majorHAnsi" w:hAnsiTheme="majorHAnsi" w:cstheme="majorHAnsi"/>
                <w:sz w:val="18"/>
                <w:szCs w:val="18"/>
              </w:rPr>
              <w:t>.155</w:t>
            </w:r>
          </w:p>
        </w:tc>
        <w:tc>
          <w:tcPr>
            <w:tcW w:w="709" w:type="dxa"/>
          </w:tcPr>
          <w:p w14:paraId="4293E982" w14:textId="77777777" w:rsidR="00BF0EEC" w:rsidRPr="00567981" w:rsidRDefault="00BF0EEC" w:rsidP="003931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</w:rPr>
            </w:pPr>
            <w:r w:rsidRPr="00567981">
              <w:rPr>
                <w:rFonts w:asciiTheme="majorHAnsi" w:hAnsiTheme="majorHAnsi" w:cstheme="majorHAnsi"/>
                <w:sz w:val="18"/>
                <w:szCs w:val="18"/>
              </w:rPr>
              <w:t>2.43</w:t>
            </w:r>
          </w:p>
        </w:tc>
        <w:tc>
          <w:tcPr>
            <w:tcW w:w="642" w:type="dxa"/>
          </w:tcPr>
          <w:p w14:paraId="3F720681" w14:textId="77777777" w:rsidR="00BF0EEC" w:rsidRPr="00030494" w:rsidRDefault="00BF0EEC" w:rsidP="003931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03049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.016</w:t>
            </w:r>
          </w:p>
        </w:tc>
        <w:tc>
          <w:tcPr>
            <w:tcW w:w="625" w:type="dxa"/>
          </w:tcPr>
          <w:p w14:paraId="14705A62" w14:textId="77777777" w:rsidR="00BF0EEC" w:rsidRPr="00567981" w:rsidRDefault="00BF0EEC" w:rsidP="003931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</w:rPr>
            </w:pPr>
            <w:r w:rsidRPr="00567981">
              <w:rPr>
                <w:rFonts w:asciiTheme="majorHAnsi" w:hAnsiTheme="majorHAnsi" w:cstheme="majorHAnsi"/>
                <w:sz w:val="18"/>
                <w:szCs w:val="18"/>
              </w:rPr>
              <w:t>0.155</w:t>
            </w:r>
          </w:p>
        </w:tc>
        <w:tc>
          <w:tcPr>
            <w:tcW w:w="609" w:type="dxa"/>
          </w:tcPr>
          <w:p w14:paraId="35481B13" w14:textId="77777777" w:rsidR="00BF0EEC" w:rsidRPr="00567981" w:rsidRDefault="00BF0EEC" w:rsidP="003931C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8"/>
                <w:szCs w:val="18"/>
              </w:rPr>
            </w:pPr>
            <w:r w:rsidRPr="00567981">
              <w:rPr>
                <w:rFonts w:asciiTheme="majorHAnsi" w:hAnsiTheme="majorHAnsi" w:cstheme="majorHAnsi"/>
                <w:sz w:val="18"/>
                <w:szCs w:val="18"/>
              </w:rPr>
              <w:t>.024</w:t>
            </w:r>
          </w:p>
        </w:tc>
      </w:tr>
    </w:tbl>
    <w:p w14:paraId="72C5C6A2" w14:textId="77777777" w:rsidR="00BF0EEC" w:rsidRPr="00BF0EEC" w:rsidRDefault="00BF0EEC" w:rsidP="00BF0EEC">
      <w:pPr>
        <w:spacing w:line="360" w:lineRule="auto"/>
        <w:ind w:firstLine="426"/>
        <w:rPr>
          <w:rFonts w:asciiTheme="majorHAnsi" w:hAnsiTheme="majorHAnsi" w:cstheme="majorHAnsi"/>
        </w:rPr>
      </w:pPr>
    </w:p>
    <w:p w14:paraId="720516FD" w14:textId="44E96C3F" w:rsidR="0024003A" w:rsidRDefault="0024003A" w:rsidP="00CF7F5C">
      <w:pPr>
        <w:spacing w:line="360" w:lineRule="auto"/>
        <w:ind w:firstLine="426"/>
        <w:rPr>
          <w:rFonts w:asciiTheme="majorHAnsi" w:hAnsiTheme="majorHAnsi" w:cstheme="majorHAnsi"/>
          <w:color w:val="000000" w:themeColor="text1"/>
        </w:rPr>
      </w:pPr>
      <w:r w:rsidRPr="0024003A">
        <w:rPr>
          <w:rFonts w:asciiTheme="majorHAnsi" w:hAnsiTheme="majorHAnsi" w:cstheme="majorHAnsi"/>
          <w:color w:val="000000" w:themeColor="text1"/>
        </w:rPr>
        <w:t xml:space="preserve">Multiple regression analyses carried out for explicit intention categories and well-being resulted in non-significant models for both WHO-5, F </w:t>
      </w:r>
      <w:r w:rsidRPr="00206052">
        <w:rPr>
          <w:rFonts w:asciiTheme="majorHAnsi" w:hAnsiTheme="majorHAnsi" w:cstheme="majorHAnsi"/>
          <w:color w:val="000000" w:themeColor="text1"/>
        </w:rPr>
        <w:t xml:space="preserve">(12, 230) = 1.58, </w:t>
      </w:r>
      <w:r w:rsidRPr="0024003A">
        <w:rPr>
          <w:rFonts w:asciiTheme="majorHAnsi" w:hAnsiTheme="majorHAnsi" w:cstheme="majorHAnsi"/>
          <w:color w:val="000000" w:themeColor="text1"/>
        </w:rPr>
        <w:t>p</w:t>
      </w:r>
      <w:r w:rsidRPr="00206052">
        <w:rPr>
          <w:rFonts w:asciiTheme="majorHAnsi" w:hAnsiTheme="majorHAnsi" w:cstheme="majorHAnsi"/>
          <w:color w:val="000000" w:themeColor="text1"/>
        </w:rPr>
        <w:t xml:space="preserve"> = .100</w:t>
      </w:r>
      <w:r>
        <w:rPr>
          <w:rFonts w:asciiTheme="majorHAnsi" w:hAnsiTheme="majorHAnsi" w:cstheme="majorHAnsi"/>
          <w:color w:val="000000" w:themeColor="text1"/>
        </w:rPr>
        <w:t>,</w:t>
      </w:r>
      <w:r w:rsidRPr="00206052">
        <w:rPr>
          <w:rFonts w:asciiTheme="majorHAnsi" w:hAnsiTheme="majorHAnsi" w:cstheme="majorHAnsi"/>
          <w:color w:val="000000" w:themeColor="text1"/>
        </w:rPr>
        <w:t xml:space="preserve"> and </w:t>
      </w:r>
      <w:r w:rsidR="00D4585C">
        <w:rPr>
          <w:rFonts w:asciiTheme="majorHAnsi" w:hAnsiTheme="majorHAnsi" w:cstheme="majorHAnsi"/>
          <w:color w:val="000000" w:themeColor="text1"/>
        </w:rPr>
        <w:t>EWB</w:t>
      </w:r>
      <w:r w:rsidRPr="0024003A">
        <w:rPr>
          <w:rFonts w:asciiTheme="majorHAnsi" w:hAnsiTheme="majorHAnsi" w:cstheme="majorHAnsi"/>
          <w:color w:val="000000" w:themeColor="text1"/>
        </w:rPr>
        <w:t xml:space="preserve">, F </w:t>
      </w:r>
      <w:r w:rsidRPr="00206052">
        <w:rPr>
          <w:rFonts w:asciiTheme="majorHAnsi" w:hAnsiTheme="majorHAnsi" w:cstheme="majorHAnsi"/>
          <w:color w:val="000000" w:themeColor="text1"/>
        </w:rPr>
        <w:t xml:space="preserve">(12, 230) = 1.07, </w:t>
      </w:r>
      <w:r w:rsidRPr="0024003A">
        <w:rPr>
          <w:rFonts w:asciiTheme="majorHAnsi" w:hAnsiTheme="majorHAnsi" w:cstheme="majorHAnsi"/>
          <w:color w:val="000000" w:themeColor="text1"/>
        </w:rPr>
        <w:t>p</w:t>
      </w:r>
      <w:r w:rsidRPr="00206052">
        <w:rPr>
          <w:rFonts w:asciiTheme="majorHAnsi" w:hAnsiTheme="majorHAnsi" w:cstheme="majorHAnsi"/>
          <w:color w:val="000000" w:themeColor="text1"/>
        </w:rPr>
        <w:t xml:space="preserve"> = .380.</w:t>
      </w:r>
    </w:p>
    <w:p w14:paraId="3C1F7DFE" w14:textId="27CE26C0" w:rsidR="00A95AA0" w:rsidRDefault="0024003A" w:rsidP="00D4585C">
      <w:pPr>
        <w:spacing w:line="360" w:lineRule="auto"/>
        <w:ind w:firstLine="426"/>
        <w:rPr>
          <w:rFonts w:asciiTheme="majorHAnsi" w:hAnsiTheme="majorHAnsi" w:cstheme="majorHAnsi"/>
          <w:color w:val="000000" w:themeColor="text1"/>
        </w:rPr>
      </w:pPr>
      <w:r w:rsidRPr="0024003A">
        <w:rPr>
          <w:rFonts w:asciiTheme="majorHAnsi" w:hAnsiTheme="majorHAnsi" w:cstheme="majorHAnsi"/>
          <w:i/>
          <w:iCs/>
          <w:color w:val="000000" w:themeColor="text1"/>
        </w:rPr>
        <w:t>Discussion</w:t>
      </w:r>
      <w:r>
        <w:rPr>
          <w:rFonts w:asciiTheme="majorHAnsi" w:hAnsiTheme="majorHAnsi" w:cstheme="majorHAnsi"/>
          <w:i/>
          <w:iCs/>
          <w:color w:val="000000" w:themeColor="text1"/>
        </w:rPr>
        <w:t>.</w:t>
      </w:r>
      <w:r w:rsidRPr="00206052">
        <w:rPr>
          <w:rFonts w:asciiTheme="majorHAnsi" w:hAnsiTheme="majorHAnsi" w:cstheme="majorHAnsi"/>
          <w:color w:val="000000" w:themeColor="text1"/>
        </w:rPr>
        <w:t xml:space="preserve"> </w:t>
      </w:r>
      <w:r>
        <w:rPr>
          <w:rFonts w:asciiTheme="majorHAnsi" w:hAnsiTheme="majorHAnsi" w:cstheme="majorHAnsi"/>
          <w:color w:val="000000" w:themeColor="text1"/>
        </w:rPr>
        <w:t>Intention explicitness speaks rather to the concept of eudaimonic than general well-being, which might explain the</w:t>
      </w:r>
      <w:r w:rsidR="00A95AA0">
        <w:rPr>
          <w:rFonts w:asciiTheme="majorHAnsi" w:hAnsiTheme="majorHAnsi" w:cstheme="majorHAnsi"/>
          <w:color w:val="000000" w:themeColor="text1"/>
        </w:rPr>
        <w:t xml:space="preserve"> direction of effects of</w:t>
      </w:r>
      <w:r>
        <w:rPr>
          <w:rFonts w:asciiTheme="majorHAnsi" w:hAnsiTheme="majorHAnsi" w:cstheme="majorHAnsi"/>
          <w:color w:val="000000" w:themeColor="text1"/>
        </w:rPr>
        <w:t xml:space="preserve"> statistically significant association</w:t>
      </w:r>
      <w:r w:rsidR="00A95AA0">
        <w:rPr>
          <w:rFonts w:asciiTheme="majorHAnsi" w:hAnsiTheme="majorHAnsi" w:cstheme="majorHAnsi"/>
          <w:color w:val="000000" w:themeColor="text1"/>
        </w:rPr>
        <w:t>s</w:t>
      </w:r>
      <w:r>
        <w:rPr>
          <w:rFonts w:asciiTheme="majorHAnsi" w:hAnsiTheme="majorHAnsi" w:cstheme="majorHAnsi"/>
          <w:color w:val="000000" w:themeColor="text1"/>
        </w:rPr>
        <w:t>. In terms of intention categories, n</w:t>
      </w:r>
      <w:r w:rsidRPr="00206052">
        <w:rPr>
          <w:rFonts w:asciiTheme="majorHAnsi" w:hAnsiTheme="majorHAnsi" w:cstheme="majorHAnsi"/>
          <w:color w:val="000000" w:themeColor="text1"/>
        </w:rPr>
        <w:t xml:space="preserve">egative associations with general </w:t>
      </w:r>
      <w:r>
        <w:rPr>
          <w:rFonts w:asciiTheme="majorHAnsi" w:hAnsiTheme="majorHAnsi" w:cstheme="majorHAnsi"/>
          <w:color w:val="000000" w:themeColor="text1"/>
        </w:rPr>
        <w:t xml:space="preserve">and eudaimonic </w:t>
      </w:r>
      <w:r w:rsidRPr="00206052">
        <w:rPr>
          <w:rFonts w:asciiTheme="majorHAnsi" w:hAnsiTheme="majorHAnsi" w:cstheme="majorHAnsi"/>
          <w:color w:val="000000" w:themeColor="text1"/>
        </w:rPr>
        <w:t xml:space="preserve">well-being are in line with previous findings and could possibly be explained by </w:t>
      </w:r>
      <w:r w:rsidRPr="00206052">
        <w:rPr>
          <w:rFonts w:asciiTheme="majorHAnsi" w:hAnsiTheme="majorHAnsi" w:cstheme="majorHAnsi"/>
          <w:color w:val="000000" w:themeColor="text1"/>
        </w:rPr>
        <w:lastRenderedPageBreak/>
        <w:t>the psychological profiles of those seeking improvement of some kind, regardless of whether it is framed as healing, treatment</w:t>
      </w:r>
      <w:r>
        <w:rPr>
          <w:rFonts w:asciiTheme="majorHAnsi" w:hAnsiTheme="majorHAnsi" w:cstheme="majorHAnsi"/>
          <w:color w:val="000000" w:themeColor="text1"/>
        </w:rPr>
        <w:t xml:space="preserve"> or</w:t>
      </w:r>
      <w:r w:rsidRPr="00206052">
        <w:rPr>
          <w:rFonts w:asciiTheme="majorHAnsi" w:hAnsiTheme="majorHAnsi" w:cstheme="majorHAnsi"/>
          <w:color w:val="000000" w:themeColor="text1"/>
        </w:rPr>
        <w:t xml:space="preserve"> self-knowledge, etc. (</w:t>
      </w:r>
      <w:proofErr w:type="spellStart"/>
      <w:r w:rsidRPr="00206052">
        <w:rPr>
          <w:rFonts w:asciiTheme="majorHAnsi" w:hAnsiTheme="majorHAnsi" w:cstheme="majorHAnsi"/>
          <w:color w:val="000000" w:themeColor="text1"/>
        </w:rPr>
        <w:t>Borkel</w:t>
      </w:r>
      <w:proofErr w:type="spellEnd"/>
      <w:r w:rsidRPr="00206052">
        <w:rPr>
          <w:rFonts w:asciiTheme="majorHAnsi" w:hAnsiTheme="majorHAnsi" w:cstheme="majorHAnsi"/>
          <w:color w:val="000000" w:themeColor="text1"/>
        </w:rPr>
        <w:t xml:space="preserve"> et al., 2024). It is worth noting that this exploratory analysis was concerned with possible associations between intention nuance and general well-being and did not assess the post-acute well-being after a psychedelic experience. Previous research findings show that the latter is likely to be mediated by mystical-type experiences (Carhart-Harris et al., 2018), emotional breakthrough</w:t>
      </w:r>
      <w:r>
        <w:rPr>
          <w:rFonts w:asciiTheme="majorHAnsi" w:hAnsiTheme="majorHAnsi" w:cstheme="majorHAnsi"/>
          <w:color w:val="000000" w:themeColor="text1"/>
        </w:rPr>
        <w:t>s</w:t>
      </w:r>
      <w:r w:rsidRPr="00206052">
        <w:rPr>
          <w:rFonts w:asciiTheme="majorHAnsi" w:hAnsiTheme="majorHAnsi" w:cstheme="majorHAnsi"/>
          <w:color w:val="000000" w:themeColor="text1"/>
        </w:rPr>
        <w:t xml:space="preserve"> (Roseman et al., 2019), and connectedness (Watts et al., 2022) – outcomes which intentions are directly linked to.</w:t>
      </w:r>
      <w:r w:rsidR="00CF7F5C">
        <w:rPr>
          <w:rFonts w:asciiTheme="majorHAnsi" w:hAnsiTheme="majorHAnsi" w:cstheme="majorHAnsi"/>
          <w:color w:val="000000" w:themeColor="text1"/>
        </w:rPr>
        <w:t xml:space="preserve"> </w:t>
      </w:r>
    </w:p>
    <w:p w14:paraId="24C21CFF" w14:textId="6E62499A" w:rsidR="00CF7F5C" w:rsidRDefault="00A95AA0" w:rsidP="00D4585C">
      <w:pPr>
        <w:spacing w:line="360" w:lineRule="auto"/>
        <w:ind w:firstLine="426"/>
      </w:pPr>
      <w:r w:rsidRPr="00A95AA0">
        <w:rPr>
          <w:rFonts w:asciiTheme="majorHAnsi" w:hAnsiTheme="majorHAnsi" w:cstheme="majorHAnsi"/>
          <w:i/>
          <w:iCs/>
          <w:color w:val="000000" w:themeColor="text1"/>
        </w:rPr>
        <w:t>Conclusion</w:t>
      </w:r>
      <w:r>
        <w:rPr>
          <w:rFonts w:asciiTheme="majorHAnsi" w:hAnsiTheme="majorHAnsi" w:cstheme="majorHAnsi"/>
          <w:color w:val="000000" w:themeColor="text1"/>
        </w:rPr>
        <w:t xml:space="preserve">. </w:t>
      </w:r>
      <w:r>
        <w:rPr>
          <w:rFonts w:asciiTheme="majorHAnsi" w:hAnsiTheme="majorHAnsi" w:cstheme="majorHAnsi"/>
        </w:rPr>
        <w:t>W</w:t>
      </w:r>
      <w:r w:rsidR="00CF7F5C" w:rsidRPr="00B7290E">
        <w:rPr>
          <w:rFonts w:asciiTheme="majorHAnsi" w:hAnsiTheme="majorHAnsi" w:cstheme="majorHAnsi"/>
        </w:rPr>
        <w:t>hile well-being was assessed, the link to intentions appeared to be a rather indirect one</w:t>
      </w:r>
      <w:r w:rsidR="00CF7F5C">
        <w:rPr>
          <w:rFonts w:asciiTheme="majorHAnsi" w:hAnsiTheme="majorHAnsi" w:cstheme="majorHAnsi"/>
        </w:rPr>
        <w:t>.</w:t>
      </w:r>
      <w:r w:rsidR="00CF7F5C" w:rsidRPr="00B7290E">
        <w:rPr>
          <w:rFonts w:asciiTheme="majorHAnsi" w:hAnsiTheme="majorHAnsi" w:cstheme="majorHAnsi"/>
        </w:rPr>
        <w:t xml:space="preserve"> </w:t>
      </w:r>
      <w:r w:rsidR="00CF7F5C">
        <w:rPr>
          <w:rFonts w:asciiTheme="majorHAnsi" w:hAnsiTheme="majorHAnsi" w:cstheme="majorHAnsi"/>
        </w:rPr>
        <w:t>Representing a current state rather than a post-acute experience measure, well-being appears less proximal in time, and, therefore prone to less signal.</w:t>
      </w:r>
    </w:p>
    <w:p w14:paraId="3C6E935F" w14:textId="45DF2CAA" w:rsidR="0024003A" w:rsidRPr="0024003A" w:rsidRDefault="0024003A" w:rsidP="0024003A">
      <w:pPr>
        <w:spacing w:line="360" w:lineRule="auto"/>
        <w:ind w:firstLine="426"/>
        <w:rPr>
          <w:rFonts w:asciiTheme="majorHAnsi" w:hAnsiTheme="majorHAnsi" w:cstheme="majorHAnsi"/>
          <w:color w:val="000000" w:themeColor="text1"/>
        </w:rPr>
      </w:pPr>
    </w:p>
    <w:p w14:paraId="4B5FE013" w14:textId="1DC16148" w:rsidR="003B20AB" w:rsidRDefault="003B20AB"/>
    <w:sectPr w:rsidR="003B20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3E"/>
    <w:rsid w:val="00032A14"/>
    <w:rsid w:val="000661C9"/>
    <w:rsid w:val="000859BA"/>
    <w:rsid w:val="000902CF"/>
    <w:rsid w:val="00103416"/>
    <w:rsid w:val="001D44DC"/>
    <w:rsid w:val="0024003A"/>
    <w:rsid w:val="002442A1"/>
    <w:rsid w:val="00356AD6"/>
    <w:rsid w:val="0039770E"/>
    <w:rsid w:val="003A71E8"/>
    <w:rsid w:val="003B20AB"/>
    <w:rsid w:val="00401E27"/>
    <w:rsid w:val="00465D8C"/>
    <w:rsid w:val="00505114"/>
    <w:rsid w:val="006D102F"/>
    <w:rsid w:val="00765F5A"/>
    <w:rsid w:val="00786ECF"/>
    <w:rsid w:val="007C75BE"/>
    <w:rsid w:val="00835562"/>
    <w:rsid w:val="00A95AA0"/>
    <w:rsid w:val="00AF24EF"/>
    <w:rsid w:val="00B77C3E"/>
    <w:rsid w:val="00B86AAB"/>
    <w:rsid w:val="00BF0EEC"/>
    <w:rsid w:val="00C574DF"/>
    <w:rsid w:val="00CF7F5C"/>
    <w:rsid w:val="00D4585C"/>
    <w:rsid w:val="00D525E2"/>
    <w:rsid w:val="00DC2C68"/>
    <w:rsid w:val="00E4350C"/>
    <w:rsid w:val="00F14724"/>
    <w:rsid w:val="00F72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944121"/>
  <w15:chartTrackingRefBased/>
  <w15:docId w15:val="{1A132C0A-3531-A344-8756-E12FF99A9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C3E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7C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7C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7C3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7C3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7C3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7C3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7C3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7C3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7C3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7C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7C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7C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7C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7C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7C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7C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7C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7C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7C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7C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7C3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7C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7C3E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7C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7C3E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7C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C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C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7C3E"/>
    <w:rPr>
      <w:b/>
      <w:bCs/>
      <w:smallCaps/>
      <w:color w:val="2F5496" w:themeColor="accent1" w:themeShade="BF"/>
      <w:spacing w:val="5"/>
    </w:rPr>
  </w:style>
  <w:style w:type="table" w:styleId="PlainTable2">
    <w:name w:val="Plain Table 2"/>
    <w:basedOn w:val="TableNormal"/>
    <w:uiPriority w:val="42"/>
    <w:rsid w:val="00B77C3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B77C3E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kern w:val="2"/>
      <w:sz w:val="18"/>
      <w:szCs w:val="1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489</Words>
  <Characters>2792</Characters>
  <Application>Microsoft Office Word</Application>
  <DocSecurity>0</DocSecurity>
  <Lines>23</Lines>
  <Paragraphs>6</Paragraphs>
  <ScaleCrop>false</ScaleCrop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Iryana E Mosina</dc:creator>
  <cp:keywords/>
  <dc:description/>
  <cp:lastModifiedBy>Iryana E Mosina</cp:lastModifiedBy>
  <cp:revision>13</cp:revision>
  <dcterms:created xsi:type="dcterms:W3CDTF">2025-10-20T17:33:00Z</dcterms:created>
  <dcterms:modified xsi:type="dcterms:W3CDTF">2025-10-30T19:31:00Z</dcterms:modified>
</cp:coreProperties>
</file>