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4796" w14:textId="77777777" w:rsidR="008D0848" w:rsidRDefault="00EF7EEE" w:rsidP="00EF7EEE">
      <w:pPr>
        <w:spacing w:after="80" w:line="240" w:lineRule="auto"/>
        <w:jc w:val="both"/>
      </w:pPr>
      <w:r w:rsidRPr="00EF7EEE">
        <w:rPr>
          <w:rFonts w:ascii="Arial" w:hAnsi="Arial"/>
          <w:b/>
          <w:bCs/>
          <w:sz w:val="18"/>
        </w:rPr>
        <w:t>Figure S1.</w:t>
      </w:r>
      <w:r>
        <w:rPr>
          <w:rFonts w:ascii="Arial" w:hAnsi="Arial"/>
          <w:sz w:val="18"/>
        </w:rPr>
        <w:t xml:space="preserve"> Fragmentation time series for all wetlands with mapped barriers. Multi-panel time-series plots using the same visual style as Fig. 3, with sensor background colours and barrier-length observations shown at image-pair midpoint dates.</w:t>
      </w:r>
    </w:p>
    <w:p w14:paraId="3A0C4D90" w14:textId="77777777" w:rsidR="008D0848" w:rsidRDefault="00EF7EEE">
      <w:pPr>
        <w:spacing w:after="0"/>
        <w:jc w:val="center"/>
      </w:pPr>
      <w:r>
        <w:rPr>
          <w:noProof/>
        </w:rPr>
        <w:drawing>
          <wp:inline distT="0" distB="0" distL="0" distR="0" wp14:anchorId="6B9C28C3" wp14:editId="60D4A3F8">
            <wp:extent cx="6233326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_fragmentation_time_series_all_wetland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3326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61C3" w14:textId="77777777" w:rsidR="008D0848" w:rsidRDefault="00EF7EEE">
      <w:r>
        <w:br w:type="page"/>
      </w:r>
    </w:p>
    <w:p w14:paraId="2D9B1E27" w14:textId="77777777" w:rsidR="008D0848" w:rsidRDefault="00EF7EEE" w:rsidP="00EF7EEE">
      <w:pPr>
        <w:spacing w:after="80" w:line="240" w:lineRule="auto"/>
        <w:jc w:val="both"/>
      </w:pPr>
      <w:r w:rsidRPr="00EF7EEE">
        <w:rPr>
          <w:rFonts w:ascii="Arial" w:hAnsi="Arial"/>
          <w:b/>
          <w:bCs/>
          <w:sz w:val="18"/>
        </w:rPr>
        <w:lastRenderedPageBreak/>
        <w:t>Figure S2.</w:t>
      </w:r>
      <w:r>
        <w:rPr>
          <w:rFonts w:ascii="Arial" w:hAnsi="Arial"/>
          <w:sz w:val="18"/>
        </w:rPr>
        <w:t xml:space="preserve"> Barrier occurrence maps for all wetlands with mapped barriers. Warmer colours indicate locations where barriers were repeatedly detected across image pairs.</w:t>
      </w:r>
    </w:p>
    <w:p w14:paraId="32E08D5E" w14:textId="510FCE87" w:rsidR="008D0848" w:rsidRDefault="008C325C">
      <w:pPr>
        <w:spacing w:after="0"/>
        <w:jc w:val="center"/>
      </w:pPr>
      <w:r>
        <w:rPr>
          <w:noProof/>
        </w:rPr>
        <w:drawing>
          <wp:inline distT="0" distB="0" distL="0" distR="0" wp14:anchorId="187480A2" wp14:editId="6ED3DE9B">
            <wp:extent cx="7028815" cy="7649210"/>
            <wp:effectExtent l="0" t="0" r="63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764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848" w:rsidSect="00034616">
      <w:pgSz w:w="12240" w:h="15840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7136"/>
    <w:rsid w:val="008C325C"/>
    <w:rsid w:val="008D0848"/>
    <w:rsid w:val="00961801"/>
    <w:rsid w:val="00AA1D8D"/>
    <w:rsid w:val="00B47730"/>
    <w:rsid w:val="00BA69CA"/>
    <w:rsid w:val="00CB0664"/>
    <w:rsid w:val="00EF7E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173AB5"/>
  <w14:defaultImageDpi w14:val="300"/>
  <w15:docId w15:val="{9680ECCF-F05E-4C48-91FA-5C92D18F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Clara Hübinger</cp:lastModifiedBy>
  <cp:revision>2</cp:revision>
  <dcterms:created xsi:type="dcterms:W3CDTF">2026-05-20T07:31:00Z</dcterms:created>
  <dcterms:modified xsi:type="dcterms:W3CDTF">2026-05-20T07:31:00Z</dcterms:modified>
  <cp:category/>
</cp:coreProperties>
</file>