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DF0B8" w14:textId="77777777" w:rsidR="007C7383" w:rsidRPr="00133CB8" w:rsidRDefault="00000000">
      <w:pPr>
        <w:spacing w:after="120"/>
        <w:rPr>
          <w:rFonts w:ascii="Times New Roman" w:hAnsi="Times New Roman" w:cs="Times New Roman"/>
        </w:rPr>
      </w:pPr>
      <w:r w:rsidRPr="00133CB8">
        <w:rPr>
          <w:rFonts w:ascii="Times New Roman" w:hAnsi="Times New Roman" w:cs="Times New Roman"/>
          <w:b/>
          <w:sz w:val="28"/>
        </w:rPr>
        <w:t>STROBE Cross-Sectional Checklist (Adapted for Content Analysis)</w:t>
      </w:r>
    </w:p>
    <w:p w14:paraId="2F089172" w14:textId="0F2A6ABE" w:rsidR="007C7383" w:rsidRPr="00133CB8" w:rsidRDefault="00000000">
      <w:pPr>
        <w:spacing w:after="160"/>
        <w:rPr>
          <w:rFonts w:ascii="Times New Roman" w:hAnsi="Times New Roman" w:cs="Times New Roman"/>
        </w:rPr>
      </w:pPr>
      <w:r w:rsidRPr="00133CB8">
        <w:rPr>
          <w:rFonts w:ascii="Times New Roman" w:hAnsi="Times New Roman" w:cs="Times New Roman"/>
          <w:i/>
          <w:sz w:val="20"/>
        </w:rPr>
        <w:t xml:space="preserve">Manuscript: Apparent skin tone rendering in recommended undergraduate optometric textbooks in England: a descriptive content analysis. </w:t>
      </w:r>
    </w:p>
    <w:p w14:paraId="76C08AA4" w14:textId="77777777" w:rsidR="007C7383" w:rsidRPr="00133CB8" w:rsidRDefault="00000000">
      <w:pPr>
        <w:rPr>
          <w:rFonts w:ascii="Times New Roman" w:hAnsi="Times New Roman" w:cs="Times New Roman"/>
        </w:rPr>
      </w:pPr>
      <w:r w:rsidRPr="00133CB8">
        <w:rPr>
          <w:rFonts w:ascii="Times New Roman" w:hAnsi="Times New Roman" w:cs="Times New Roman"/>
          <w:sz w:val="20"/>
        </w:rPr>
        <w:t>Reporting framework: STROBE Statement – cross-sectional studies (von Elm et al.; https://www.equator-network.org/reporting-guidelines/strobe/). This checklist is supplied as an adapted transparency aid: the present study is a content analysis of educational graphics rather than a conventional human-participant cross-sectional study. Items relating to participant exposure, follow-up, and clinical outcome have been marked Not applicable with a brief justification, in line with STROBE guidance to apply items where they fit and to explain non-applicability.</w:t>
      </w:r>
    </w:p>
    <w:p w14:paraId="5393B9AD" w14:textId="77777777" w:rsidR="007C7383" w:rsidRPr="00133CB8" w:rsidRDefault="00000000">
      <w:pPr>
        <w:rPr>
          <w:rFonts w:ascii="Times New Roman" w:hAnsi="Times New Roman" w:cs="Times New Roman"/>
        </w:rPr>
      </w:pPr>
      <w:r w:rsidRPr="00133CB8">
        <w:rPr>
          <w:rFonts w:ascii="Times New Roman" w:hAnsi="Times New Roman" w:cs="Times New Roman"/>
          <w:i/>
          <w:sz w:val="20"/>
        </w:rPr>
        <w:t>Status legend: A = Applicable and addressed; P = Partly applicable / addressed; N/A = Not applicable (with justification).</w:t>
      </w:r>
    </w:p>
    <w:tbl>
      <w:tblPr>
        <w:tblStyle w:val="PlainTable3"/>
        <w:tblW w:w="0" w:type="auto"/>
        <w:tblLook w:val="0420" w:firstRow="1" w:lastRow="0" w:firstColumn="0" w:lastColumn="0" w:noHBand="0" w:noVBand="1"/>
      </w:tblPr>
      <w:tblGrid>
        <w:gridCol w:w="1384"/>
        <w:gridCol w:w="851"/>
        <w:gridCol w:w="2693"/>
        <w:gridCol w:w="4111"/>
        <w:gridCol w:w="1149"/>
      </w:tblGrid>
      <w:tr w:rsidR="007C7383" w:rsidRPr="00A21DDE" w14:paraId="60BDFD9B" w14:textId="77777777" w:rsidTr="002301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84" w:type="dxa"/>
          </w:tcPr>
          <w:p w14:paraId="654704AD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Section</w:t>
            </w:r>
          </w:p>
        </w:tc>
        <w:tc>
          <w:tcPr>
            <w:tcW w:w="851" w:type="dxa"/>
          </w:tcPr>
          <w:p w14:paraId="708B5116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2693" w:type="dxa"/>
          </w:tcPr>
          <w:p w14:paraId="2BB2BCF1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STROBE recommendation</w:t>
            </w:r>
          </w:p>
        </w:tc>
        <w:tc>
          <w:tcPr>
            <w:tcW w:w="4111" w:type="dxa"/>
          </w:tcPr>
          <w:p w14:paraId="03073E73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Manuscript location / response</w:t>
            </w:r>
          </w:p>
        </w:tc>
        <w:tc>
          <w:tcPr>
            <w:tcW w:w="1149" w:type="dxa"/>
          </w:tcPr>
          <w:p w14:paraId="47F36D89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Status</w:t>
            </w:r>
          </w:p>
        </w:tc>
      </w:tr>
      <w:tr w:rsidR="007C7383" w:rsidRPr="00A21DDE" w14:paraId="0AEB83F0" w14:textId="77777777" w:rsidTr="00230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84" w:type="dxa"/>
          </w:tcPr>
          <w:p w14:paraId="73B7162C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Title and abstract</w:t>
            </w:r>
          </w:p>
        </w:tc>
        <w:tc>
          <w:tcPr>
            <w:tcW w:w="851" w:type="dxa"/>
          </w:tcPr>
          <w:p w14:paraId="51DA8148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1(a)</w:t>
            </w:r>
          </w:p>
        </w:tc>
        <w:tc>
          <w:tcPr>
            <w:tcW w:w="2693" w:type="dxa"/>
          </w:tcPr>
          <w:p w14:paraId="469E8531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Indicate the study’s design with a commonly used term in the title or the abstract.</w:t>
            </w:r>
          </w:p>
        </w:tc>
        <w:tc>
          <w:tcPr>
            <w:tcW w:w="4111" w:type="dxa"/>
          </w:tcPr>
          <w:p w14:paraId="4A688111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Title: “descriptive content analysis”. Abstract Methods: “descriptive, cross-sectional content analysis”.</w:t>
            </w:r>
          </w:p>
        </w:tc>
        <w:tc>
          <w:tcPr>
            <w:tcW w:w="1149" w:type="dxa"/>
          </w:tcPr>
          <w:p w14:paraId="262C41F8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2F6473D0" w14:textId="77777777" w:rsidTr="00230170">
        <w:tc>
          <w:tcPr>
            <w:tcW w:w="1384" w:type="dxa"/>
          </w:tcPr>
          <w:p w14:paraId="0831548D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Title and abstract</w:t>
            </w:r>
          </w:p>
        </w:tc>
        <w:tc>
          <w:tcPr>
            <w:tcW w:w="851" w:type="dxa"/>
          </w:tcPr>
          <w:p w14:paraId="678547D6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1(b)</w:t>
            </w:r>
          </w:p>
        </w:tc>
        <w:tc>
          <w:tcPr>
            <w:tcW w:w="2693" w:type="dxa"/>
          </w:tcPr>
          <w:p w14:paraId="7F21D9CB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Provide in the abstract an informative and balanced summary of what was done and what was found.</w:t>
            </w:r>
          </w:p>
        </w:tc>
        <w:tc>
          <w:tcPr>
            <w:tcW w:w="4111" w:type="dxa"/>
          </w:tcPr>
          <w:p w14:paraId="50AD4704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Structured abstract with Background / Methods / Results / Conclusions covering sampling frame, n, kappa, point estimates with 95% Wilson CIs, and explicit framing of the census comparison as contextual.</w:t>
            </w:r>
          </w:p>
        </w:tc>
        <w:tc>
          <w:tcPr>
            <w:tcW w:w="1149" w:type="dxa"/>
          </w:tcPr>
          <w:p w14:paraId="228A517A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10AD5AE0" w14:textId="77777777" w:rsidTr="00230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84" w:type="dxa"/>
          </w:tcPr>
          <w:p w14:paraId="3BBBB8C5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Introduction</w:t>
            </w:r>
          </w:p>
        </w:tc>
        <w:tc>
          <w:tcPr>
            <w:tcW w:w="851" w:type="dxa"/>
          </w:tcPr>
          <w:p w14:paraId="2BAC3EFA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14:paraId="09F8B565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Background/rationale: explain the scientific background and rationale.</w:t>
            </w:r>
          </w:p>
        </w:tc>
        <w:tc>
          <w:tcPr>
            <w:tcW w:w="4111" w:type="dxa"/>
          </w:tcPr>
          <w:p w14:paraId="25539C7D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Background section reviews evidence from anatomy, dermatology, surgery, gynaecology, rheumatology, ophthalmology, and nursing; identifies optometry as an unexamined gap.</w:t>
            </w:r>
          </w:p>
        </w:tc>
        <w:tc>
          <w:tcPr>
            <w:tcW w:w="1149" w:type="dxa"/>
          </w:tcPr>
          <w:p w14:paraId="13A7351D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73DFDA1C" w14:textId="77777777" w:rsidTr="00230170">
        <w:tc>
          <w:tcPr>
            <w:tcW w:w="1384" w:type="dxa"/>
          </w:tcPr>
          <w:p w14:paraId="658405D6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Introduction</w:t>
            </w:r>
          </w:p>
        </w:tc>
        <w:tc>
          <w:tcPr>
            <w:tcW w:w="851" w:type="dxa"/>
          </w:tcPr>
          <w:p w14:paraId="14E0C101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14:paraId="0D590A2D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Objectives: state specific objectives, including any prespecified hypotheses.</w:t>
            </w:r>
          </w:p>
        </w:tc>
        <w:tc>
          <w:tcPr>
            <w:tcW w:w="4111" w:type="dxa"/>
          </w:tcPr>
          <w:p w14:paraId="2BE8066A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Three objectives explicitly stated at the end of Background. The study is descriptive; no formal hypothesis is set against a normative target.</w:t>
            </w:r>
          </w:p>
        </w:tc>
        <w:tc>
          <w:tcPr>
            <w:tcW w:w="1149" w:type="dxa"/>
          </w:tcPr>
          <w:p w14:paraId="7F4ACE78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4E0CBDE2" w14:textId="77777777" w:rsidTr="00230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84" w:type="dxa"/>
          </w:tcPr>
          <w:p w14:paraId="6DBF626C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51" w:type="dxa"/>
          </w:tcPr>
          <w:p w14:paraId="622FCBFC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3" w:type="dxa"/>
          </w:tcPr>
          <w:p w14:paraId="5EB15B09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Study design: present key elements of study design early in the paper.</w:t>
            </w:r>
          </w:p>
        </w:tc>
        <w:tc>
          <w:tcPr>
            <w:tcW w:w="4111" w:type="dxa"/>
          </w:tcPr>
          <w:p w14:paraId="54FE55F7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Methods → Study design subsection: descriptive, cross-sectional content analysis of textbook imagery; no human participants.</w:t>
            </w:r>
          </w:p>
        </w:tc>
        <w:tc>
          <w:tcPr>
            <w:tcW w:w="1149" w:type="dxa"/>
          </w:tcPr>
          <w:p w14:paraId="3C34BB93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019FD876" w14:textId="77777777" w:rsidTr="00230170">
        <w:tc>
          <w:tcPr>
            <w:tcW w:w="1384" w:type="dxa"/>
          </w:tcPr>
          <w:p w14:paraId="59DD6BE1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51" w:type="dxa"/>
          </w:tcPr>
          <w:p w14:paraId="1E807C58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14:paraId="422EFB22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Setting: describe setting, locations, and relevant dates.</w:t>
            </w:r>
          </w:p>
        </w:tc>
        <w:tc>
          <w:tcPr>
            <w:tcW w:w="4111" w:type="dxa"/>
          </w:tcPr>
          <w:p w14:paraId="1F6525EA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Recommended reading lists for the 2022–23 academic year from English universities offering undergraduate optometry programmes.</w:t>
            </w:r>
          </w:p>
        </w:tc>
        <w:tc>
          <w:tcPr>
            <w:tcW w:w="1149" w:type="dxa"/>
          </w:tcPr>
          <w:p w14:paraId="066C3E54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7473C8CD" w14:textId="77777777" w:rsidTr="00230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84" w:type="dxa"/>
          </w:tcPr>
          <w:p w14:paraId="6C3FE654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51" w:type="dxa"/>
          </w:tcPr>
          <w:p w14:paraId="6A741EF3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6(a)</w:t>
            </w:r>
          </w:p>
        </w:tc>
        <w:tc>
          <w:tcPr>
            <w:tcW w:w="2693" w:type="dxa"/>
          </w:tcPr>
          <w:p w14:paraId="03D42E04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Participants: give the eligibility criteria, and the sources and methods of selection.</w:t>
            </w:r>
          </w:p>
        </w:tc>
        <w:tc>
          <w:tcPr>
            <w:tcW w:w="4111" w:type="dxa"/>
          </w:tcPr>
          <w:p w14:paraId="7DF60BD8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Adapted: participants = textbooks. Selection: appearance on the recommended reading list of ≥2 of 8 responding universities (of 11 invited). Inclusion/exclusion of graphics described under “Operational definition”.</w:t>
            </w:r>
          </w:p>
        </w:tc>
        <w:tc>
          <w:tcPr>
            <w:tcW w:w="1149" w:type="dxa"/>
          </w:tcPr>
          <w:p w14:paraId="633146BE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</w:tr>
      <w:tr w:rsidR="007C7383" w:rsidRPr="00A21DDE" w14:paraId="5D3CFE33" w14:textId="77777777" w:rsidTr="00230170">
        <w:tc>
          <w:tcPr>
            <w:tcW w:w="1384" w:type="dxa"/>
          </w:tcPr>
          <w:p w14:paraId="18EB6240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51" w:type="dxa"/>
          </w:tcPr>
          <w:p w14:paraId="1924FBCE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93" w:type="dxa"/>
          </w:tcPr>
          <w:p w14:paraId="3ADCDD69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Variables: clearly define all outcomes, exposures, predictors, potential confounders, and effect modifiers.</w:t>
            </w:r>
          </w:p>
        </w:tc>
        <w:tc>
          <w:tcPr>
            <w:tcW w:w="4111" w:type="dxa"/>
          </w:tcPr>
          <w:p w14:paraId="4626DB3D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Primary outcome: apparent Fitzpatrick grade per graphic. Strata: photograph vs schematic; per textbook. Trichotomy and dichotomies prespecified in Methods.</w:t>
            </w:r>
          </w:p>
        </w:tc>
        <w:tc>
          <w:tcPr>
            <w:tcW w:w="1149" w:type="dxa"/>
          </w:tcPr>
          <w:p w14:paraId="5BB581AF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2018BF05" w14:textId="77777777" w:rsidTr="00230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84" w:type="dxa"/>
          </w:tcPr>
          <w:p w14:paraId="07F0CC63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51" w:type="dxa"/>
          </w:tcPr>
          <w:p w14:paraId="3BDDADFC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14:paraId="426862FB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Data sources/measurement: for each variable of interest, give sources of data and details of methods of assessment (measurement).</w:t>
            </w:r>
          </w:p>
        </w:tc>
        <w:tc>
          <w:tcPr>
            <w:tcW w:w="4111" w:type="dxa"/>
          </w:tcPr>
          <w:p w14:paraId="39AA0722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Digital ebook images viewed on calibrated monitors at ≈120 cd/m², sRGB. Two independent mixed-composition teams of two coders. Calibration on 30 reference images (assembled by supervising author; not independently validated).</w:t>
            </w:r>
          </w:p>
        </w:tc>
        <w:tc>
          <w:tcPr>
            <w:tcW w:w="1149" w:type="dxa"/>
          </w:tcPr>
          <w:p w14:paraId="4AE075EC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48D85C16" w14:textId="77777777" w:rsidTr="00230170">
        <w:tc>
          <w:tcPr>
            <w:tcW w:w="1384" w:type="dxa"/>
          </w:tcPr>
          <w:p w14:paraId="7064E5F3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51" w:type="dxa"/>
          </w:tcPr>
          <w:p w14:paraId="69D691E3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93" w:type="dxa"/>
          </w:tcPr>
          <w:p w14:paraId="67A79FFB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Bias: describe any efforts to address potential sources of bias.</w:t>
            </w:r>
          </w:p>
        </w:tc>
        <w:tc>
          <w:tcPr>
            <w:tcW w:w="4111" w:type="dxa"/>
          </w:tcPr>
          <w:p w14:paraId="24B15D51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Mixed-composition coding teams; prespecified moderation rules (one-grade disagreement → darker grade adopted as conservative default; ≥2 grades → joint review); kappa reported on pre-moderation paired grades.</w:t>
            </w:r>
          </w:p>
        </w:tc>
        <w:tc>
          <w:tcPr>
            <w:tcW w:w="1149" w:type="dxa"/>
          </w:tcPr>
          <w:p w14:paraId="4355ACF0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43761CFA" w14:textId="77777777" w:rsidTr="00230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84" w:type="dxa"/>
          </w:tcPr>
          <w:p w14:paraId="2F519D39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51" w:type="dxa"/>
          </w:tcPr>
          <w:p w14:paraId="69095664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3" w:type="dxa"/>
          </w:tcPr>
          <w:p w14:paraId="26442D7F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 xml:space="preserve">Study size: explain how the </w:t>
            </w:r>
            <w:r w:rsidRPr="00A21D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study size was arrived at.</w:t>
            </w:r>
          </w:p>
        </w:tc>
        <w:tc>
          <w:tcPr>
            <w:tcW w:w="4111" w:type="dxa"/>
          </w:tcPr>
          <w:p w14:paraId="20921B95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Census sampling within the eligible reading-list </w:t>
            </w:r>
            <w:r w:rsidRPr="00A21D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frame. No a priori power calculation; this is a descriptive content analysis.</w:t>
            </w:r>
          </w:p>
        </w:tc>
        <w:tc>
          <w:tcPr>
            <w:tcW w:w="1149" w:type="dxa"/>
          </w:tcPr>
          <w:p w14:paraId="2038F0AF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P</w:t>
            </w:r>
          </w:p>
        </w:tc>
      </w:tr>
      <w:tr w:rsidR="007C7383" w:rsidRPr="00A21DDE" w14:paraId="345D5A72" w14:textId="77777777" w:rsidTr="00230170">
        <w:tc>
          <w:tcPr>
            <w:tcW w:w="1384" w:type="dxa"/>
          </w:tcPr>
          <w:p w14:paraId="25426D87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51" w:type="dxa"/>
          </w:tcPr>
          <w:p w14:paraId="00708B32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93" w:type="dxa"/>
          </w:tcPr>
          <w:p w14:paraId="7898A4A6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Quantitative variables: explain how quantitative variables were handled in the analyses.</w:t>
            </w:r>
          </w:p>
        </w:tc>
        <w:tc>
          <w:tcPr>
            <w:tcW w:w="4111" w:type="dxa"/>
          </w:tcPr>
          <w:p w14:paraId="12F169F2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FP grade treated as ordinal (1–6). Trichotomy (light I–II / intermediate III–IV / dark V–VI) and two dichotomies (I–IV vs V–VI; I–II vs III–VI) reported explicitly.</w:t>
            </w:r>
          </w:p>
        </w:tc>
        <w:tc>
          <w:tcPr>
            <w:tcW w:w="1149" w:type="dxa"/>
          </w:tcPr>
          <w:p w14:paraId="527A2EAC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0DA82ED9" w14:textId="77777777" w:rsidTr="00230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84" w:type="dxa"/>
          </w:tcPr>
          <w:p w14:paraId="7C6398B5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51" w:type="dxa"/>
          </w:tcPr>
          <w:p w14:paraId="13E65B08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12(a)</w:t>
            </w:r>
          </w:p>
        </w:tc>
        <w:tc>
          <w:tcPr>
            <w:tcW w:w="2693" w:type="dxa"/>
          </w:tcPr>
          <w:p w14:paraId="073EFE61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Statistical methods: describe all statistical methods, including those used to control for confounding.</w:t>
            </w:r>
          </w:p>
        </w:tc>
        <w:tc>
          <w:tcPr>
            <w:tcW w:w="4111" w:type="dxa"/>
          </w:tcPr>
          <w:p w14:paraId="16B172C2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95% Wilson score confidence intervals for all proportions; quadratically weighted and unweighted Cohen's kappa for inter-rater reliability; intraclass correlation coefficient and design effect for image clustering within textbooks. Consistent with the descriptive framing of the study, no inferential hypothesis tests against the 2021 Census comparator are reported.</w:t>
            </w:r>
          </w:p>
        </w:tc>
        <w:tc>
          <w:tcPr>
            <w:tcW w:w="1149" w:type="dxa"/>
          </w:tcPr>
          <w:p w14:paraId="308C33B3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4F4C2EA7" w14:textId="77777777" w:rsidTr="00230170">
        <w:tc>
          <w:tcPr>
            <w:tcW w:w="1384" w:type="dxa"/>
          </w:tcPr>
          <w:p w14:paraId="081A05FD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51" w:type="dxa"/>
          </w:tcPr>
          <w:p w14:paraId="69647580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12(b)</w:t>
            </w:r>
          </w:p>
        </w:tc>
        <w:tc>
          <w:tcPr>
            <w:tcW w:w="2693" w:type="dxa"/>
          </w:tcPr>
          <w:p w14:paraId="4DFCB15A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Describe any methods used to examine subgroups and interactions.</w:t>
            </w:r>
          </w:p>
        </w:tc>
        <w:tc>
          <w:tcPr>
            <w:tcW w:w="4111" w:type="dxa"/>
          </w:tcPr>
          <w:p w14:paraId="722C9B37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Photograph vs schematic strata; per-textbook analyses; between-textbook heterogeneity described by range, median, and IQR across the subset of textbooks with ≥10 gradable images.</w:t>
            </w:r>
          </w:p>
        </w:tc>
        <w:tc>
          <w:tcPr>
            <w:tcW w:w="1149" w:type="dxa"/>
          </w:tcPr>
          <w:p w14:paraId="344B7ECC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4287522E" w14:textId="77777777" w:rsidTr="00230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84" w:type="dxa"/>
          </w:tcPr>
          <w:p w14:paraId="38A68EA4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51" w:type="dxa"/>
          </w:tcPr>
          <w:p w14:paraId="68BAF87A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12(c)</w:t>
            </w:r>
          </w:p>
        </w:tc>
        <w:tc>
          <w:tcPr>
            <w:tcW w:w="2693" w:type="dxa"/>
          </w:tcPr>
          <w:p w14:paraId="67DB446C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Explain how missing data were addressed.</w:t>
            </w:r>
          </w:p>
        </w:tc>
        <w:tc>
          <w:tcPr>
            <w:tcW w:w="4111" w:type="dxa"/>
          </w:tcPr>
          <w:p w14:paraId="61DCD6D9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Graphics deemed ungradable (greyscale, occluded, insufficient skin area or quality) were excluded a priori (19/1,642; 1.2%). No imputation was performed.</w:t>
            </w:r>
          </w:p>
        </w:tc>
        <w:tc>
          <w:tcPr>
            <w:tcW w:w="1149" w:type="dxa"/>
          </w:tcPr>
          <w:p w14:paraId="702B2715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473BC2BC" w14:textId="77777777" w:rsidTr="00230170">
        <w:tc>
          <w:tcPr>
            <w:tcW w:w="1384" w:type="dxa"/>
          </w:tcPr>
          <w:p w14:paraId="5C688ACC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51" w:type="dxa"/>
          </w:tcPr>
          <w:p w14:paraId="31A19704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12(d)</w:t>
            </w:r>
          </w:p>
        </w:tc>
        <w:tc>
          <w:tcPr>
            <w:tcW w:w="2693" w:type="dxa"/>
          </w:tcPr>
          <w:p w14:paraId="1F2B454E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If applicable, describe analytical methods taking account of sampling strategy.</w:t>
            </w:r>
          </w:p>
        </w:tc>
        <w:tc>
          <w:tcPr>
            <w:tcW w:w="4111" w:type="dxa"/>
          </w:tcPr>
          <w:p w14:paraId="5A0E7470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Clustering of images within textbooks addressed via ICC and design effect, and via book-level analyses as the primary inferential framework.</w:t>
            </w:r>
          </w:p>
        </w:tc>
        <w:tc>
          <w:tcPr>
            <w:tcW w:w="1149" w:type="dxa"/>
          </w:tcPr>
          <w:p w14:paraId="7795C1E1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16313E40" w14:textId="77777777" w:rsidTr="00230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84" w:type="dxa"/>
          </w:tcPr>
          <w:p w14:paraId="5AAA72A6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Methods</w:t>
            </w:r>
          </w:p>
        </w:tc>
        <w:tc>
          <w:tcPr>
            <w:tcW w:w="851" w:type="dxa"/>
          </w:tcPr>
          <w:p w14:paraId="57FD27AA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12(e)</w:t>
            </w:r>
          </w:p>
        </w:tc>
        <w:tc>
          <w:tcPr>
            <w:tcW w:w="2693" w:type="dxa"/>
          </w:tcPr>
          <w:p w14:paraId="25E78B09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Describe any sensitivity analyses.</w:t>
            </w:r>
          </w:p>
        </w:tc>
        <w:tc>
          <w:tcPr>
            <w:tcW w:w="4111" w:type="dxa"/>
          </w:tcPr>
          <w:p w14:paraId="3ECDAFC9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(1) Excluding largest contributing text (Kanski’s, 538/1,623 = 33.1%); (2) restricting to books with ≥10 gradable images.</w:t>
            </w:r>
          </w:p>
        </w:tc>
        <w:tc>
          <w:tcPr>
            <w:tcW w:w="1149" w:type="dxa"/>
          </w:tcPr>
          <w:p w14:paraId="73DD91DA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582B944D" w14:textId="77777777" w:rsidTr="00230170">
        <w:tc>
          <w:tcPr>
            <w:tcW w:w="1384" w:type="dxa"/>
          </w:tcPr>
          <w:p w14:paraId="7A2DDFDC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851" w:type="dxa"/>
          </w:tcPr>
          <w:p w14:paraId="4CF1E71E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13(a)</w:t>
            </w:r>
          </w:p>
        </w:tc>
        <w:tc>
          <w:tcPr>
            <w:tcW w:w="2693" w:type="dxa"/>
          </w:tcPr>
          <w:p w14:paraId="773C4ED3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Participants: report numbers of individuals at each stage of study.</w:t>
            </w:r>
          </w:p>
        </w:tc>
        <w:tc>
          <w:tcPr>
            <w:tcW w:w="4111" w:type="dxa"/>
          </w:tcPr>
          <w:p w14:paraId="5FA8E831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Adapted: 11 universities invited → 8 responded → 28 textbooks meeting threshold → 1,642 graphics identified → 1,623 gradable graphics analysed (1,446 photographs, 177 schematics).</w:t>
            </w:r>
          </w:p>
        </w:tc>
        <w:tc>
          <w:tcPr>
            <w:tcW w:w="1149" w:type="dxa"/>
          </w:tcPr>
          <w:p w14:paraId="6DE07D16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</w:tr>
      <w:tr w:rsidR="007C7383" w:rsidRPr="00A21DDE" w14:paraId="35B4D653" w14:textId="77777777" w:rsidTr="00230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84" w:type="dxa"/>
          </w:tcPr>
          <w:p w14:paraId="1AE5299D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851" w:type="dxa"/>
          </w:tcPr>
          <w:p w14:paraId="647A2521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13(b)</w:t>
            </w:r>
          </w:p>
        </w:tc>
        <w:tc>
          <w:tcPr>
            <w:tcW w:w="2693" w:type="dxa"/>
          </w:tcPr>
          <w:p w14:paraId="3CEF4C90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Reasons for non-participation at each stage.</w:t>
            </w:r>
          </w:p>
        </w:tc>
        <w:tc>
          <w:tcPr>
            <w:tcW w:w="4111" w:type="dxa"/>
          </w:tcPr>
          <w:p w14:paraId="43590787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Three of 11 universities did not respond (institutions not identified); 19 graphics excluded as ungradable due to greyscale, small/occluded skin area, or insufficient quality.</w:t>
            </w:r>
          </w:p>
        </w:tc>
        <w:tc>
          <w:tcPr>
            <w:tcW w:w="1149" w:type="dxa"/>
          </w:tcPr>
          <w:p w14:paraId="4982B05E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5576BB08" w14:textId="77777777" w:rsidTr="00230170">
        <w:tc>
          <w:tcPr>
            <w:tcW w:w="1384" w:type="dxa"/>
          </w:tcPr>
          <w:p w14:paraId="758EEF43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851" w:type="dxa"/>
          </w:tcPr>
          <w:p w14:paraId="077DD7A0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13(c)</w:t>
            </w:r>
          </w:p>
        </w:tc>
        <w:tc>
          <w:tcPr>
            <w:tcW w:w="2693" w:type="dxa"/>
          </w:tcPr>
          <w:p w14:paraId="01C5D964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Consider use of a flow diagram.</w:t>
            </w:r>
          </w:p>
        </w:tc>
        <w:tc>
          <w:tcPr>
            <w:tcW w:w="4111" w:type="dxa"/>
          </w:tcPr>
          <w:p w14:paraId="1E3170A7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Not provided as a flow diagram; equivalent textual flow given in Methods (“graphic identification and classification”) and Results (sensitivity analyses).</w:t>
            </w:r>
          </w:p>
        </w:tc>
        <w:tc>
          <w:tcPr>
            <w:tcW w:w="1149" w:type="dxa"/>
          </w:tcPr>
          <w:p w14:paraId="69BB674C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</w:tr>
      <w:tr w:rsidR="007C7383" w:rsidRPr="00A21DDE" w14:paraId="512011C8" w14:textId="77777777" w:rsidTr="00230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84" w:type="dxa"/>
          </w:tcPr>
          <w:p w14:paraId="46F1F560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851" w:type="dxa"/>
          </w:tcPr>
          <w:p w14:paraId="4B5F4B0D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14(a)</w:t>
            </w:r>
          </w:p>
        </w:tc>
        <w:tc>
          <w:tcPr>
            <w:tcW w:w="2693" w:type="dxa"/>
          </w:tcPr>
          <w:p w14:paraId="21CF1022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Descriptive data: characteristics of study participants.</w:t>
            </w:r>
          </w:p>
        </w:tc>
        <w:tc>
          <w:tcPr>
            <w:tcW w:w="4111" w:type="dxa"/>
          </w:tcPr>
          <w:p w14:paraId="1FAABD19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Adapted: corpus characteristics described — 28 textbooks across clinical ophthalmology, optometric practice, anatomy, physiology, and pharmacology; per-textbook contributions reported.</w:t>
            </w:r>
          </w:p>
        </w:tc>
        <w:tc>
          <w:tcPr>
            <w:tcW w:w="1149" w:type="dxa"/>
          </w:tcPr>
          <w:p w14:paraId="74252C44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2E0A75E5" w14:textId="77777777" w:rsidTr="00230170">
        <w:tc>
          <w:tcPr>
            <w:tcW w:w="1384" w:type="dxa"/>
          </w:tcPr>
          <w:p w14:paraId="565700D8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851" w:type="dxa"/>
          </w:tcPr>
          <w:p w14:paraId="62C83A7B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14(b)</w:t>
            </w:r>
          </w:p>
        </w:tc>
        <w:tc>
          <w:tcPr>
            <w:tcW w:w="2693" w:type="dxa"/>
          </w:tcPr>
          <w:p w14:paraId="36785C9F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Indicate number of participants with missing data for each variable.</w:t>
            </w:r>
          </w:p>
        </w:tc>
        <w:tc>
          <w:tcPr>
            <w:tcW w:w="4111" w:type="dxa"/>
          </w:tcPr>
          <w:p w14:paraId="428614BB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All gradable graphics have complete moderated FP grades. 19 ungradable graphics excluded as described.</w:t>
            </w:r>
          </w:p>
        </w:tc>
        <w:tc>
          <w:tcPr>
            <w:tcW w:w="1149" w:type="dxa"/>
          </w:tcPr>
          <w:p w14:paraId="2CD62306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46EE756B" w14:textId="77777777" w:rsidTr="00230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84" w:type="dxa"/>
          </w:tcPr>
          <w:p w14:paraId="6259AE6D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851" w:type="dxa"/>
          </w:tcPr>
          <w:p w14:paraId="25857C71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93" w:type="dxa"/>
          </w:tcPr>
          <w:p w14:paraId="0D03C3A9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Outcome data: report numbers of outcome events or summary measures.</w:t>
            </w:r>
          </w:p>
        </w:tc>
        <w:tc>
          <w:tcPr>
            <w:tcW w:w="4111" w:type="dxa"/>
          </w:tcPr>
          <w:p w14:paraId="6475DE3E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Table 1: full FP I–VI distribution by graphic type and totals (n = 1,623). Photographs: FP I=832, FP II=266, FP III=217, FP IV=75, FP V=33, FP VI=23 (total 1,446). Schematics: FP I=167, II=3, III=4, IV=3, V=0, VI=0 (total 177). Combined: 999/269/221/78/33/23 (total 1,623).</w:t>
            </w:r>
          </w:p>
        </w:tc>
        <w:tc>
          <w:tcPr>
            <w:tcW w:w="1149" w:type="dxa"/>
          </w:tcPr>
          <w:p w14:paraId="18DBE50A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2CB6F2A9" w14:textId="77777777" w:rsidTr="00230170">
        <w:tc>
          <w:tcPr>
            <w:tcW w:w="1384" w:type="dxa"/>
          </w:tcPr>
          <w:p w14:paraId="451B59F8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851" w:type="dxa"/>
          </w:tcPr>
          <w:p w14:paraId="45575F9A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16(a)</w:t>
            </w:r>
          </w:p>
        </w:tc>
        <w:tc>
          <w:tcPr>
            <w:tcW w:w="2693" w:type="dxa"/>
          </w:tcPr>
          <w:p w14:paraId="43FB6EFC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Main results: give unadjusted estimates and, if applicable, confounder-adjusted estimates and their precision.</w:t>
            </w:r>
          </w:p>
        </w:tc>
        <w:tc>
          <w:tcPr>
            <w:tcW w:w="4111" w:type="dxa"/>
          </w:tcPr>
          <w:p w14:paraId="1FDDA3CC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 xml:space="preserve">All graphics: FP I–II = 78.1% (95% Wilson CI 76.1–80.1); FP III–IV = 18.4% (16.6–20.4); FP V–VI = 3.5% (2.7–4.5). Photographs: FP I–II 75.9% (73.7–78.1); FP V–VI 3.9% (3.0–5.0). </w:t>
            </w:r>
            <w:r w:rsidRPr="00A21D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Schematics: FP V–VI 0.0% (0.0–2.1).</w:t>
            </w:r>
          </w:p>
        </w:tc>
        <w:tc>
          <w:tcPr>
            <w:tcW w:w="1149" w:type="dxa"/>
          </w:tcPr>
          <w:p w14:paraId="14E19251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A</w:t>
            </w:r>
          </w:p>
        </w:tc>
      </w:tr>
      <w:tr w:rsidR="007C7383" w:rsidRPr="00A21DDE" w14:paraId="66B8DCAE" w14:textId="77777777" w:rsidTr="00230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84" w:type="dxa"/>
          </w:tcPr>
          <w:p w14:paraId="018810F2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851" w:type="dxa"/>
          </w:tcPr>
          <w:p w14:paraId="5BFEB555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16(b)</w:t>
            </w:r>
          </w:p>
        </w:tc>
        <w:tc>
          <w:tcPr>
            <w:tcW w:w="2693" w:type="dxa"/>
          </w:tcPr>
          <w:p w14:paraId="557F582B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Report category boundaries for continuous variables.</w:t>
            </w:r>
          </w:p>
        </w:tc>
        <w:tc>
          <w:tcPr>
            <w:tcW w:w="4111" w:type="dxa"/>
          </w:tcPr>
          <w:p w14:paraId="11664A35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FP grades are ordinal categorical. Trichotomy and dichotomy boundaries are stated explicitly in Methods and again in the relevant Results subsection.</w:t>
            </w:r>
          </w:p>
        </w:tc>
        <w:tc>
          <w:tcPr>
            <w:tcW w:w="1149" w:type="dxa"/>
          </w:tcPr>
          <w:p w14:paraId="1C398BE7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76F58B70" w14:textId="77777777" w:rsidTr="00230170">
        <w:tc>
          <w:tcPr>
            <w:tcW w:w="1384" w:type="dxa"/>
          </w:tcPr>
          <w:p w14:paraId="5CF6EF27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851" w:type="dxa"/>
          </w:tcPr>
          <w:p w14:paraId="0841933F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16(c)</w:t>
            </w:r>
          </w:p>
        </w:tc>
        <w:tc>
          <w:tcPr>
            <w:tcW w:w="2693" w:type="dxa"/>
          </w:tcPr>
          <w:p w14:paraId="56BA96D3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 xml:space="preserve">If relevant, consider translating estimates of relative risk into absolute risk for a meaningful </w:t>
            </w:r>
            <w:proofErr w:type="gramStart"/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time period</w:t>
            </w:r>
            <w:proofErr w:type="gramEnd"/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11" w:type="dxa"/>
          </w:tcPr>
          <w:p w14:paraId="4F390CAB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Not applicable. Relative-risk translation is inappropriate for a descriptive prevalence analysis of educational graphics.</w:t>
            </w:r>
          </w:p>
        </w:tc>
        <w:tc>
          <w:tcPr>
            <w:tcW w:w="1149" w:type="dxa"/>
          </w:tcPr>
          <w:p w14:paraId="5AA7EB2A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N/A</w:t>
            </w:r>
          </w:p>
        </w:tc>
      </w:tr>
      <w:tr w:rsidR="007C7383" w:rsidRPr="00A21DDE" w14:paraId="700FCDD2" w14:textId="77777777" w:rsidTr="00230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84" w:type="dxa"/>
          </w:tcPr>
          <w:p w14:paraId="44F33814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Results</w:t>
            </w:r>
          </w:p>
        </w:tc>
        <w:tc>
          <w:tcPr>
            <w:tcW w:w="851" w:type="dxa"/>
          </w:tcPr>
          <w:p w14:paraId="41BB42CA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93" w:type="dxa"/>
          </w:tcPr>
          <w:p w14:paraId="47FE0BF6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Other analyses: report other analyses done—e.g. analyses of subgroups and interactions, and sensitivity analyses.</w:t>
            </w:r>
          </w:p>
        </w:tc>
        <w:tc>
          <w:tcPr>
            <w:tcW w:w="4111" w:type="dxa"/>
          </w:tcPr>
          <w:p w14:paraId="781DA844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Sensitivity analyses (excluding the largest contributing text; restricting to books with ≥10 gradable images) reported in Results. Book-level FP V–VI prevalence: mean 2.4% (95% CI 1.2–3.7%), median 0.9% (IQR 0.0–3.8%), range 0–14.3%; 14 of 28 textbooks contained zero FP V–VI images. All 28 textbooks recorded an FP V–VI proportion below the 18.95% contextual comparator. Consistent with the descriptive framing, no inferential hypothesis tests against the census comparator are reported.</w:t>
            </w:r>
          </w:p>
        </w:tc>
        <w:tc>
          <w:tcPr>
            <w:tcW w:w="1149" w:type="dxa"/>
          </w:tcPr>
          <w:p w14:paraId="24CD38FB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1A651D5D" w14:textId="77777777" w:rsidTr="00230170">
        <w:tc>
          <w:tcPr>
            <w:tcW w:w="1384" w:type="dxa"/>
          </w:tcPr>
          <w:p w14:paraId="2957ECEC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Discussion</w:t>
            </w:r>
          </w:p>
        </w:tc>
        <w:tc>
          <w:tcPr>
            <w:tcW w:w="851" w:type="dxa"/>
          </w:tcPr>
          <w:p w14:paraId="2D28E856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93" w:type="dxa"/>
          </w:tcPr>
          <w:p w14:paraId="1565F37A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Key results: summarise key results with reference to study objectives.</w:t>
            </w:r>
          </w:p>
        </w:tc>
        <w:tc>
          <w:tcPr>
            <w:tcW w:w="4111" w:type="dxa"/>
          </w:tcPr>
          <w:p w14:paraId="033A46B2" w14:textId="2F589D1A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Principal findings.</w:t>
            </w:r>
          </w:p>
        </w:tc>
        <w:tc>
          <w:tcPr>
            <w:tcW w:w="1149" w:type="dxa"/>
          </w:tcPr>
          <w:p w14:paraId="6DB6D70E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3EBE3A60" w14:textId="77777777" w:rsidTr="00230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84" w:type="dxa"/>
          </w:tcPr>
          <w:p w14:paraId="34244B22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Discussion</w:t>
            </w:r>
          </w:p>
        </w:tc>
        <w:tc>
          <w:tcPr>
            <w:tcW w:w="851" w:type="dxa"/>
          </w:tcPr>
          <w:p w14:paraId="6F6322BA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93" w:type="dxa"/>
          </w:tcPr>
          <w:p w14:paraId="49382F6F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Limitations: discuss limitations.</w:t>
            </w:r>
          </w:p>
        </w:tc>
        <w:tc>
          <w:tcPr>
            <w:tcW w:w="4111" w:type="dxa"/>
          </w:tcPr>
          <w:p w14:paraId="0B808487" w14:textId="29E0C7AA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Strengths and limitations: construct validity of Fitzpatrick scale; clustering; “recommended” ≠ “used”; conceptual imprecision of census comparison; ebook vs print rendering; non-blinded coders; moderation not independently validated; no educational outcome assessment; cross-sectional snapshot.</w:t>
            </w:r>
          </w:p>
        </w:tc>
        <w:tc>
          <w:tcPr>
            <w:tcW w:w="1149" w:type="dxa"/>
          </w:tcPr>
          <w:p w14:paraId="5C68E24B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7AC2C68B" w14:textId="77777777" w:rsidTr="00230170">
        <w:tc>
          <w:tcPr>
            <w:tcW w:w="1384" w:type="dxa"/>
          </w:tcPr>
          <w:p w14:paraId="22D25AA1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Discussion</w:t>
            </w:r>
          </w:p>
        </w:tc>
        <w:tc>
          <w:tcPr>
            <w:tcW w:w="851" w:type="dxa"/>
          </w:tcPr>
          <w:p w14:paraId="7AEB9F96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3" w:type="dxa"/>
          </w:tcPr>
          <w:p w14:paraId="3C563A2C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Interpretation: cautious overall interpretation considering objectives, limitations, multiplicity, results from similar studies, and other relevant evidence.</w:t>
            </w:r>
          </w:p>
        </w:tc>
        <w:tc>
          <w:tcPr>
            <w:tcW w:w="4111" w:type="dxa"/>
          </w:tcPr>
          <w:p w14:paraId="53028D6A" w14:textId="7258FD62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The construct validity problem; The sensitivity of findings to classification threshold; The census comparison as contextual heuristic; Comparison with adjacent disciplines.</w:t>
            </w:r>
          </w:p>
        </w:tc>
        <w:tc>
          <w:tcPr>
            <w:tcW w:w="1149" w:type="dxa"/>
          </w:tcPr>
          <w:p w14:paraId="23F7F6C6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51AA7A31" w14:textId="77777777" w:rsidTr="002301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384" w:type="dxa"/>
          </w:tcPr>
          <w:p w14:paraId="1D47C0AE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Discussion</w:t>
            </w:r>
          </w:p>
        </w:tc>
        <w:tc>
          <w:tcPr>
            <w:tcW w:w="851" w:type="dxa"/>
          </w:tcPr>
          <w:p w14:paraId="64B78230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93" w:type="dxa"/>
          </w:tcPr>
          <w:p w14:paraId="6F0A675E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Generalisability: discuss the generalisability (external validity) of the study results.</w:t>
            </w:r>
          </w:p>
        </w:tc>
        <w:tc>
          <w:tcPr>
            <w:tcW w:w="4111" w:type="dxa"/>
          </w:tcPr>
          <w:p w14:paraId="7D2C6B9E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Discussion notes that the corpus is England-based, recommended (not verified) reading lists, and a single academic year; comparability with adjacent disciplines is discussed.</w:t>
            </w:r>
          </w:p>
        </w:tc>
        <w:tc>
          <w:tcPr>
            <w:tcW w:w="1149" w:type="dxa"/>
          </w:tcPr>
          <w:p w14:paraId="2C2990F3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  <w:tr w:rsidR="007C7383" w:rsidRPr="00A21DDE" w14:paraId="3F5E29BC" w14:textId="77777777" w:rsidTr="00230170">
        <w:tc>
          <w:tcPr>
            <w:tcW w:w="1384" w:type="dxa"/>
          </w:tcPr>
          <w:p w14:paraId="141E8152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Other information</w:t>
            </w:r>
          </w:p>
        </w:tc>
        <w:tc>
          <w:tcPr>
            <w:tcW w:w="851" w:type="dxa"/>
          </w:tcPr>
          <w:p w14:paraId="7153E042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93" w:type="dxa"/>
          </w:tcPr>
          <w:p w14:paraId="39CF2A08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Funding: source of funding and the role of the funders for the present study.</w:t>
            </w:r>
          </w:p>
        </w:tc>
        <w:tc>
          <w:tcPr>
            <w:tcW w:w="4111" w:type="dxa"/>
          </w:tcPr>
          <w:p w14:paraId="5B8C3784" w14:textId="4E298504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sz w:val="20"/>
                <w:szCs w:val="20"/>
              </w:rPr>
              <w:t>Funding (in unblinded title page document). No specific external grant; conducted as undergraduate research project.</w:t>
            </w:r>
          </w:p>
        </w:tc>
        <w:tc>
          <w:tcPr>
            <w:tcW w:w="1149" w:type="dxa"/>
          </w:tcPr>
          <w:p w14:paraId="2D3AAF27" w14:textId="77777777" w:rsidR="007C7383" w:rsidRPr="00A21DDE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1DDE">
              <w:rPr>
                <w:rFonts w:ascii="Times New Roman" w:hAnsi="Times New Roman" w:cs="Times New Roman"/>
                <w:b/>
                <w:sz w:val="20"/>
                <w:szCs w:val="20"/>
              </w:rPr>
              <w:t>A</w:t>
            </w:r>
          </w:p>
        </w:tc>
      </w:tr>
    </w:tbl>
    <w:p w14:paraId="1A73DE7A" w14:textId="77777777" w:rsidR="007C7383" w:rsidRPr="00133CB8" w:rsidRDefault="00000000">
      <w:pPr>
        <w:spacing w:after="80"/>
        <w:rPr>
          <w:rFonts w:ascii="Times New Roman" w:hAnsi="Times New Roman" w:cs="Times New Roman"/>
        </w:rPr>
      </w:pPr>
      <w:r w:rsidRPr="00133CB8">
        <w:rPr>
          <w:rFonts w:ascii="Times New Roman" w:hAnsi="Times New Roman" w:cs="Times New Roman"/>
          <w:i/>
          <w:sz w:val="18"/>
        </w:rPr>
        <w:t>Reference: von Elm E, Altman DG, Egger M, Pocock SJ, Gøtzsche PC, Vandenbroucke JP; STROBE Initiative. The Strengthening the Reporting of Observational Studies in Epidemiology (STROBE) Statement: guidelines for reporting observational studies. The 22-item checklist for cross-sectional studies is available at https://www.equator-network.org/reporting-guidelines/strobe/.</w:t>
      </w:r>
    </w:p>
    <w:p w14:paraId="6A2AA53E" w14:textId="77777777" w:rsidR="007C7383" w:rsidRPr="00133CB8" w:rsidRDefault="00000000">
      <w:pPr>
        <w:spacing w:after="80"/>
        <w:rPr>
          <w:rFonts w:ascii="Times New Roman" w:hAnsi="Times New Roman" w:cs="Times New Roman"/>
        </w:rPr>
      </w:pPr>
      <w:r w:rsidRPr="00133CB8">
        <w:rPr>
          <w:rFonts w:ascii="Times New Roman" w:hAnsi="Times New Roman" w:cs="Times New Roman"/>
          <w:i/>
          <w:sz w:val="18"/>
        </w:rPr>
        <w:t>Adaptation note: the present study is a descriptive content analysis of educational graphics rather than a conventional human-participant cross-sectional study. Where STROBE items refer to participants, exposures, or outcomes that have no direct correspondence in this design, the closest analogue (e.g. textbook = unit of analysis; graphic = unit of observation; FP grade = primary measurement) has been mapped, and any items without a valid analogue are explicitly marked Not applicable.</w:t>
      </w:r>
    </w:p>
    <w:sectPr w:rsidR="007C7383" w:rsidRPr="00133CB8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2216917">
    <w:abstractNumId w:val="8"/>
  </w:num>
  <w:num w:numId="2" w16cid:durableId="299920837">
    <w:abstractNumId w:val="6"/>
  </w:num>
  <w:num w:numId="3" w16cid:durableId="491023377">
    <w:abstractNumId w:val="5"/>
  </w:num>
  <w:num w:numId="4" w16cid:durableId="484250151">
    <w:abstractNumId w:val="4"/>
  </w:num>
  <w:num w:numId="5" w16cid:durableId="1187253009">
    <w:abstractNumId w:val="7"/>
  </w:num>
  <w:num w:numId="6" w16cid:durableId="1379665581">
    <w:abstractNumId w:val="3"/>
  </w:num>
  <w:num w:numId="7" w16cid:durableId="1313559367">
    <w:abstractNumId w:val="2"/>
  </w:num>
  <w:num w:numId="8" w16cid:durableId="413405811">
    <w:abstractNumId w:val="1"/>
  </w:num>
  <w:num w:numId="9" w16cid:durableId="363674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3CB8"/>
    <w:rsid w:val="0015074B"/>
    <w:rsid w:val="00230170"/>
    <w:rsid w:val="0029639D"/>
    <w:rsid w:val="00326F90"/>
    <w:rsid w:val="006616E1"/>
    <w:rsid w:val="007C7383"/>
    <w:rsid w:val="00A21DDE"/>
    <w:rsid w:val="00A44A8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1D3C6A8-93AE-6A4B-8905-67E0993E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PlainTable3">
    <w:name w:val="Plain Table 3"/>
    <w:basedOn w:val="TableNormal"/>
    <w:uiPriority w:val="99"/>
    <w:rsid w:val="002301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Daniela Oehring</cp:lastModifiedBy>
  <cp:revision>5</cp:revision>
  <dcterms:created xsi:type="dcterms:W3CDTF">2013-12-23T23:15:00Z</dcterms:created>
  <dcterms:modified xsi:type="dcterms:W3CDTF">2026-05-28T14:02:00Z</dcterms:modified>
  <cp:category/>
</cp:coreProperties>
</file>