
<file path=[Content_Types].xml><?xml version="1.0" encoding="utf-8"?>
<Types xmlns="http://schemas.openxmlformats.org/package/2006/content-types">
  <Default Extension="xml" ContentType="application/xml"/>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40ADC">
      <w:pPr>
        <w:adjustRightInd w:val="0"/>
        <w:snapToGrid w:val="0"/>
        <w:spacing w:line="360" w:lineRule="auto"/>
        <w:jc w:val="center"/>
        <w:rPr>
          <w:rFonts w:ascii="Times New Roman" w:hAnsi="Times New Roman" w:cs="Times New Roman"/>
          <w:kern w:val="0"/>
          <w:sz w:val="36"/>
          <w:szCs w:val="36"/>
          <w:lang w:eastAsia="en-US"/>
        </w:rPr>
      </w:pPr>
      <w:bookmarkStart w:id="0" w:name="_Hlk81493035"/>
      <w:bookmarkStart w:id="1" w:name="_Hlk100388053"/>
      <w:r>
        <w:rPr>
          <w:rFonts w:ascii="Times New Roman" w:hAnsi="Times New Roman" w:cs="Times New Roman"/>
          <w:kern w:val="0"/>
          <w:sz w:val="36"/>
          <w:szCs w:val="36"/>
          <w:lang w:eastAsia="en-US"/>
        </w:rPr>
        <w:t>Supplementa</w:t>
      </w:r>
      <w:r>
        <w:rPr>
          <w:rFonts w:hint="eastAsia" w:ascii="Times New Roman" w:hAnsi="Times New Roman" w:cs="Times New Roman"/>
          <w:kern w:val="0"/>
          <w:sz w:val="36"/>
          <w:szCs w:val="36"/>
        </w:rPr>
        <w:t>ry</w:t>
      </w:r>
      <w:r>
        <w:rPr>
          <w:rFonts w:ascii="Times New Roman" w:hAnsi="Times New Roman" w:cs="Times New Roman"/>
          <w:kern w:val="0"/>
          <w:sz w:val="36"/>
          <w:szCs w:val="36"/>
          <w:lang w:eastAsia="en-US"/>
        </w:rPr>
        <w:t xml:space="preserve"> </w:t>
      </w:r>
      <w:r>
        <w:rPr>
          <w:rFonts w:hint="eastAsia" w:ascii="Times New Roman" w:hAnsi="Times New Roman" w:cs="Times New Roman"/>
          <w:kern w:val="0"/>
          <w:sz w:val="36"/>
          <w:szCs w:val="36"/>
        </w:rPr>
        <w:t>I</w:t>
      </w:r>
      <w:r>
        <w:rPr>
          <w:rFonts w:ascii="Times New Roman" w:hAnsi="Times New Roman" w:cs="Times New Roman"/>
          <w:kern w:val="0"/>
          <w:sz w:val="36"/>
          <w:szCs w:val="36"/>
          <w:lang w:eastAsia="en-US"/>
        </w:rPr>
        <w:t>nformation</w:t>
      </w:r>
    </w:p>
    <w:p w14:paraId="46014861">
      <w:pPr>
        <w:spacing w:line="360" w:lineRule="auto"/>
        <w:jc w:val="left"/>
        <w:rPr>
          <w:rFonts w:ascii="Times New Roman" w:hAnsi="Times New Roman" w:cs="Times New Roman"/>
          <w:kern w:val="0"/>
          <w:sz w:val="36"/>
          <w:szCs w:val="36"/>
          <w:lang w:eastAsia="en-US"/>
        </w:rPr>
      </w:pPr>
    </w:p>
    <w:bookmarkEnd w:id="0"/>
    <w:p w14:paraId="3A427C64">
      <w:pPr>
        <w:pStyle w:val="53"/>
        <w:adjustRightInd w:val="0"/>
        <w:snapToGrid w:val="0"/>
        <w:spacing w:before="0" w:line="360" w:lineRule="auto"/>
        <w:contextualSpacing/>
        <w:outlineLvl w:val="0"/>
        <w:rPr>
          <w:rFonts w:ascii="Times New Roman" w:hAnsi="Times New Roman"/>
          <w:sz w:val="28"/>
        </w:rPr>
      </w:pPr>
      <w:r>
        <w:rPr>
          <w:rFonts w:hint="eastAsia" w:ascii="Times New Roman" w:hAnsi="Times New Roman" w:eastAsia="宋体"/>
          <w:sz w:val="28"/>
        </w:rPr>
        <w:t>AI-driven d</w:t>
      </w:r>
      <w:r>
        <w:rPr>
          <w:rFonts w:ascii="Times New Roman" w:hAnsi="Times New Roman"/>
          <w:sz w:val="28"/>
        </w:rPr>
        <w:t>iscovery of hypoglycemic quorum sensing peptide</w:t>
      </w:r>
      <w:r>
        <w:rPr>
          <w:rFonts w:hint="eastAsia" w:ascii="Times New Roman" w:hAnsi="Times New Roman" w:eastAsia="宋体"/>
          <w:sz w:val="28"/>
        </w:rPr>
        <w:t>s</w:t>
      </w:r>
      <w:r>
        <w:rPr>
          <w:rFonts w:ascii="Times New Roman" w:hAnsi="Times New Roman"/>
          <w:sz w:val="28"/>
        </w:rPr>
        <w:t xml:space="preserve"> from the human gut microbiome</w:t>
      </w:r>
    </w:p>
    <w:p w14:paraId="23AAE94A">
      <w:pPr>
        <w:pStyle w:val="36"/>
        <w:adjustRightInd w:val="0"/>
        <w:snapToGrid w:val="0"/>
        <w:spacing w:before="0"/>
        <w:ind w:left="0" w:firstLine="0"/>
        <w:contextualSpacing/>
        <w:rPr>
          <w:rFonts w:ascii="Times New Roman" w:hAnsi="Times New Roman"/>
          <w:sz w:val="24"/>
          <w:szCs w:val="24"/>
        </w:rPr>
      </w:pPr>
    </w:p>
    <w:p w14:paraId="6EC47101">
      <w:pPr>
        <w:pStyle w:val="36"/>
        <w:adjustRightInd w:val="0"/>
        <w:snapToGrid w:val="0"/>
        <w:spacing w:before="0"/>
        <w:ind w:left="0" w:firstLine="0"/>
        <w:contextualSpacing/>
        <w:rPr>
          <w:rFonts w:ascii="Times New Roman" w:hAnsi="Times New Roman" w:eastAsiaTheme="minorEastAsia"/>
          <w:sz w:val="24"/>
          <w:szCs w:val="24"/>
        </w:rPr>
      </w:pPr>
    </w:p>
    <w:p w14:paraId="01302B41">
      <w:pPr>
        <w:widowControl/>
        <w:adjustRightInd w:val="0"/>
        <w:snapToGrid w:val="0"/>
        <w:spacing w:line="360" w:lineRule="auto"/>
        <w:rPr>
          <w:rFonts w:ascii="Times New Roman" w:hAnsi="Times New Roman"/>
          <w:sz w:val="24"/>
          <w:szCs w:val="24"/>
          <w:vertAlign w:val="superscript"/>
        </w:rPr>
      </w:pPr>
      <w:r>
        <w:rPr>
          <w:rFonts w:ascii="Times New Roman" w:hAnsi="Times New Roman"/>
          <w:sz w:val="24"/>
          <w:szCs w:val="24"/>
        </w:rPr>
        <w:t>Shijie Ren</w:t>
      </w:r>
      <w:r>
        <w:rPr>
          <w:rFonts w:ascii="Times New Roman" w:hAnsi="Times New Roman"/>
          <w:sz w:val="24"/>
          <w:szCs w:val="24"/>
          <w:vertAlign w:val="superscript"/>
        </w:rPr>
        <w:t>1,9</w:t>
      </w:r>
      <w:r>
        <w:rPr>
          <w:rFonts w:ascii="Times New Roman" w:hAnsi="Times New Roman"/>
          <w:sz w:val="24"/>
          <w:szCs w:val="24"/>
        </w:rPr>
        <w:t>, Jianwei Chen</w:t>
      </w:r>
      <w:r>
        <w:rPr>
          <w:rFonts w:ascii="Times New Roman" w:hAnsi="Times New Roman"/>
          <w:sz w:val="24"/>
          <w:szCs w:val="24"/>
          <w:vertAlign w:val="superscript"/>
        </w:rPr>
        <w:t>2,3,4,9</w:t>
      </w:r>
      <w:r>
        <w:rPr>
          <w:rFonts w:ascii="Times New Roman" w:hAnsi="Times New Roman"/>
          <w:sz w:val="24"/>
          <w:szCs w:val="24"/>
        </w:rPr>
        <w:t>, Wei Kang</w:t>
      </w:r>
      <w:r>
        <w:rPr>
          <w:rFonts w:ascii="Times New Roman" w:hAnsi="Times New Roman"/>
          <w:sz w:val="24"/>
          <w:szCs w:val="24"/>
          <w:vertAlign w:val="superscript"/>
        </w:rPr>
        <w:t>1,5,9</w:t>
      </w:r>
      <w:r>
        <w:rPr>
          <w:rFonts w:ascii="Times New Roman" w:hAnsi="Times New Roman"/>
          <w:sz w:val="24"/>
          <w:szCs w:val="24"/>
        </w:rPr>
        <w:t>, Ling Peng</w:t>
      </w:r>
      <w:r>
        <w:rPr>
          <w:rFonts w:ascii="Times New Roman" w:hAnsi="Times New Roman"/>
          <w:sz w:val="24"/>
          <w:szCs w:val="24"/>
          <w:vertAlign w:val="superscript"/>
        </w:rPr>
        <w:t>4</w:t>
      </w:r>
      <w:r>
        <w:rPr>
          <w:rFonts w:ascii="Times New Roman" w:hAnsi="Times New Roman"/>
          <w:sz w:val="24"/>
          <w:szCs w:val="24"/>
        </w:rPr>
        <w:t>, Junping Liu</w:t>
      </w:r>
      <w:r>
        <w:rPr>
          <w:rFonts w:ascii="Times New Roman" w:hAnsi="Times New Roman"/>
          <w:sz w:val="24"/>
          <w:szCs w:val="24"/>
          <w:vertAlign w:val="superscript"/>
        </w:rPr>
        <w:t>1</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Xiaoyu Zhou</w:t>
      </w:r>
      <w:r>
        <w:rPr>
          <w:rFonts w:ascii="Times New Roman" w:hAnsi="Times New Roman"/>
          <w:sz w:val="24"/>
          <w:szCs w:val="24"/>
          <w:vertAlign w:val="superscript"/>
        </w:rPr>
        <w:t>6,7</w:t>
      </w:r>
      <w:r>
        <w:rPr>
          <w:rFonts w:ascii="Times New Roman" w:hAnsi="Times New Roman"/>
          <w:sz w:val="24"/>
          <w:szCs w:val="24"/>
        </w:rPr>
        <w:t>, Yujing Liu</w:t>
      </w:r>
      <w:r>
        <w:rPr>
          <w:rFonts w:ascii="Times New Roman" w:hAnsi="Times New Roman"/>
          <w:sz w:val="24"/>
          <w:szCs w:val="24"/>
          <w:vertAlign w:val="superscript"/>
        </w:rPr>
        <w:t>2</w:t>
      </w:r>
      <w:r>
        <w:rPr>
          <w:rFonts w:ascii="Times New Roman" w:hAnsi="Times New Roman"/>
          <w:sz w:val="24"/>
          <w:szCs w:val="24"/>
        </w:rPr>
        <w:t>, Dantong Wang</w:t>
      </w:r>
      <w:r>
        <w:rPr>
          <w:rFonts w:ascii="Times New Roman" w:hAnsi="Times New Roman"/>
          <w:sz w:val="24"/>
          <w:szCs w:val="24"/>
          <w:vertAlign w:val="superscript"/>
        </w:rPr>
        <w:t>2</w:t>
      </w:r>
      <w:r>
        <w:rPr>
          <w:rFonts w:ascii="Times New Roman" w:hAnsi="Times New Roman"/>
          <w:sz w:val="24"/>
          <w:szCs w:val="24"/>
        </w:rPr>
        <w:t>, Xi Chen</w:t>
      </w:r>
      <w:r>
        <w:rPr>
          <w:rFonts w:ascii="Times New Roman" w:hAnsi="Times New Roman"/>
          <w:sz w:val="24"/>
          <w:szCs w:val="24"/>
          <w:vertAlign w:val="superscript"/>
        </w:rPr>
        <w:t>8</w:t>
      </w:r>
      <w:r>
        <w:rPr>
          <w:rFonts w:ascii="Times New Roman" w:hAnsi="Times New Roman"/>
          <w:sz w:val="24"/>
          <w:szCs w:val="24"/>
        </w:rPr>
        <w:t>, Yongliang Yang</w:t>
      </w:r>
      <w:r>
        <w:rPr>
          <w:rFonts w:ascii="Times New Roman" w:hAnsi="Times New Roman"/>
          <w:sz w:val="24"/>
          <w:szCs w:val="24"/>
          <w:vertAlign w:val="superscript"/>
        </w:rPr>
        <w:t>1</w:t>
      </w:r>
      <w:r>
        <w:rPr>
          <w:rFonts w:ascii="Times New Roman" w:hAnsi="Times New Roman"/>
          <w:sz w:val="24"/>
          <w:szCs w:val="24"/>
        </w:rPr>
        <w:t>, Yanbin Feng</w:t>
      </w:r>
      <w:r>
        <w:rPr>
          <w:rFonts w:ascii="Times New Roman" w:hAnsi="Times New Roman"/>
          <w:sz w:val="24"/>
          <w:szCs w:val="24"/>
          <w:vertAlign w:val="superscript"/>
        </w:rPr>
        <w:t>1</w:t>
      </w:r>
      <w:r>
        <w:rPr>
          <w:rFonts w:ascii="Times New Roman" w:hAnsi="Times New Roman"/>
          <w:sz w:val="24"/>
          <w:szCs w:val="24"/>
        </w:rPr>
        <w:t xml:space="preserve">, </w:t>
      </w:r>
      <w:r>
        <w:rPr>
          <w:rFonts w:hint="eastAsia" w:ascii="Times New Roman" w:hAnsi="Times New Roman"/>
          <w:sz w:val="24"/>
          <w:szCs w:val="24"/>
        </w:rPr>
        <w:t>Mingdong Wang</w:t>
      </w:r>
      <w:r>
        <w:rPr>
          <w:rFonts w:ascii="Times New Roman" w:hAnsi="Times New Roman"/>
          <w:sz w:val="24"/>
          <w:szCs w:val="24"/>
          <w:vertAlign w:val="superscript"/>
        </w:rPr>
        <w:t>1</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Zhongyi Yao</w:t>
      </w:r>
      <w:r>
        <w:rPr>
          <w:rFonts w:ascii="Times New Roman" w:hAnsi="Times New Roman"/>
          <w:sz w:val="24"/>
          <w:szCs w:val="24"/>
          <w:vertAlign w:val="superscript"/>
        </w:rPr>
        <w:t>1</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Huihui Wan</w:t>
      </w:r>
      <w:r>
        <w:rPr>
          <w:rFonts w:ascii="Times New Roman" w:hAnsi="Times New Roman"/>
          <w:sz w:val="24"/>
          <w:szCs w:val="24"/>
          <w:vertAlign w:val="superscript"/>
        </w:rPr>
        <w:t>1</w:t>
      </w:r>
      <w:r>
        <w:rPr>
          <w:rFonts w:ascii="Times New Roman" w:hAnsi="Times New Roman"/>
          <w:sz w:val="24"/>
          <w:szCs w:val="24"/>
        </w:rPr>
        <w:t>, Xiao Ma</w:t>
      </w:r>
      <w:r>
        <w:rPr>
          <w:rFonts w:ascii="Times New Roman" w:hAnsi="Times New Roman"/>
          <w:sz w:val="24"/>
          <w:szCs w:val="24"/>
          <w:vertAlign w:val="superscript"/>
        </w:rPr>
        <w:t>1</w:t>
      </w:r>
      <w:r>
        <w:rPr>
          <w:rFonts w:ascii="Times New Roman" w:hAnsi="Times New Roman"/>
          <w:sz w:val="24"/>
          <w:szCs w:val="24"/>
        </w:rPr>
        <w:t xml:space="preserve">, </w:t>
      </w:r>
      <w:r>
        <w:rPr>
          <w:rFonts w:hint="eastAsia" w:ascii="Times New Roman" w:hAnsi="Times New Roman"/>
          <w:sz w:val="24"/>
          <w:szCs w:val="24"/>
        </w:rPr>
        <w:t>Chao Zhu</w:t>
      </w:r>
      <w:r>
        <w:rPr>
          <w:rFonts w:ascii="Times New Roman" w:hAnsi="Times New Roman"/>
          <w:sz w:val="24"/>
          <w:szCs w:val="24"/>
          <w:vertAlign w:val="superscript"/>
        </w:rPr>
        <w:t>1</w:t>
      </w:r>
      <w:r>
        <w:rPr>
          <w:rFonts w:ascii="Times New Roman" w:hAnsi="Times New Roman"/>
          <w:sz w:val="24"/>
          <w:szCs w:val="24"/>
        </w:rPr>
        <w:t xml:space="preserve">, </w:t>
      </w:r>
      <w:r>
        <w:rPr>
          <w:rFonts w:hint="eastAsia" w:ascii="Times New Roman" w:hAnsi="Times New Roman"/>
          <w:sz w:val="24"/>
          <w:szCs w:val="24"/>
        </w:rPr>
        <w:t>Guanchen Liu</w:t>
      </w:r>
      <w:r>
        <w:rPr>
          <w:rFonts w:ascii="Times New Roman" w:hAnsi="Times New Roman"/>
          <w:sz w:val="24"/>
          <w:szCs w:val="24"/>
          <w:vertAlign w:val="superscript"/>
        </w:rPr>
        <w:t>1</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Ren'an Wu</w:t>
      </w:r>
      <w:r>
        <w:rPr>
          <w:rFonts w:ascii="Times New Roman" w:hAnsi="Times New Roman"/>
          <w:sz w:val="24"/>
          <w:szCs w:val="24"/>
          <w:vertAlign w:val="superscript"/>
        </w:rPr>
        <w:t>6</w:t>
      </w:r>
      <w:r>
        <w:rPr>
          <w:rFonts w:ascii="Times New Roman" w:hAnsi="Times New Roman"/>
          <w:sz w:val="24"/>
          <w:szCs w:val="24"/>
        </w:rPr>
        <w:t>, Haonan Li</w:t>
      </w:r>
      <w:r>
        <w:rPr>
          <w:rFonts w:ascii="Times New Roman" w:hAnsi="Times New Roman"/>
          <w:sz w:val="24"/>
          <w:szCs w:val="24"/>
          <w:vertAlign w:val="superscript"/>
        </w:rPr>
        <w:t>1</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Sijin Wu</w:t>
      </w:r>
      <w:r>
        <w:rPr>
          <w:rFonts w:ascii="Times New Roman" w:hAnsi="Times New Roman"/>
          <w:sz w:val="24"/>
          <w:szCs w:val="24"/>
          <w:vertAlign w:val="superscript"/>
        </w:rPr>
        <w:t>6</w:t>
      </w:r>
      <w:r>
        <w:rPr>
          <w:rFonts w:ascii="Times New Roman" w:hAnsi="Times New Roman"/>
          <w:sz w:val="24"/>
          <w:szCs w:val="24"/>
        </w:rPr>
        <w:t xml:space="preserve">, </w:t>
      </w:r>
      <w:r>
        <w:rPr>
          <w:rFonts w:hint="eastAsia" w:ascii="Times New Roman" w:hAnsi="Times New Roman"/>
          <w:sz w:val="24"/>
          <w:szCs w:val="24"/>
        </w:rPr>
        <w:t>Ruiqi Liu</w:t>
      </w:r>
      <w:r>
        <w:rPr>
          <w:rFonts w:ascii="Times New Roman" w:hAnsi="Times New Roman"/>
          <w:sz w:val="24"/>
          <w:szCs w:val="24"/>
          <w:vertAlign w:val="superscript"/>
        </w:rPr>
        <w:t>1</w:t>
      </w:r>
      <w:r>
        <w:rPr>
          <w:rFonts w:ascii="Times New Roman" w:hAnsi="Times New Roman"/>
          <w:sz w:val="24"/>
          <w:szCs w:val="24"/>
        </w:rPr>
        <w:t>,</w:t>
      </w:r>
      <w:r>
        <w:rPr>
          <w:rFonts w:hint="eastAsia" w:ascii="Times New Roman" w:hAnsi="Times New Roman"/>
          <w:sz w:val="24"/>
          <w:szCs w:val="24"/>
        </w:rPr>
        <w:t xml:space="preserve"> </w:t>
      </w:r>
      <w:r>
        <w:rPr>
          <w:rFonts w:ascii="Times New Roman" w:hAnsi="Times New Roman"/>
          <w:sz w:val="24"/>
          <w:szCs w:val="24"/>
        </w:rPr>
        <w:t>Simon Ming-yuen Lee</w:t>
      </w:r>
      <w:r>
        <w:rPr>
          <w:rFonts w:ascii="Times New Roman" w:hAnsi="Times New Roman"/>
          <w:sz w:val="24"/>
          <w:szCs w:val="24"/>
          <w:vertAlign w:val="superscript"/>
        </w:rPr>
        <w:t>4</w:t>
      </w:r>
      <w:r>
        <w:rPr>
          <w:rFonts w:ascii="Times New Roman" w:hAnsi="Times New Roman"/>
          <w:sz w:val="24"/>
          <w:szCs w:val="24"/>
        </w:rPr>
        <w:t>, Huanming Yang</w:t>
      </w:r>
      <w:r>
        <w:rPr>
          <w:rFonts w:ascii="Times New Roman" w:hAnsi="Times New Roman"/>
          <w:sz w:val="24"/>
          <w:szCs w:val="24"/>
          <w:vertAlign w:val="superscript"/>
        </w:rPr>
        <w:t>2</w:t>
      </w:r>
      <w:r>
        <w:rPr>
          <w:rFonts w:ascii="Times New Roman" w:hAnsi="Times New Roman"/>
          <w:sz w:val="24"/>
          <w:szCs w:val="24"/>
        </w:rPr>
        <w:t>, Guangyi Fan</w:t>
      </w:r>
      <w:r>
        <w:rPr>
          <w:rFonts w:ascii="Times New Roman" w:hAnsi="Times New Roman"/>
          <w:sz w:val="24"/>
          <w:szCs w:val="24"/>
          <w:vertAlign w:val="superscript"/>
        </w:rPr>
        <w:t>2,4</w:t>
      </w:r>
      <w:r>
        <w:rPr>
          <w:rFonts w:ascii="Times New Roman" w:hAnsi="Times New Roman"/>
          <w:sz w:val="24"/>
          <w:szCs w:val="24"/>
        </w:rPr>
        <w:t>, Ye Yin</w:t>
      </w:r>
      <w:r>
        <w:rPr>
          <w:rFonts w:ascii="Times New Roman" w:hAnsi="Times New Roman"/>
          <w:sz w:val="24"/>
          <w:szCs w:val="24"/>
          <w:vertAlign w:val="superscript"/>
        </w:rPr>
        <w:t>2</w:t>
      </w:r>
      <w:r>
        <w:rPr>
          <w:rFonts w:ascii="Times New Roman" w:hAnsi="Times New Roman"/>
          <w:sz w:val="24"/>
          <w:szCs w:val="24"/>
        </w:rPr>
        <w:t>, Karsten Kristiansen</w:t>
      </w:r>
      <w:r>
        <w:rPr>
          <w:rFonts w:ascii="Times New Roman" w:hAnsi="Times New Roman"/>
          <w:sz w:val="24"/>
          <w:szCs w:val="24"/>
          <w:vertAlign w:val="superscript"/>
        </w:rPr>
        <w:t>2,3,*</w:t>
      </w:r>
      <w:r>
        <w:rPr>
          <w:rFonts w:ascii="Times New Roman" w:hAnsi="Times New Roman"/>
          <w:sz w:val="24"/>
          <w:szCs w:val="24"/>
        </w:rPr>
        <w:t>, Chuang Xue</w:t>
      </w:r>
      <w:r>
        <w:rPr>
          <w:rFonts w:ascii="Times New Roman" w:hAnsi="Times New Roman"/>
          <w:sz w:val="24"/>
          <w:szCs w:val="24"/>
          <w:vertAlign w:val="superscript"/>
        </w:rPr>
        <w:t>1,5,10,*</w:t>
      </w:r>
    </w:p>
    <w:p w14:paraId="2FF801B4">
      <w:pPr>
        <w:widowControl/>
        <w:adjustRightInd w:val="0"/>
        <w:snapToGrid w:val="0"/>
        <w:spacing w:line="360" w:lineRule="auto"/>
        <w:rPr>
          <w:rFonts w:ascii="Times New Roman" w:hAnsi="Times New Roman"/>
          <w:sz w:val="24"/>
          <w:szCs w:val="24"/>
          <w:vertAlign w:val="superscript"/>
        </w:rPr>
      </w:pPr>
    </w:p>
    <w:p w14:paraId="58662CDC">
      <w:pPr>
        <w:widowControl/>
        <w:adjustRightInd w:val="0"/>
        <w:snapToGrid w:val="0"/>
        <w:spacing w:line="360" w:lineRule="auto"/>
        <w:rPr>
          <w:rFonts w:ascii="Times New Roman" w:hAnsi="Times New Roman" w:eastAsia="MS Mincho" w:cs="Times New Roman"/>
          <w:kern w:val="0"/>
          <w:sz w:val="24"/>
          <w:szCs w:val="24"/>
          <w:lang w:eastAsia="ja-JP"/>
        </w:rPr>
      </w:pPr>
      <w:r>
        <w:rPr>
          <w:rFonts w:ascii="Times New Roman" w:hAnsi="Times New Roman" w:eastAsia="宋体" w:cs="Times New Roman"/>
          <w:kern w:val="0"/>
          <w:sz w:val="24"/>
          <w:szCs w:val="24"/>
          <w:vertAlign w:val="superscript"/>
        </w:rPr>
        <w:t>1</w:t>
      </w:r>
      <w:r>
        <w:rPr>
          <w:rFonts w:ascii="Times New Roman" w:hAnsi="Times New Roman" w:eastAsia="MS Mincho" w:cs="Times New Roman"/>
          <w:kern w:val="0"/>
          <w:sz w:val="24"/>
          <w:szCs w:val="24"/>
          <w:vertAlign w:val="superscript"/>
          <w:lang w:eastAsia="ja-JP"/>
        </w:rPr>
        <w:t xml:space="preserve"> </w:t>
      </w:r>
      <w:r>
        <w:rPr>
          <w:rFonts w:hint="eastAsia" w:ascii="Times New Roman" w:hAnsi="Times New Roman" w:eastAsia="MS Mincho" w:cs="Times New Roman"/>
          <w:kern w:val="0"/>
          <w:sz w:val="24"/>
          <w:szCs w:val="24"/>
          <w:vertAlign w:val="baseline"/>
          <w:lang w:eastAsia="ja-JP"/>
        </w:rPr>
        <w:t>MOE Key Laboratory of Bio-Intelligent Manufacturin</w:t>
      </w:r>
      <w:bookmarkStart w:id="2" w:name="_GoBack"/>
      <w:bookmarkEnd w:id="2"/>
      <w:r>
        <w:rPr>
          <w:rFonts w:hint="eastAsia" w:ascii="Times New Roman" w:hAnsi="Times New Roman" w:eastAsia="MS Mincho" w:cs="Times New Roman"/>
          <w:kern w:val="0"/>
          <w:sz w:val="24"/>
          <w:szCs w:val="24"/>
          <w:vertAlign w:val="baseline"/>
          <w:lang w:eastAsia="ja-JP"/>
        </w:rPr>
        <w:t>g,</w:t>
      </w:r>
      <w:r>
        <w:rPr>
          <w:rFonts w:hint="eastAsia" w:ascii="Times New Roman" w:hAnsi="Times New Roman" w:eastAsia="宋体" w:cs="Times New Roman"/>
          <w:kern w:val="0"/>
          <w:sz w:val="24"/>
          <w:szCs w:val="24"/>
          <w:vertAlign w:val="baseline"/>
          <w:lang w:val="en-US" w:eastAsia="zh-CN"/>
        </w:rPr>
        <w:t xml:space="preserve"> </w:t>
      </w:r>
      <w:r>
        <w:rPr>
          <w:rFonts w:ascii="Times New Roman" w:hAnsi="Times New Roman" w:eastAsia="MS Mincho" w:cs="Times New Roman"/>
          <w:kern w:val="0"/>
          <w:sz w:val="24"/>
          <w:szCs w:val="24"/>
          <w:lang w:eastAsia="ja-JP"/>
        </w:rPr>
        <w:t>State Key Laboratory of Fine Chemicals, Frontiers Science Centre for Smart Materials Oriented Chemical Engineering, School of Bioengineering, Dalian University of Technology, Dalian 116024, China</w:t>
      </w:r>
    </w:p>
    <w:p w14:paraId="62D3CA6D">
      <w:pPr>
        <w:widowControl/>
        <w:adjustRightInd w:val="0"/>
        <w:snapToGrid w:val="0"/>
        <w:spacing w:line="360" w:lineRule="auto"/>
        <w:rPr>
          <w:rFonts w:ascii="Times New Roman" w:hAnsi="Times New Roman" w:eastAsia="MS Mincho" w:cs="Times New Roman"/>
          <w:kern w:val="0"/>
          <w:sz w:val="24"/>
          <w:szCs w:val="24"/>
          <w:lang w:eastAsia="ja-JP"/>
        </w:rPr>
      </w:pPr>
      <w:r>
        <w:rPr>
          <w:rFonts w:ascii="Times New Roman" w:hAnsi="Times New Roman" w:eastAsia="MS Mincho" w:cs="Times New Roman"/>
          <w:kern w:val="0"/>
          <w:sz w:val="24"/>
          <w:szCs w:val="24"/>
          <w:vertAlign w:val="superscript"/>
          <w:lang w:eastAsia="ja-JP"/>
        </w:rPr>
        <w:t xml:space="preserve">2 </w:t>
      </w:r>
      <w:r>
        <w:rPr>
          <w:rFonts w:ascii="Times New Roman" w:hAnsi="Times New Roman" w:eastAsia="MS Mincho" w:cs="Times New Roman"/>
          <w:kern w:val="0"/>
          <w:sz w:val="24"/>
          <w:szCs w:val="24"/>
          <w:lang w:eastAsia="ja-JP"/>
        </w:rPr>
        <w:t>State Key Laboratory of Genome and Multi-omics Technologies, BGI Research, Shenzhen 518083, China</w:t>
      </w:r>
    </w:p>
    <w:p w14:paraId="7209994D">
      <w:pPr>
        <w:widowControl/>
        <w:adjustRightInd w:val="0"/>
        <w:snapToGrid w:val="0"/>
        <w:spacing w:line="360" w:lineRule="auto"/>
        <w:rPr>
          <w:rFonts w:ascii="Times New Roman" w:hAnsi="Times New Roman" w:eastAsia="MS Mincho" w:cs="Times New Roman"/>
          <w:kern w:val="0"/>
          <w:sz w:val="24"/>
          <w:szCs w:val="24"/>
          <w:lang w:eastAsia="ja-JP"/>
        </w:rPr>
      </w:pPr>
      <w:r>
        <w:rPr>
          <w:rFonts w:ascii="Times New Roman" w:hAnsi="Times New Roman" w:eastAsia="MS Mincho" w:cs="Times New Roman"/>
          <w:kern w:val="0"/>
          <w:sz w:val="24"/>
          <w:szCs w:val="24"/>
          <w:vertAlign w:val="superscript"/>
          <w:lang w:eastAsia="ja-JP"/>
        </w:rPr>
        <w:t xml:space="preserve">3 </w:t>
      </w:r>
      <w:r>
        <w:rPr>
          <w:rFonts w:ascii="Times New Roman" w:hAnsi="Times New Roman" w:eastAsia="MS Mincho" w:cs="Times New Roman"/>
          <w:kern w:val="0"/>
          <w:sz w:val="24"/>
          <w:szCs w:val="24"/>
          <w:lang w:eastAsia="ja-JP"/>
        </w:rPr>
        <w:t>Laboratory of Integrative Biomedicine, Department of Biology, University of Copenhagen, Copenhagen 2100, Denmark</w:t>
      </w:r>
    </w:p>
    <w:p w14:paraId="754B19C7">
      <w:pPr>
        <w:widowControl/>
        <w:adjustRightInd w:val="0"/>
        <w:snapToGrid w:val="0"/>
        <w:spacing w:line="360" w:lineRule="auto"/>
        <w:rPr>
          <w:rFonts w:ascii="Times New Roman" w:hAnsi="Times New Roman" w:eastAsia="MS Mincho" w:cs="Times New Roman"/>
          <w:kern w:val="0"/>
          <w:sz w:val="24"/>
          <w:szCs w:val="24"/>
          <w:lang w:eastAsia="ja-JP"/>
        </w:rPr>
      </w:pPr>
      <w:r>
        <w:rPr>
          <w:rFonts w:ascii="Times New Roman" w:hAnsi="Times New Roman" w:eastAsia="宋体" w:cs="Times New Roman"/>
          <w:kern w:val="0"/>
          <w:sz w:val="24"/>
          <w:szCs w:val="24"/>
          <w:vertAlign w:val="superscript"/>
          <w:lang w:eastAsia="ja-JP"/>
        </w:rPr>
        <w:t xml:space="preserve">4 </w:t>
      </w:r>
      <w:r>
        <w:rPr>
          <w:rFonts w:ascii="Times New Roman" w:hAnsi="Times New Roman" w:eastAsia="宋体" w:cs="Times New Roman"/>
          <w:kern w:val="0"/>
          <w:sz w:val="24"/>
          <w:szCs w:val="24"/>
          <w:lang w:eastAsia="ja-JP"/>
        </w:rPr>
        <w:t>Department of Food Science and Nutrition, and PolyU-BGI Joint Research Centre for Genomics and Synthetic Biology in Global Ocean Resources, The Hong Kong Polytechnic University, Hong Kong, China</w:t>
      </w:r>
    </w:p>
    <w:p w14:paraId="5D28DC68">
      <w:pPr>
        <w:widowControl/>
        <w:adjustRightInd w:val="0"/>
        <w:snapToGrid w:val="0"/>
        <w:spacing w:line="360" w:lineRule="auto"/>
        <w:rPr>
          <w:rFonts w:ascii="Times New Roman" w:hAnsi="Times New Roman" w:eastAsia="MS Mincho" w:cs="Times New Roman"/>
          <w:kern w:val="0"/>
          <w:sz w:val="24"/>
          <w:szCs w:val="24"/>
          <w:lang w:eastAsia="ja-JP"/>
        </w:rPr>
      </w:pPr>
      <w:r>
        <w:rPr>
          <w:rFonts w:ascii="Times New Roman" w:hAnsi="Times New Roman" w:eastAsia="宋体" w:cs="Times New Roman"/>
          <w:kern w:val="0"/>
          <w:sz w:val="24"/>
          <w:szCs w:val="24"/>
          <w:vertAlign w:val="superscript"/>
        </w:rPr>
        <w:t>5</w:t>
      </w:r>
      <w:r>
        <w:rPr>
          <w:rFonts w:ascii="Times New Roman" w:hAnsi="Times New Roman" w:eastAsia="宋体" w:cs="Times New Roman"/>
          <w:kern w:val="0"/>
          <w:sz w:val="24"/>
          <w:szCs w:val="24"/>
          <w:vertAlign w:val="superscript"/>
          <w:lang w:eastAsia="ja-JP"/>
        </w:rPr>
        <w:t xml:space="preserve"> </w:t>
      </w:r>
      <w:r>
        <w:rPr>
          <w:rFonts w:ascii="Times New Roman" w:hAnsi="Times New Roman" w:eastAsia="宋体" w:cs="Times New Roman"/>
          <w:kern w:val="0"/>
          <w:sz w:val="24"/>
          <w:szCs w:val="24"/>
          <w:lang w:eastAsia="ja-JP"/>
        </w:rPr>
        <w:t>Ningbo Institute of Dalian University of Technology, Ningbo 315016, China</w:t>
      </w:r>
    </w:p>
    <w:p w14:paraId="039C5807">
      <w:pPr>
        <w:widowControl/>
        <w:adjustRightInd w:val="0"/>
        <w:snapToGrid w:val="0"/>
        <w:spacing w:line="360" w:lineRule="auto"/>
        <w:rPr>
          <w:rFonts w:ascii="Times New Roman" w:hAnsi="Times New Roman" w:eastAsia="宋体" w:cs="Times New Roman"/>
          <w:kern w:val="0"/>
          <w:sz w:val="24"/>
          <w:szCs w:val="24"/>
        </w:rPr>
      </w:pPr>
      <w:r>
        <w:rPr>
          <w:rFonts w:ascii="Times New Roman" w:hAnsi="Times New Roman" w:eastAsia="宋体" w:cs="Times New Roman"/>
          <w:kern w:val="0"/>
          <w:sz w:val="24"/>
          <w:szCs w:val="24"/>
          <w:vertAlign w:val="superscript"/>
        </w:rPr>
        <w:t>6</w:t>
      </w:r>
      <w:r>
        <w:rPr>
          <w:rFonts w:ascii="Times New Roman" w:hAnsi="Times New Roman" w:eastAsia="宋体" w:cs="Times New Roman"/>
          <w:kern w:val="0"/>
          <w:sz w:val="24"/>
          <w:szCs w:val="24"/>
          <w:vertAlign w:val="superscript"/>
          <w:lang w:eastAsia="ja-JP"/>
        </w:rPr>
        <w:t xml:space="preserve"> </w:t>
      </w:r>
      <w:r>
        <w:rPr>
          <w:rFonts w:ascii="Times New Roman" w:hAnsi="Times New Roman" w:eastAsia="宋体" w:cs="Times New Roman"/>
          <w:kern w:val="0"/>
          <w:sz w:val="24"/>
          <w:szCs w:val="24"/>
          <w:lang w:eastAsia="ja-JP"/>
        </w:rPr>
        <w:t>Laboratory of High-Resolution Mass Spectrometry Technologies, State Key Laboratory of Molecular Reaction Dynamics, Dalian Institute of Chemical Physics, Chinese Academy of Sciences</w:t>
      </w:r>
      <w:r>
        <w:rPr>
          <w:rFonts w:ascii="Times New Roman" w:hAnsi="Times New Roman" w:eastAsia="宋体" w:cs="Times New Roman"/>
          <w:kern w:val="0"/>
          <w:sz w:val="24"/>
          <w:szCs w:val="24"/>
        </w:rPr>
        <w:t>, Dalian, 116023, China</w:t>
      </w:r>
    </w:p>
    <w:p w14:paraId="1FE9BAA5">
      <w:pPr>
        <w:widowControl/>
        <w:adjustRightInd w:val="0"/>
        <w:snapToGrid w:val="0"/>
        <w:spacing w:line="360" w:lineRule="auto"/>
        <w:rPr>
          <w:rFonts w:ascii="Times New Roman" w:hAnsi="Times New Roman" w:eastAsia="宋体" w:cs="Times New Roman"/>
          <w:kern w:val="0"/>
          <w:sz w:val="24"/>
          <w:szCs w:val="24"/>
        </w:rPr>
      </w:pPr>
      <w:r>
        <w:rPr>
          <w:rFonts w:ascii="Times New Roman" w:hAnsi="Times New Roman" w:eastAsia="宋体" w:cs="Times New Roman"/>
          <w:kern w:val="0"/>
          <w:sz w:val="24"/>
          <w:szCs w:val="24"/>
          <w:vertAlign w:val="superscript"/>
        </w:rPr>
        <w:t>7</w:t>
      </w:r>
      <w:r>
        <w:rPr>
          <w:rFonts w:ascii="Times New Roman" w:hAnsi="Times New Roman" w:eastAsia="宋体" w:cs="Times New Roman"/>
          <w:kern w:val="0"/>
          <w:sz w:val="24"/>
          <w:szCs w:val="24"/>
          <w:vertAlign w:val="superscript"/>
          <w:lang w:eastAsia="ja-JP"/>
        </w:rPr>
        <w:t xml:space="preserve"> </w:t>
      </w:r>
      <w:r>
        <w:rPr>
          <w:rFonts w:ascii="Times New Roman" w:hAnsi="Times New Roman" w:eastAsia="宋体" w:cs="Times New Roman"/>
          <w:kern w:val="0"/>
          <w:sz w:val="24"/>
          <w:szCs w:val="24"/>
          <w:lang w:eastAsia="ja-JP"/>
        </w:rPr>
        <w:t>State Key Laboratory of Molecular Reaction Dynamics, University of Chinese Academy of Sciences</w:t>
      </w:r>
      <w:r>
        <w:rPr>
          <w:rFonts w:ascii="Times New Roman" w:hAnsi="Times New Roman" w:eastAsia="宋体" w:cs="Times New Roman"/>
          <w:kern w:val="0"/>
          <w:sz w:val="24"/>
          <w:szCs w:val="24"/>
        </w:rPr>
        <w:t xml:space="preserve">, </w:t>
      </w:r>
      <w:r>
        <w:rPr>
          <w:rFonts w:ascii="Times New Roman" w:hAnsi="Times New Roman" w:eastAsia="宋体" w:cs="Times New Roman"/>
          <w:kern w:val="0"/>
          <w:sz w:val="24"/>
          <w:szCs w:val="24"/>
          <w:lang w:eastAsia="ja-JP"/>
        </w:rPr>
        <w:t>Beijing 100049, China</w:t>
      </w:r>
      <w:r>
        <w:rPr>
          <w:rFonts w:ascii="Times New Roman" w:hAnsi="Times New Roman" w:eastAsia="宋体" w:cs="Times New Roman"/>
          <w:kern w:val="0"/>
          <w:sz w:val="24"/>
          <w:szCs w:val="24"/>
        </w:rPr>
        <w:t>.</w:t>
      </w:r>
    </w:p>
    <w:p w14:paraId="64AA04F6">
      <w:pPr>
        <w:widowControl/>
        <w:adjustRightInd w:val="0"/>
        <w:snapToGrid w:val="0"/>
        <w:spacing w:line="360" w:lineRule="auto"/>
        <w:rPr>
          <w:rFonts w:ascii="Times New Roman" w:hAnsi="Times New Roman" w:eastAsia="宋体" w:cs="Times New Roman"/>
          <w:kern w:val="0"/>
          <w:sz w:val="24"/>
          <w:szCs w:val="24"/>
        </w:rPr>
      </w:pPr>
      <w:r>
        <w:rPr>
          <w:rFonts w:ascii="Times New Roman" w:hAnsi="Times New Roman" w:eastAsia="宋体" w:cs="Times New Roman"/>
          <w:kern w:val="0"/>
          <w:sz w:val="24"/>
          <w:szCs w:val="24"/>
          <w:vertAlign w:val="superscript"/>
        </w:rPr>
        <w:t>8</w:t>
      </w:r>
      <w:r>
        <w:rPr>
          <w:rFonts w:ascii="Times New Roman" w:hAnsi="Times New Roman" w:eastAsia="宋体" w:cs="Times New Roman"/>
          <w:kern w:val="0"/>
          <w:sz w:val="24"/>
          <w:szCs w:val="24"/>
        </w:rPr>
        <w:t xml:space="preserve"> Princeton University, Princeton, NJ 08544, USA.</w:t>
      </w:r>
    </w:p>
    <w:p w14:paraId="698D33F8">
      <w:pPr>
        <w:widowControl/>
        <w:adjustRightInd w:val="0"/>
        <w:snapToGrid w:val="0"/>
        <w:spacing w:line="360" w:lineRule="auto"/>
        <w:ind w:left="425" w:hanging="425"/>
        <w:contextualSpacing/>
        <w:rPr>
          <w:rFonts w:ascii="Times New Roman" w:hAnsi="Times New Roman" w:eastAsia="MS Mincho" w:cs="Times New Roman"/>
          <w:kern w:val="0"/>
          <w:sz w:val="24"/>
          <w:szCs w:val="24"/>
        </w:rPr>
      </w:pPr>
      <w:r>
        <w:rPr>
          <w:rFonts w:ascii="Times New Roman" w:hAnsi="Times New Roman" w:cs="Times New Roman"/>
          <w:kern w:val="0"/>
          <w:sz w:val="24"/>
          <w:szCs w:val="24"/>
          <w:vertAlign w:val="superscript"/>
        </w:rPr>
        <w:t>9</w:t>
      </w:r>
      <w:r>
        <w:rPr>
          <w:rFonts w:ascii="Times New Roman" w:hAnsi="Times New Roman" w:eastAsia="MS Mincho" w:cs="Times New Roman"/>
          <w:kern w:val="0"/>
          <w:sz w:val="24"/>
          <w:szCs w:val="24"/>
        </w:rPr>
        <w:t xml:space="preserve"> These authors contributed equally to this work.</w:t>
      </w:r>
    </w:p>
    <w:p w14:paraId="690FB2CB">
      <w:pPr>
        <w:widowControl/>
        <w:snapToGrid w:val="0"/>
        <w:spacing w:line="360" w:lineRule="auto"/>
        <w:rPr>
          <w:rFonts w:ascii="Times New Roman" w:hAnsi="Times New Roman" w:eastAsia="MS Mincho" w:cs="Times New Roman"/>
          <w:color w:val="000000"/>
          <w:kern w:val="0"/>
          <w:sz w:val="24"/>
          <w:szCs w:val="24"/>
          <w:lang w:eastAsia="ja-JP"/>
        </w:rPr>
      </w:pPr>
      <w:r>
        <w:rPr>
          <w:rFonts w:ascii="Times New Roman" w:hAnsi="Times New Roman" w:cs="Times New Roman"/>
          <w:color w:val="000000"/>
          <w:kern w:val="0"/>
          <w:sz w:val="24"/>
          <w:szCs w:val="24"/>
          <w:vertAlign w:val="superscript"/>
        </w:rPr>
        <w:t>10</w:t>
      </w:r>
      <w:r>
        <w:rPr>
          <w:rFonts w:hint="eastAsia" w:ascii="Times New Roman" w:hAnsi="Times New Roman" w:cs="Times New Roman"/>
          <w:color w:val="000000"/>
          <w:kern w:val="0"/>
          <w:sz w:val="24"/>
          <w:szCs w:val="24"/>
          <w:vertAlign w:val="superscript"/>
        </w:rPr>
        <w:t xml:space="preserve"> </w:t>
      </w:r>
      <w:r>
        <w:rPr>
          <w:rFonts w:ascii="Times New Roman" w:hAnsi="Times New Roman" w:eastAsia="MS Mincho" w:cs="Times New Roman"/>
          <w:color w:val="000000"/>
          <w:kern w:val="0"/>
          <w:sz w:val="24"/>
          <w:szCs w:val="24"/>
          <w:lang w:eastAsia="ja-JP"/>
        </w:rPr>
        <w:t>Lead contact</w:t>
      </w:r>
    </w:p>
    <w:p w14:paraId="1A4AFFB3">
      <w:pPr>
        <w:widowControl/>
        <w:adjustRightInd w:val="0"/>
        <w:snapToGrid w:val="0"/>
        <w:spacing w:line="360" w:lineRule="auto"/>
        <w:ind w:left="425" w:hanging="425"/>
        <w:contextualSpacing/>
        <w:rPr>
          <w:rFonts w:ascii="Times New Roman" w:hAnsi="Times New Roman" w:eastAsia="MS Mincho" w:cs="Times New Roman"/>
          <w:kern w:val="0"/>
          <w:sz w:val="24"/>
          <w:szCs w:val="24"/>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eastAsia="MS Mincho" w:cs="Times New Roman"/>
          <w:kern w:val="0"/>
          <w:sz w:val="24"/>
          <w:szCs w:val="24"/>
          <w:vertAlign w:val="superscript"/>
        </w:rPr>
        <w:t>*</w:t>
      </w:r>
      <w:r>
        <w:rPr>
          <w:rFonts w:ascii="Times New Roman" w:hAnsi="Times New Roman" w:eastAsia="MS Mincho" w:cs="Times New Roman"/>
          <w:kern w:val="0"/>
          <w:sz w:val="24"/>
          <w:szCs w:val="24"/>
        </w:rPr>
        <w:t xml:space="preserve"> Correspondence: </w:t>
      </w:r>
      <w:r>
        <w:fldChar w:fldCharType="begin"/>
      </w:r>
      <w:r>
        <w:instrText xml:space="preserve"> HYPERLINK "mailto:kk@bio.ku.dk" </w:instrText>
      </w:r>
      <w:r>
        <w:fldChar w:fldCharType="separate"/>
      </w:r>
      <w:r>
        <w:rPr>
          <w:rFonts w:ascii="Times New Roman" w:hAnsi="Times New Roman" w:eastAsia="MS Mincho" w:cs="Times New Roman"/>
          <w:color w:val="0563C1"/>
          <w:kern w:val="0"/>
          <w:sz w:val="24"/>
          <w:szCs w:val="24"/>
          <w:u w:val="single"/>
        </w:rPr>
        <w:t>kk@bio.ku.dk</w:t>
      </w:r>
      <w:r>
        <w:rPr>
          <w:rFonts w:ascii="Times New Roman" w:hAnsi="Times New Roman" w:eastAsia="MS Mincho" w:cs="Times New Roman"/>
          <w:color w:val="0563C1"/>
          <w:kern w:val="0"/>
          <w:sz w:val="24"/>
          <w:szCs w:val="24"/>
          <w:u w:val="single"/>
        </w:rPr>
        <w:fldChar w:fldCharType="end"/>
      </w:r>
      <w:r>
        <w:rPr>
          <w:rFonts w:ascii="Times New Roman" w:hAnsi="Times New Roman" w:eastAsia="MS Mincho" w:cs="Times New Roman"/>
          <w:kern w:val="0"/>
          <w:sz w:val="24"/>
          <w:szCs w:val="24"/>
        </w:rPr>
        <w:t xml:space="preserve">, </w:t>
      </w:r>
      <w:r>
        <w:fldChar w:fldCharType="begin"/>
      </w:r>
      <w:r>
        <w:instrText xml:space="preserve"> HYPERLINK "mailto:xue.1@dlut.edu.cn" </w:instrText>
      </w:r>
      <w:r>
        <w:fldChar w:fldCharType="separate"/>
      </w:r>
      <w:r>
        <w:rPr>
          <w:rFonts w:ascii="Times New Roman" w:hAnsi="Times New Roman" w:eastAsia="MS Mincho" w:cs="Times New Roman"/>
          <w:color w:val="0563C1"/>
          <w:kern w:val="0"/>
          <w:sz w:val="24"/>
          <w:szCs w:val="24"/>
          <w:u w:val="single"/>
        </w:rPr>
        <w:t>xue.1@dlut.edu.cn</w:t>
      </w:r>
      <w:r>
        <w:rPr>
          <w:rFonts w:ascii="Times New Roman" w:hAnsi="Times New Roman" w:eastAsia="MS Mincho" w:cs="Times New Roman"/>
          <w:color w:val="0563C1"/>
          <w:kern w:val="0"/>
          <w:sz w:val="24"/>
          <w:szCs w:val="24"/>
          <w:u w:val="single"/>
        </w:rPr>
        <w:fldChar w:fldCharType="end"/>
      </w:r>
      <w:r>
        <w:rPr>
          <w:rFonts w:ascii="Times New Roman" w:hAnsi="Times New Roman" w:eastAsia="MS Mincho" w:cs="Times New Roman"/>
          <w:kern w:val="0"/>
          <w:sz w:val="24"/>
          <w:szCs w:val="24"/>
        </w:rPr>
        <w:t xml:space="preserve"> </w:t>
      </w:r>
    </w:p>
    <w:bookmarkEnd w:id="1"/>
    <w:p w14:paraId="4A40235C">
      <w:pPr>
        <w:pStyle w:val="51"/>
        <w:adjustRightInd w:val="0"/>
        <w:spacing w:before="0" w:after="0" w:line="360" w:lineRule="auto"/>
        <w:contextualSpacing/>
        <w:outlineLvl w:val="0"/>
        <w:rPr>
          <w:rFonts w:ascii="Times New Roman" w:hAnsi="Times New Roman" w:eastAsiaTheme="minorEastAsia"/>
          <w:sz w:val="24"/>
          <w:lang w:eastAsia="zh-CN"/>
        </w:rPr>
      </w:pPr>
      <w:r>
        <w:rPr>
          <w:rFonts w:ascii="Times New Roman" w:hAnsi="Times New Roman"/>
          <w:sz w:val="24"/>
          <w:lang w:eastAsia="zh-CN"/>
        </w:rPr>
        <w:t>Supplementa</w:t>
      </w:r>
      <w:r>
        <w:rPr>
          <w:rFonts w:hint="eastAsia" w:ascii="Times New Roman" w:hAnsi="Times New Roman"/>
          <w:sz w:val="24"/>
          <w:lang w:val="en-US" w:eastAsia="zh-CN"/>
        </w:rPr>
        <w:t>ry</w:t>
      </w:r>
      <w:r>
        <w:rPr>
          <w:rFonts w:ascii="Times New Roman" w:hAnsi="Times New Roman"/>
          <w:sz w:val="24"/>
          <w:lang w:eastAsia="zh-CN"/>
        </w:rPr>
        <w:t xml:space="preserve"> </w:t>
      </w:r>
      <w:r>
        <w:rPr>
          <w:rFonts w:ascii="Times New Roman" w:hAnsi="Times New Roman"/>
          <w:sz w:val="24"/>
        </w:rPr>
        <w:t>Figure</w:t>
      </w:r>
      <w:r>
        <w:rPr>
          <w:rFonts w:ascii="Times New Roman" w:hAnsi="Times New Roman"/>
          <w:sz w:val="24"/>
          <w:lang w:eastAsia="zh-CN"/>
        </w:rPr>
        <w:t>s</w:t>
      </w:r>
    </w:p>
    <w:p w14:paraId="19995624">
      <w:pPr>
        <w:adjustRightInd w:val="0"/>
        <w:snapToGrid w:val="0"/>
        <w:contextualSpacing/>
        <w:jc w:val="center"/>
        <w:rPr>
          <w:rFonts w:ascii="Times New Roman" w:hAnsi="Times New Roman" w:cs="Times New Roman"/>
          <w:b/>
          <w:bCs/>
        </w:rPr>
      </w:pPr>
      <w:r>
        <w:rPr>
          <w:rFonts w:hint="eastAsia" w:ascii="Times New Roman" w:hAnsi="Times New Roman" w:cs="Times New Roman"/>
          <w:b/>
          <w:bCs/>
        </w:rPr>
        <w:drawing>
          <wp:inline distT="0" distB="0" distL="114300" distR="114300">
            <wp:extent cx="5273675" cy="2433955"/>
            <wp:effectExtent l="0" t="0" r="3175" b="4445"/>
            <wp:docPr id="4" name="图片 4" descr="Extended Data 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xtended Data Fig. 1"/>
                    <pic:cNvPicPr>
                      <a:picLocks noChangeAspect="1"/>
                    </pic:cNvPicPr>
                  </pic:nvPicPr>
                  <pic:blipFill>
                    <a:blip r:embed="rId5"/>
                    <a:stretch>
                      <a:fillRect/>
                    </a:stretch>
                  </pic:blipFill>
                  <pic:spPr>
                    <a:xfrm>
                      <a:off x="0" y="0"/>
                      <a:ext cx="5273675" cy="2433955"/>
                    </a:xfrm>
                    <a:prstGeom prst="rect">
                      <a:avLst/>
                    </a:prstGeom>
                  </pic:spPr>
                </pic:pic>
              </a:graphicData>
            </a:graphic>
          </wp:inline>
        </w:drawing>
      </w:r>
    </w:p>
    <w:p w14:paraId="2A8A7520">
      <w:pPr>
        <w:adjustRightInd w:val="0"/>
        <w:snapToGrid w:val="0"/>
        <w:contextualSpacing/>
        <w:outlineLvl w:val="1"/>
        <w:rPr>
          <w:rFonts w:ascii="Times New Roman" w:hAnsi="Times New Roman" w:cs="Times New Roman"/>
          <w:sz w:val="24"/>
          <w:szCs w:val="24"/>
        </w:rPr>
      </w:pPr>
      <w:r>
        <w:rPr>
          <w:rFonts w:ascii="Times New Roman" w:hAnsi="Times New Roman"/>
          <w:b/>
          <w:bCs/>
          <w:sz w:val="24"/>
        </w:rPr>
        <w:t>Extended Data Fig. 1</w:t>
      </w:r>
      <w:r>
        <w:rPr>
          <w:rFonts w:hint="eastAsia" w:ascii="宋体" w:hAnsi="宋体"/>
          <w:b/>
        </w:rPr>
        <w:t>∣</w:t>
      </w:r>
      <w:r>
        <w:rPr>
          <w:rFonts w:ascii="Times New Roman" w:hAnsi="Times New Roman" w:cs="Times New Roman"/>
          <w:b/>
          <w:bCs/>
          <w:sz w:val="24"/>
          <w:szCs w:val="24"/>
        </w:rPr>
        <w:t>Comparison of quorum‑sensing systems in Gram‑positive and Gram‑negative</w:t>
      </w:r>
      <w:r>
        <w:rPr>
          <w:rFonts w:hint="eastAsia" w:ascii="Times New Roman" w:hAnsi="Times New Roman" w:cs="Times New Roman"/>
          <w:b/>
          <w:bCs/>
          <w:sz w:val="24"/>
          <w:szCs w:val="24"/>
        </w:rPr>
        <w:t xml:space="preserve"> bacteria. </w:t>
      </w:r>
      <w:r>
        <w:rPr>
          <w:rFonts w:ascii="Times New Roman" w:hAnsi="Times New Roman" w:cs="Times New Roman"/>
          <w:sz w:val="24"/>
        </w:rPr>
        <w:t xml:space="preserve">Quorum sensing (QS) in Gram‑positive bacteria </w:t>
      </w:r>
      <w:r>
        <w:rPr>
          <w:rFonts w:hint="eastAsia" w:ascii="Times New Roman" w:hAnsi="Times New Roman" w:cs="Times New Roman"/>
          <w:sz w:val="24"/>
        </w:rPr>
        <w:t xml:space="preserve">commonly </w:t>
      </w:r>
      <w:r>
        <w:rPr>
          <w:rFonts w:ascii="Times New Roman" w:hAnsi="Times New Roman" w:cs="Times New Roman"/>
          <w:sz w:val="24"/>
        </w:rPr>
        <w:t>employs autoinducing peptides (AIPs) with diverse architectures (left). Four canonical systems are highlighted:</w:t>
      </w:r>
      <w:r>
        <w:rPr>
          <w:rFonts w:hint="eastAsia" w:ascii="Times New Roman" w:hAnsi="Times New Roman" w:cs="Times New Roman"/>
          <w:sz w:val="24"/>
        </w:rPr>
        <w:t xml:space="preserve"> </w:t>
      </w:r>
      <w:r>
        <w:rPr>
          <w:rFonts w:hint="eastAsia" w:ascii="Times New Roman" w:hAnsi="Times New Roman" w:cs="Times New Roman"/>
          <w:b/>
          <w:bCs/>
          <w:sz w:val="24"/>
        </w:rPr>
        <w:t>a,</w:t>
      </w:r>
      <w:r>
        <w:rPr>
          <w:rFonts w:ascii="Times New Roman" w:hAnsi="Times New Roman" w:cs="Times New Roman"/>
          <w:sz w:val="24"/>
        </w:rPr>
        <w:t xml:space="preserve"> Agr</w:t>
      </w:r>
      <w:r>
        <w:rPr>
          <w:rFonts w:hint="eastAsia" w:ascii="Times New Roman" w:hAnsi="Times New Roman" w:cs="Times New Roman"/>
          <w:sz w:val="24"/>
        </w:rPr>
        <w:t xml:space="preserve"> </w:t>
      </w:r>
      <w:r>
        <w:rPr>
          <w:rFonts w:ascii="Times New Roman" w:hAnsi="Times New Roman" w:cs="Times New Roman"/>
          <w:sz w:val="24"/>
        </w:rPr>
        <w:t>system. In</w:t>
      </w:r>
      <w:r>
        <w:rPr>
          <w:rFonts w:hint="eastAsia" w:ascii="Times New Roman" w:hAnsi="Times New Roman" w:cs="Times New Roman"/>
          <w:sz w:val="24"/>
        </w:rPr>
        <w:t xml:space="preserve"> </w:t>
      </w:r>
      <w:r>
        <w:rPr>
          <w:rFonts w:ascii="Times New Roman" w:hAnsi="Times New Roman" w:cs="Times New Roman"/>
          <w:i/>
          <w:iCs/>
          <w:sz w:val="24"/>
        </w:rPr>
        <w:t>Staphylococcus aureus</w:t>
      </w:r>
      <w:r>
        <w:rPr>
          <w:rFonts w:ascii="Times New Roman" w:hAnsi="Times New Roman" w:cs="Times New Roman"/>
          <w:sz w:val="24"/>
        </w:rPr>
        <w:t>, the pro‑peptide AgrD is processed and secreted by AgrB</w:t>
      </w:r>
      <w:r>
        <w:rPr>
          <w:rFonts w:hint="eastAsia" w:ascii="Times New Roman" w:hAnsi="Times New Roman" w:cs="Times New Roman"/>
          <w:sz w:val="24"/>
        </w:rPr>
        <w:t xml:space="preserve">. </w:t>
      </w:r>
      <w:r>
        <w:rPr>
          <w:rFonts w:ascii="Times New Roman" w:hAnsi="Times New Roman" w:cs="Times New Roman"/>
          <w:sz w:val="24"/>
        </w:rPr>
        <w:t xml:space="preserve">The mature AIP (often cyclic with a thiolactone ring) is sensed by the membrane‑bound histidine kinase AgrC, which activates the response regulator AgrA to control QS‑dependent gene expression. </w:t>
      </w:r>
      <w:r>
        <w:rPr>
          <w:rFonts w:hint="eastAsia" w:ascii="Times New Roman" w:hAnsi="Times New Roman" w:cs="Times New Roman"/>
          <w:b/>
          <w:bCs/>
          <w:sz w:val="24"/>
        </w:rPr>
        <w:t>b,</w:t>
      </w:r>
      <w:r>
        <w:rPr>
          <w:rFonts w:ascii="Times New Roman" w:hAnsi="Times New Roman" w:cs="Times New Roman"/>
          <w:sz w:val="24"/>
        </w:rPr>
        <w:t xml:space="preserve"> Fsr</w:t>
      </w:r>
      <w:r>
        <w:rPr>
          <w:rFonts w:hint="eastAsia" w:ascii="Times New Roman" w:hAnsi="Times New Roman" w:cs="Times New Roman"/>
          <w:sz w:val="24"/>
        </w:rPr>
        <w:t xml:space="preserve"> </w:t>
      </w:r>
      <w:r>
        <w:rPr>
          <w:rFonts w:ascii="Times New Roman" w:hAnsi="Times New Roman" w:cs="Times New Roman"/>
          <w:sz w:val="24"/>
        </w:rPr>
        <w:t xml:space="preserve">system. In </w:t>
      </w:r>
      <w:r>
        <w:rPr>
          <w:rFonts w:ascii="Times New Roman" w:hAnsi="Times New Roman" w:cs="Times New Roman"/>
          <w:i/>
          <w:iCs/>
          <w:sz w:val="24"/>
        </w:rPr>
        <w:t>Enterococcus faecalis</w:t>
      </w:r>
      <w:r>
        <w:rPr>
          <w:rFonts w:ascii="Times New Roman" w:hAnsi="Times New Roman" w:cs="Times New Roman"/>
          <w:sz w:val="24"/>
        </w:rPr>
        <w:t>, the</w:t>
      </w:r>
      <w:r>
        <w:rPr>
          <w:rFonts w:hint="eastAsia" w:ascii="Times New Roman" w:hAnsi="Times New Roman" w:cs="Times New Roman"/>
          <w:sz w:val="24"/>
        </w:rPr>
        <w:t xml:space="preserve"> </w:t>
      </w:r>
      <w:r>
        <w:rPr>
          <w:rFonts w:ascii="Times New Roman" w:hAnsi="Times New Roman" w:cs="Times New Roman"/>
          <w:sz w:val="24"/>
        </w:rPr>
        <w:t xml:space="preserve">gelatinase biosynthesis‑activating pheromone (GBAP) </w:t>
      </w:r>
      <w:r>
        <w:rPr>
          <w:rFonts w:hint="eastAsia" w:ascii="Times New Roman" w:hAnsi="Times New Roman" w:cs="Times New Roman"/>
          <w:sz w:val="24"/>
        </w:rPr>
        <w:t>is</w:t>
      </w:r>
      <w:r>
        <w:rPr>
          <w:rFonts w:ascii="Times New Roman" w:hAnsi="Times New Roman" w:cs="Times New Roman"/>
          <w:sz w:val="24"/>
        </w:rPr>
        <w:t xml:space="preserve"> processed by FsrB and sensed by FsrC. </w:t>
      </w:r>
      <w:r>
        <w:rPr>
          <w:rFonts w:hint="eastAsia" w:ascii="Times New Roman" w:hAnsi="Times New Roman" w:cs="Times New Roman"/>
          <w:b/>
          <w:bCs/>
          <w:sz w:val="24"/>
        </w:rPr>
        <w:t>c,</w:t>
      </w:r>
      <w:r>
        <w:rPr>
          <w:rFonts w:ascii="Times New Roman" w:hAnsi="Times New Roman" w:cs="Times New Roman"/>
          <w:sz w:val="24"/>
        </w:rPr>
        <w:t xml:space="preserve"> ComX system. In </w:t>
      </w:r>
      <w:r>
        <w:rPr>
          <w:rFonts w:ascii="Times New Roman" w:hAnsi="Times New Roman" w:cs="Times New Roman"/>
          <w:i/>
          <w:iCs/>
          <w:sz w:val="24"/>
        </w:rPr>
        <w:t>Bacillus subtilis</w:t>
      </w:r>
      <w:r>
        <w:rPr>
          <w:rFonts w:ascii="Times New Roman" w:hAnsi="Times New Roman" w:cs="Times New Roman"/>
          <w:sz w:val="24"/>
        </w:rPr>
        <w:t xml:space="preserve">, </w:t>
      </w:r>
      <w:r>
        <w:rPr>
          <w:rFonts w:hint="eastAsia" w:ascii="Times New Roman" w:hAnsi="Times New Roman" w:cs="Times New Roman"/>
          <w:sz w:val="24"/>
        </w:rPr>
        <w:t>the</w:t>
      </w:r>
      <w:r>
        <w:rPr>
          <w:rFonts w:ascii="Times New Roman" w:hAnsi="Times New Roman" w:cs="Times New Roman"/>
          <w:sz w:val="24"/>
        </w:rPr>
        <w:t xml:space="preserve"> extracellular modified peptide ComX</w:t>
      </w:r>
      <w:r>
        <w:rPr>
          <w:rFonts w:hint="eastAsia" w:ascii="Times New Roman" w:hAnsi="Times New Roman" w:cs="Times New Roman"/>
          <w:sz w:val="24"/>
        </w:rPr>
        <w:t xml:space="preserve"> is processed and secreted via a dedicated transporter and sensed by a membrane-bound histidine kinase (ComP).</w:t>
      </w:r>
      <w:r>
        <w:rPr>
          <w:rFonts w:ascii="Times New Roman" w:hAnsi="Times New Roman" w:cs="Times New Roman"/>
          <w:sz w:val="24"/>
        </w:rPr>
        <w:t xml:space="preserve"> </w:t>
      </w:r>
      <w:r>
        <w:rPr>
          <w:rFonts w:hint="eastAsia" w:ascii="Times New Roman" w:hAnsi="Times New Roman" w:cs="Times New Roman"/>
          <w:b/>
          <w:bCs/>
          <w:sz w:val="24"/>
        </w:rPr>
        <w:t xml:space="preserve">d, </w:t>
      </w:r>
      <w:r>
        <w:rPr>
          <w:rFonts w:ascii="Times New Roman" w:hAnsi="Times New Roman" w:cs="Times New Roman"/>
          <w:sz w:val="24"/>
        </w:rPr>
        <w:t>Rap–Phr / RNPP-type systems. Also,</w:t>
      </w:r>
      <w:r>
        <w:rPr>
          <w:rFonts w:hint="eastAsia" w:ascii="Times New Roman" w:hAnsi="Times New Roman" w:cs="Times New Roman"/>
          <w:sz w:val="24"/>
        </w:rPr>
        <w:t xml:space="preserve"> in </w:t>
      </w:r>
      <w:r>
        <w:rPr>
          <w:rFonts w:ascii="Times New Roman" w:hAnsi="Times New Roman" w:cs="Times New Roman"/>
          <w:i/>
          <w:iCs/>
          <w:sz w:val="24"/>
        </w:rPr>
        <w:t>B. subtilis</w:t>
      </w:r>
      <w:r>
        <w:rPr>
          <w:rFonts w:ascii="Times New Roman" w:hAnsi="Times New Roman" w:cs="Times New Roman"/>
          <w:sz w:val="24"/>
        </w:rPr>
        <w:t>,</w:t>
      </w:r>
      <w:r>
        <w:rPr>
          <w:rFonts w:hint="eastAsia" w:ascii="Times New Roman" w:hAnsi="Times New Roman" w:cs="Times New Roman"/>
          <w:sz w:val="24"/>
        </w:rPr>
        <w:t xml:space="preserve"> Phr pro-peptides are processed to short peptides, exported, and re-imported by the Opp oligopeptide permease. Once inside the cell, mature Phr peptides bind directly to their cognate Rap phosphatases, inducing a conformational change that blocks Rap activity. </w:t>
      </w:r>
      <w:r>
        <w:rPr>
          <w:rFonts w:ascii="Times New Roman" w:hAnsi="Times New Roman" w:cs="Times New Roman"/>
          <w:sz w:val="24"/>
        </w:rPr>
        <w:t>In contrast, Gram‑negative bacteria produce diffusible N‑acyl homoserine lactones (AHLs) via LuxI‑family synthases, which bind directly to cytosolic LuxR receptors</w:t>
      </w:r>
      <w:r>
        <w:rPr>
          <w:rFonts w:hint="eastAsia" w:ascii="Times New Roman" w:hAnsi="Times New Roman" w:cs="Times New Roman"/>
          <w:sz w:val="24"/>
        </w:rPr>
        <w:t xml:space="preserve"> </w:t>
      </w:r>
      <w:r>
        <w:rPr>
          <w:rFonts w:ascii="Times New Roman" w:hAnsi="Times New Roman" w:cs="Times New Roman"/>
          <w:sz w:val="24"/>
        </w:rPr>
        <w:t>(right).</w:t>
      </w:r>
      <w:r>
        <w:rPr>
          <w:rFonts w:hint="eastAsia" w:ascii="Times New Roman" w:hAnsi="Times New Roman" w:cs="Times New Roman"/>
          <w:sz w:val="24"/>
        </w:rPr>
        <w:t xml:space="preserve"> </w:t>
      </w:r>
      <w:r>
        <w:rPr>
          <w:rFonts w:ascii="Times New Roman" w:hAnsi="Times New Roman" w:cs="Times New Roman"/>
          <w:sz w:val="24"/>
        </w:rPr>
        <w:t xml:space="preserve">The table summarizes key differences between AIP‑based (Gram‑positive) and AHL‑based (Gram‑negative) QS systems, including signal </w:t>
      </w:r>
      <w:r>
        <w:rPr>
          <w:rFonts w:hint="eastAsia" w:ascii="Times New Roman" w:hAnsi="Times New Roman" w:cs="Times New Roman"/>
          <w:sz w:val="24"/>
        </w:rPr>
        <w:t>molecule</w:t>
      </w:r>
      <w:r>
        <w:rPr>
          <w:rFonts w:ascii="Times New Roman" w:hAnsi="Times New Roman" w:cs="Times New Roman"/>
          <w:sz w:val="24"/>
        </w:rPr>
        <w:t>, biosynthesis</w:t>
      </w:r>
      <w:r>
        <w:rPr>
          <w:rFonts w:hint="eastAsia" w:ascii="Times New Roman" w:hAnsi="Times New Roman" w:cs="Times New Roman"/>
          <w:sz w:val="24"/>
        </w:rPr>
        <w:t xml:space="preserve"> &amp;</w:t>
      </w:r>
      <w:r>
        <w:rPr>
          <w:rFonts w:ascii="Times New Roman" w:hAnsi="Times New Roman" w:cs="Times New Roman"/>
          <w:sz w:val="24"/>
        </w:rPr>
        <w:t xml:space="preserve"> </w:t>
      </w:r>
      <w:r>
        <w:rPr>
          <w:rFonts w:hint="eastAsia" w:ascii="Times New Roman" w:hAnsi="Times New Roman" w:cs="Times New Roman"/>
          <w:sz w:val="24"/>
        </w:rPr>
        <w:t>processing</w:t>
      </w:r>
      <w:r>
        <w:rPr>
          <w:rFonts w:ascii="Times New Roman" w:hAnsi="Times New Roman" w:cs="Times New Roman"/>
          <w:sz w:val="24"/>
        </w:rPr>
        <w:t>, and</w:t>
      </w:r>
      <w:r>
        <w:rPr>
          <w:rFonts w:hint="eastAsia" w:ascii="Times New Roman" w:hAnsi="Times New Roman" w:cs="Times New Roman"/>
          <w:sz w:val="24"/>
        </w:rPr>
        <w:t xml:space="preserve"> signal perception</w:t>
      </w:r>
      <w:r>
        <w:rPr>
          <w:rFonts w:ascii="Times New Roman" w:hAnsi="Times New Roman" w:cs="Times New Roman"/>
          <w:sz w:val="24"/>
        </w:rPr>
        <w:t>. This comparison highlights the evolutionary divergence in bacterial cell‑cell communication strategies</w:t>
      </w:r>
      <w:r>
        <w:rPr>
          <w:rFonts w:ascii="Times New Roman" w:hAnsi="Times New Roman" w:cs="Times New Roman"/>
          <w:color w:val="0000FF"/>
          <w:sz w:val="18"/>
          <w:szCs w:val="18"/>
        </w:rPr>
        <w:t>.</w:t>
      </w:r>
    </w:p>
    <w:p w14:paraId="1CBC227F">
      <w:pPr>
        <w:adjustRightInd w:val="0"/>
        <w:snapToGrid w:val="0"/>
        <w:contextualSpacing/>
        <w:rPr>
          <w:rFonts w:ascii="Times New Roman" w:hAnsi="Times New Roman" w:cs="Times New Roman"/>
          <w:color w:val="0000FF"/>
          <w:sz w:val="18"/>
          <w:szCs w:val="18"/>
        </w:rPr>
      </w:pPr>
      <w:r>
        <w:rPr>
          <w:rFonts w:ascii="Times New Roman" w:hAnsi="Times New Roman" w:cs="Times New Roman"/>
          <w:color w:val="0000FF"/>
          <w:sz w:val="18"/>
          <w:szCs w:val="18"/>
        </w:rPr>
        <w:t>.</w:t>
      </w:r>
      <w:r>
        <w:rPr>
          <w:rFonts w:ascii="Times New Roman" w:hAnsi="Times New Roman" w:cs="Times New Roman"/>
          <w:color w:val="0000FF"/>
          <w:sz w:val="18"/>
          <w:szCs w:val="18"/>
        </w:rPr>
        <w:br w:type="page"/>
      </w:r>
    </w:p>
    <w:p w14:paraId="78841BC1">
      <w:pPr>
        <w:jc w:val="center"/>
        <w:rPr>
          <w:rStyle w:val="16"/>
          <w:rFonts w:ascii="Times New Roman" w:hAnsi="Times New Roman" w:cs="Times New Roman"/>
        </w:rPr>
      </w:pPr>
      <w:r>
        <w:rPr>
          <w:rStyle w:val="16"/>
          <w:rFonts w:hint="eastAsia" w:ascii="Times New Roman" w:hAnsi="Times New Roman" w:cs="Times New Roman"/>
        </w:rPr>
        <w:drawing>
          <wp:inline distT="0" distB="0" distL="114300" distR="114300">
            <wp:extent cx="5267960" cy="1718945"/>
            <wp:effectExtent l="0" t="0" r="8890" b="14605"/>
            <wp:docPr id="6" name="图片 6" descr="Extended Data 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xtended Data Fig. 2"/>
                    <pic:cNvPicPr>
                      <a:picLocks noChangeAspect="1"/>
                    </pic:cNvPicPr>
                  </pic:nvPicPr>
                  <pic:blipFill>
                    <a:blip r:embed="rId6"/>
                    <a:stretch>
                      <a:fillRect/>
                    </a:stretch>
                  </pic:blipFill>
                  <pic:spPr>
                    <a:xfrm>
                      <a:off x="0" y="0"/>
                      <a:ext cx="5267960" cy="1718945"/>
                    </a:xfrm>
                    <a:prstGeom prst="rect">
                      <a:avLst/>
                    </a:prstGeom>
                  </pic:spPr>
                </pic:pic>
              </a:graphicData>
            </a:graphic>
          </wp:inline>
        </w:drawing>
      </w:r>
    </w:p>
    <w:p w14:paraId="7F29AF19">
      <w:pPr>
        <w:adjustRightInd w:val="0"/>
        <w:snapToGrid w:val="0"/>
        <w:contextualSpacing/>
        <w:outlineLvl w:val="1"/>
        <w:rPr>
          <w:rFonts w:ascii="Times New Roman" w:hAnsi="Times New Roman" w:cs="Times New Roman"/>
          <w:sz w:val="24"/>
        </w:rPr>
        <w:sectPr>
          <w:pgSz w:w="11906" w:h="16838"/>
          <w:pgMar w:top="1440" w:right="1800" w:bottom="1440" w:left="1800" w:header="851" w:footer="992" w:gutter="0"/>
          <w:lnNumType w:countBy="1" w:restart="continuous"/>
          <w:cols w:space="425" w:num="1"/>
          <w:docGrid w:type="lines" w:linePitch="312" w:charSpace="0"/>
        </w:sectPr>
      </w:pPr>
      <w:r>
        <w:rPr>
          <w:rFonts w:ascii="Times New Roman" w:hAnsi="Times New Roman"/>
          <w:b/>
          <w:bCs/>
          <w:sz w:val="24"/>
        </w:rPr>
        <w:t xml:space="preserve">Extended Data Fig. </w:t>
      </w:r>
      <w:r>
        <w:rPr>
          <w:rFonts w:hint="eastAsia" w:ascii="Times New Roman" w:hAnsi="Times New Roman"/>
          <w:b/>
          <w:bCs/>
          <w:sz w:val="24"/>
        </w:rPr>
        <w:t>2</w:t>
      </w:r>
      <w:r>
        <w:rPr>
          <w:rFonts w:hint="eastAsia" w:ascii="宋体" w:hAnsi="宋体"/>
          <w:b/>
        </w:rPr>
        <w:t>∣</w:t>
      </w:r>
      <w:r>
        <w:rPr>
          <w:rFonts w:ascii="Times New Roman" w:hAnsi="Times New Roman" w:cs="Times New Roman"/>
          <w:b/>
          <w:bCs/>
          <w:sz w:val="24"/>
          <w:szCs w:val="24"/>
        </w:rPr>
        <w:t>cQSPs inhibit α-glucosidase</w:t>
      </w:r>
      <w:r>
        <w:rPr>
          <w:rFonts w:hint="eastAsia" w:ascii="Times New Roman" w:hAnsi="Times New Roman" w:cs="Times New Roman"/>
          <w:b/>
          <w:bCs/>
          <w:sz w:val="24"/>
          <w:szCs w:val="24"/>
        </w:rPr>
        <w:t xml:space="preserve">. </w:t>
      </w:r>
      <w:r>
        <w:rPr>
          <w:rFonts w:hint="eastAsia" w:ascii="Times New Roman" w:hAnsi="Times New Roman" w:cs="Times New Roman"/>
          <w:b/>
          <w:bCs/>
          <w:sz w:val="24"/>
        </w:rPr>
        <w:t>a,</w:t>
      </w:r>
      <w:r>
        <w:rPr>
          <w:rFonts w:ascii="Times New Roman" w:hAnsi="Times New Roman" w:cs="Times New Roman"/>
          <w:sz w:val="24"/>
        </w:rPr>
        <w:t xml:space="preserve"> Changes in the </w:t>
      </w:r>
      <w:r>
        <w:rPr>
          <w:rFonts w:hint="eastAsia" w:ascii="Times New Roman" w:hAnsi="Times New Roman" w:cs="Times New Roman"/>
          <w:sz w:val="24"/>
        </w:rPr>
        <w:t>r</w:t>
      </w:r>
      <w:r>
        <w:rPr>
          <w:rFonts w:ascii="Times New Roman" w:hAnsi="Times New Roman" w:cs="Times New Roman"/>
          <w:sz w:val="24"/>
        </w:rPr>
        <w:t xml:space="preserve">adius of </w:t>
      </w:r>
      <w:r>
        <w:rPr>
          <w:rFonts w:hint="eastAsia" w:ascii="Times New Roman" w:hAnsi="Times New Roman" w:cs="Times New Roman"/>
          <w:sz w:val="24"/>
        </w:rPr>
        <w:t>g</w:t>
      </w:r>
      <w:r>
        <w:rPr>
          <w:rFonts w:ascii="Times New Roman" w:hAnsi="Times New Roman" w:cs="Times New Roman"/>
          <w:sz w:val="24"/>
        </w:rPr>
        <w:t xml:space="preserve">yration (Rg) of Acarbose, cQSP_1089, cQSP_1105, and cQSP_1119 in the binding complexes with </w:t>
      </w:r>
      <w:r>
        <w:rPr>
          <w:rFonts w:hint="eastAsia" w:ascii="Times New Roman" w:hAnsi="Times New Roman" w:cs="Times New Roman"/>
          <w:sz w:val="24"/>
        </w:rPr>
        <w:t>s</w:t>
      </w:r>
      <w:r>
        <w:rPr>
          <w:rFonts w:ascii="Times New Roman" w:hAnsi="Times New Roman" w:cs="Times New Roman"/>
          <w:sz w:val="24"/>
        </w:rPr>
        <w:t>ucrase-</w:t>
      </w:r>
      <w:r>
        <w:rPr>
          <w:rFonts w:hint="eastAsia" w:ascii="Times New Roman" w:hAnsi="Times New Roman" w:cs="Times New Roman"/>
          <w:sz w:val="24"/>
        </w:rPr>
        <w:t>i</w:t>
      </w:r>
      <w:r>
        <w:rPr>
          <w:rFonts w:ascii="Times New Roman" w:hAnsi="Times New Roman" w:cs="Times New Roman"/>
          <w:sz w:val="24"/>
        </w:rPr>
        <w:t>somaltase</w:t>
      </w:r>
      <w:r>
        <w:rPr>
          <w:rFonts w:hint="eastAsia" w:ascii="Times New Roman" w:hAnsi="Times New Roman" w:cs="Times New Roman"/>
          <w:sz w:val="24"/>
        </w:rPr>
        <w:t xml:space="preserve"> (SI)</w:t>
      </w:r>
      <w:r>
        <w:rPr>
          <w:rFonts w:ascii="Times New Roman" w:hAnsi="Times New Roman" w:cs="Times New Roman"/>
          <w:sz w:val="24"/>
        </w:rPr>
        <w:t xml:space="preserve"> During 100 ns molecular dynamics simulations. </w:t>
      </w:r>
      <w:r>
        <w:rPr>
          <w:rFonts w:hint="eastAsia" w:ascii="Times New Roman" w:hAnsi="Times New Roman" w:cs="Times New Roman"/>
          <w:b/>
          <w:bCs/>
          <w:sz w:val="24"/>
        </w:rPr>
        <w:t>b,</w:t>
      </w:r>
      <w:r>
        <w:rPr>
          <w:rFonts w:ascii="Times New Roman" w:hAnsi="Times New Roman" w:cs="Times New Roman"/>
          <w:sz w:val="24"/>
        </w:rPr>
        <w:t xml:space="preserve"> Calculated RMSF values for Cα Atoms of </w:t>
      </w:r>
      <w:r>
        <w:rPr>
          <w:rFonts w:hint="eastAsia" w:ascii="Times New Roman" w:hAnsi="Times New Roman" w:cs="Times New Roman"/>
          <w:sz w:val="24"/>
        </w:rPr>
        <w:t>SI</w:t>
      </w:r>
      <w:r>
        <w:rPr>
          <w:rFonts w:ascii="Times New Roman" w:hAnsi="Times New Roman" w:cs="Times New Roman"/>
          <w:sz w:val="24"/>
        </w:rPr>
        <w:t xml:space="preserve"> in binding complexes with Acarbose, cQSP_1089, cQSP_1105, and cQSP_1119. </w:t>
      </w:r>
    </w:p>
    <w:p w14:paraId="7D2F592D">
      <w:pPr>
        <w:adjustRightInd w:val="0"/>
        <w:snapToGrid w:val="0"/>
        <w:contextualSpacing/>
        <w:rPr>
          <w:rFonts w:ascii="Times New Roman" w:hAnsi="Times New Roman" w:cs="Times New Roman"/>
          <w:sz w:val="24"/>
        </w:rPr>
      </w:pPr>
    </w:p>
    <w:p w14:paraId="1C7D005F">
      <w:pPr>
        <w:jc w:val="center"/>
        <w:rPr>
          <w:rFonts w:hint="eastAsia"/>
          <w:b/>
          <w:bCs/>
          <w:szCs w:val="24"/>
        </w:rPr>
      </w:pPr>
      <w:r>
        <w:rPr>
          <w:rFonts w:hint="eastAsia"/>
          <w:lang w:bidi="ar"/>
        </w:rPr>
        <w:drawing>
          <wp:inline distT="0" distB="0" distL="114300" distR="114300">
            <wp:extent cx="3733800" cy="3090545"/>
            <wp:effectExtent l="0" t="0" r="0" b="0"/>
            <wp:docPr id="16" name="图片 16" descr="Extended Data Fi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xtended Data Fig. (4-1)"/>
                    <pic:cNvPicPr>
                      <a:picLocks noChangeAspect="1"/>
                    </pic:cNvPicPr>
                  </pic:nvPicPr>
                  <pic:blipFill>
                    <a:blip r:embed="rId7"/>
                    <a:stretch>
                      <a:fillRect/>
                    </a:stretch>
                  </pic:blipFill>
                  <pic:spPr>
                    <a:xfrm>
                      <a:off x="0" y="0"/>
                      <a:ext cx="3733800" cy="3090940"/>
                    </a:xfrm>
                    <a:prstGeom prst="rect">
                      <a:avLst/>
                    </a:prstGeom>
                  </pic:spPr>
                </pic:pic>
              </a:graphicData>
            </a:graphic>
          </wp:inline>
        </w:drawing>
      </w:r>
    </w:p>
    <w:p w14:paraId="0283FB15">
      <w:pPr>
        <w:adjustRightInd w:val="0"/>
        <w:snapToGrid w:val="0"/>
        <w:contextualSpacing/>
        <w:jc w:val="left"/>
        <w:outlineLvl w:val="1"/>
        <w:rPr>
          <w:rFonts w:ascii="Times New Roman" w:hAnsi="Times New Roman" w:cs="Times New Roman"/>
          <w:sz w:val="24"/>
        </w:rPr>
      </w:pPr>
      <w:r>
        <w:rPr>
          <w:rFonts w:ascii="Times New Roman" w:hAnsi="Times New Roman"/>
          <w:b/>
          <w:bCs/>
          <w:sz w:val="24"/>
        </w:rPr>
        <w:t xml:space="preserve">Extended Data Fig. </w:t>
      </w:r>
      <w:r>
        <w:rPr>
          <w:rFonts w:hint="eastAsia" w:ascii="Times New Roman" w:hAnsi="Times New Roman"/>
          <w:b/>
          <w:bCs/>
          <w:sz w:val="24"/>
        </w:rPr>
        <w:t>3</w:t>
      </w:r>
      <w:r>
        <w:rPr>
          <w:rFonts w:hint="eastAsia" w:ascii="宋体" w:hAnsi="宋体"/>
          <w:b/>
        </w:rPr>
        <w:t>∣</w:t>
      </w:r>
      <w:r>
        <w:rPr>
          <w:rFonts w:ascii="Times New Roman" w:hAnsi="Times New Roman" w:cs="Times New Roman"/>
          <w:b/>
          <w:bCs/>
          <w:sz w:val="24"/>
        </w:rPr>
        <w:t>Scrambled peptides show no inhibition of α-glucosidase activity</w:t>
      </w:r>
      <w:r>
        <w:rPr>
          <w:rFonts w:ascii="Times New Roman" w:hAnsi="Times New Roman" w:cs="Times New Roman"/>
          <w:b/>
          <w:bCs/>
          <w:i/>
          <w:iCs/>
          <w:sz w:val="24"/>
        </w:rPr>
        <w:t xml:space="preserve"> in vitro</w:t>
      </w:r>
      <w:r>
        <w:rPr>
          <w:rFonts w:hint="eastAsia" w:ascii="Times New Roman" w:hAnsi="Times New Roman" w:cs="Times New Roman"/>
          <w:b/>
          <w:bCs/>
          <w:sz w:val="24"/>
        </w:rPr>
        <w:t xml:space="preserve">. </w:t>
      </w:r>
      <w:r>
        <w:rPr>
          <w:rFonts w:ascii="Times New Roman" w:hAnsi="Times New Roman" w:cs="Times New Roman"/>
          <w:sz w:val="24"/>
        </w:rPr>
        <w:t>Scrambled peptides: GPVTVVSSLILG (1-GPV) and GTSLVVPLVSIG (2-GTS).</w:t>
      </w:r>
      <w:r>
        <w:rPr>
          <w:rFonts w:ascii="Times New Roman" w:hAnsi="Times New Roman" w:cs="Times New Roman"/>
          <w:sz w:val="24"/>
        </w:rPr>
        <w:br w:type="page"/>
      </w:r>
    </w:p>
    <w:p w14:paraId="1C43FB72">
      <w:pPr>
        <w:jc w:val="center"/>
        <w:rPr>
          <w:rFonts w:hint="eastAsia"/>
          <w:lang w:bidi="ar"/>
        </w:rPr>
      </w:pPr>
      <w:r>
        <w:rPr>
          <w:rFonts w:hint="eastAsia"/>
          <w:lang w:bidi="ar"/>
        </w:rPr>
        <w:drawing>
          <wp:inline distT="0" distB="0" distL="114300" distR="114300">
            <wp:extent cx="5269230" cy="8669655"/>
            <wp:effectExtent l="0" t="0" r="7620" b="17145"/>
            <wp:docPr id="7" name="图片 7" descr="Extended Data 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xtended Data Fig. 4"/>
                    <pic:cNvPicPr>
                      <a:picLocks noChangeAspect="1"/>
                    </pic:cNvPicPr>
                  </pic:nvPicPr>
                  <pic:blipFill>
                    <a:blip r:embed="rId8"/>
                    <a:stretch>
                      <a:fillRect/>
                    </a:stretch>
                  </pic:blipFill>
                  <pic:spPr>
                    <a:xfrm>
                      <a:off x="0" y="0"/>
                      <a:ext cx="5269230" cy="8669655"/>
                    </a:xfrm>
                    <a:prstGeom prst="rect">
                      <a:avLst/>
                    </a:prstGeom>
                  </pic:spPr>
                </pic:pic>
              </a:graphicData>
            </a:graphic>
          </wp:inline>
        </w:drawing>
      </w:r>
    </w:p>
    <w:p w14:paraId="7711FB56">
      <w:pPr>
        <w:adjustRightInd w:val="0"/>
        <w:snapToGrid w:val="0"/>
        <w:contextualSpacing/>
        <w:outlineLvl w:val="1"/>
        <w:rPr>
          <w:rFonts w:ascii="Times New Roman" w:hAnsi="Times New Roman" w:cs="Times New Roman"/>
          <w:sz w:val="24"/>
          <w:szCs w:val="24"/>
        </w:rPr>
      </w:pPr>
      <w:r>
        <w:rPr>
          <w:rFonts w:ascii="Times New Roman" w:hAnsi="Times New Roman"/>
          <w:b/>
          <w:bCs/>
          <w:sz w:val="24"/>
        </w:rPr>
        <w:t xml:space="preserve">Extended Data Fig. </w:t>
      </w:r>
      <w:r>
        <w:rPr>
          <w:rFonts w:hint="eastAsia" w:ascii="Times New Roman" w:hAnsi="Times New Roman"/>
          <w:b/>
          <w:bCs/>
          <w:sz w:val="24"/>
        </w:rPr>
        <w:t>4</w:t>
      </w:r>
      <w:r>
        <w:rPr>
          <w:rFonts w:hint="eastAsia" w:ascii="宋体" w:hAnsi="宋体"/>
          <w:b/>
        </w:rPr>
        <w:t>∣</w:t>
      </w:r>
      <w:r>
        <w:rPr>
          <w:rFonts w:ascii="Times New Roman" w:hAnsi="Times New Roman" w:cs="Times New Roman"/>
          <w:b/>
          <w:bCs/>
          <w:sz w:val="24"/>
          <w:szCs w:val="24"/>
        </w:rPr>
        <w:t>GIVL binds to α-glucosidase</w:t>
      </w:r>
      <w:r>
        <w:rPr>
          <w:rFonts w:hint="eastAsia" w:ascii="Times New Roman" w:hAnsi="Times New Roman" w:cs="Times New Roman"/>
          <w:b/>
          <w:bCs/>
          <w:sz w:val="24"/>
          <w:szCs w:val="24"/>
        </w:rPr>
        <w:t xml:space="preserve">. </w:t>
      </w:r>
      <w:r>
        <w:rPr>
          <w:rFonts w:hint="eastAsia" w:ascii="Times New Roman" w:hAnsi="Times New Roman" w:cs="Times New Roman"/>
          <w:b/>
          <w:bCs/>
          <w:sz w:val="24"/>
        </w:rPr>
        <w:t>a,</w:t>
      </w:r>
      <w:r>
        <w:rPr>
          <w:rFonts w:ascii="Times New Roman" w:hAnsi="Times New Roman" w:cs="Times New Roman"/>
          <w:sz w:val="24"/>
        </w:rPr>
        <w:t xml:space="preserve"> </w:t>
      </w:r>
      <w:r>
        <w:rPr>
          <w:rFonts w:ascii="Times New Roman" w:hAnsi="Times New Roman" w:cs="Times New Roman"/>
          <w:sz w:val="24"/>
          <w:szCs w:val="24"/>
        </w:rPr>
        <w:t xml:space="preserve">Interaction of amino acid residues with α-glucosidase at the binding site. The side chains of the residues involved in the specific binding </w:t>
      </w:r>
      <w:r>
        <w:rPr>
          <w:rFonts w:hint="eastAsia" w:ascii="Times New Roman" w:hAnsi="Times New Roman" w:cs="Times New Roman"/>
          <w:sz w:val="24"/>
          <w:szCs w:val="24"/>
        </w:rPr>
        <w:t>to</w:t>
      </w:r>
      <w:r>
        <w:rPr>
          <w:rFonts w:ascii="Times New Roman" w:hAnsi="Times New Roman" w:cs="Times New Roman"/>
          <w:sz w:val="24"/>
          <w:szCs w:val="24"/>
        </w:rPr>
        <w:t xml:space="preserve"> α-glucosidase sucrase-isomaltase (SI) are shown in a zoomed-in view. The red and blue cartoon structures represent the peptide and α-glucosidase, respectively. The blue dashed lines represent possible hydrogen bonding. The residues </w:t>
      </w:r>
      <w:r>
        <w:rPr>
          <w:rFonts w:hint="eastAsia" w:ascii="Times New Roman" w:hAnsi="Times New Roman" w:cs="Times New Roman"/>
          <w:sz w:val="24"/>
          <w:szCs w:val="24"/>
        </w:rPr>
        <w:t>Gly</w:t>
      </w:r>
      <w:r>
        <w:rPr>
          <w:rFonts w:ascii="Times New Roman" w:hAnsi="Times New Roman" w:cs="Times New Roman"/>
          <w:sz w:val="24"/>
          <w:szCs w:val="24"/>
        </w:rPr>
        <w:t xml:space="preserve"> (</w:t>
      </w:r>
      <w:r>
        <w:rPr>
          <w:rFonts w:hint="eastAsia" w:ascii="Times New Roman" w:hAnsi="Times New Roman" w:cs="Times New Roman"/>
          <w:b/>
          <w:bCs/>
          <w:sz w:val="24"/>
          <w:szCs w:val="24"/>
        </w:rPr>
        <w:t>c</w:t>
      </w:r>
      <w:r>
        <w:rPr>
          <w:rFonts w:ascii="Times New Roman" w:hAnsi="Times New Roman" w:cs="Times New Roman"/>
          <w:sz w:val="24"/>
          <w:szCs w:val="24"/>
        </w:rPr>
        <w:t xml:space="preserve">), </w:t>
      </w:r>
      <w:r>
        <w:rPr>
          <w:rFonts w:hint="eastAsia" w:ascii="Times New Roman" w:hAnsi="Times New Roman" w:cs="Times New Roman"/>
          <w:sz w:val="24"/>
          <w:szCs w:val="24"/>
        </w:rPr>
        <w:t>Val5</w:t>
      </w:r>
      <w:r>
        <w:rPr>
          <w:rFonts w:ascii="Times New Roman" w:hAnsi="Times New Roman" w:cs="Times New Roman"/>
          <w:sz w:val="24"/>
          <w:szCs w:val="24"/>
        </w:rPr>
        <w:t xml:space="preserve"> (</w:t>
      </w:r>
      <w:r>
        <w:rPr>
          <w:rFonts w:hint="eastAsia" w:ascii="Times New Roman" w:hAnsi="Times New Roman" w:cs="Times New Roman"/>
          <w:b/>
          <w:bCs/>
          <w:sz w:val="24"/>
          <w:szCs w:val="24"/>
        </w:rPr>
        <w:t>d</w:t>
      </w:r>
      <w:r>
        <w:rPr>
          <w:rFonts w:ascii="Times New Roman" w:hAnsi="Times New Roman" w:cs="Times New Roman"/>
          <w:sz w:val="24"/>
          <w:szCs w:val="24"/>
        </w:rPr>
        <w:t xml:space="preserve">) and </w:t>
      </w:r>
      <w:r>
        <w:rPr>
          <w:rFonts w:hint="eastAsia" w:ascii="Times New Roman" w:hAnsi="Times New Roman" w:cs="Times New Roman"/>
          <w:sz w:val="24"/>
          <w:szCs w:val="24"/>
        </w:rPr>
        <w:t>Pro6</w:t>
      </w:r>
      <w:r>
        <w:rPr>
          <w:rFonts w:ascii="Times New Roman" w:hAnsi="Times New Roman" w:cs="Times New Roman"/>
          <w:sz w:val="24"/>
          <w:szCs w:val="24"/>
        </w:rPr>
        <w:t xml:space="preserve"> (</w:t>
      </w:r>
      <w:r>
        <w:rPr>
          <w:rFonts w:hint="eastAsia" w:ascii="Times New Roman" w:hAnsi="Times New Roman" w:cs="Times New Roman"/>
          <w:b/>
          <w:bCs/>
          <w:sz w:val="24"/>
          <w:szCs w:val="24"/>
        </w:rPr>
        <w:t>e</w:t>
      </w:r>
      <w:r>
        <w:rPr>
          <w:rFonts w:ascii="Times New Roman" w:hAnsi="Times New Roman" w:cs="Times New Roman"/>
          <w:sz w:val="24"/>
          <w:szCs w:val="24"/>
        </w:rPr>
        <w:t>) play a key role in the interaction of GIVL and SI. Compared to the atom interaction at the GIVL interface (</w:t>
      </w:r>
      <w:r>
        <w:rPr>
          <w:rFonts w:hint="eastAsia" w:ascii="Times New Roman" w:hAnsi="Times New Roman" w:cs="Times New Roman"/>
          <w:b/>
          <w:bCs/>
          <w:sz w:val="24"/>
          <w:szCs w:val="24"/>
        </w:rPr>
        <w:t>b</w:t>
      </w:r>
      <w:r>
        <w:rPr>
          <w:rFonts w:ascii="Times New Roman" w:hAnsi="Times New Roman" w:cs="Times New Roman"/>
          <w:sz w:val="24"/>
          <w:szCs w:val="24"/>
        </w:rPr>
        <w:t>), the complex with the mutated peptide contains more non-ideal hydrogen bonds (purple), electrostatic clashes (red) and fewer ideal hydrogen bonds (yellow).</w:t>
      </w:r>
      <w:r>
        <w:rPr>
          <w:rFonts w:ascii="Times New Roman" w:hAnsi="Times New Roman" w:cs="Times New Roman"/>
          <w:sz w:val="24"/>
        </w:rPr>
        <w:t xml:space="preserve"> </w:t>
      </w:r>
      <w:r>
        <w:rPr>
          <w:rFonts w:ascii="Times New Roman" w:hAnsi="Times New Roman" w:cs="Times New Roman"/>
          <w:sz w:val="24"/>
          <w:szCs w:val="24"/>
        </w:rPr>
        <w:br w:type="page"/>
      </w:r>
    </w:p>
    <w:p w14:paraId="07E4088F">
      <w:pPr>
        <w:jc w:val="center"/>
        <w:rPr>
          <w:rFonts w:hint="eastAsia"/>
        </w:rPr>
      </w:pPr>
      <w:r>
        <w:rPr>
          <w:rFonts w:hint="eastAsia"/>
        </w:rPr>
        <w:drawing>
          <wp:inline distT="0" distB="0" distL="114300" distR="114300">
            <wp:extent cx="5268595" cy="6320155"/>
            <wp:effectExtent l="0" t="0" r="8255" b="4445"/>
            <wp:docPr id="12" name="图片 12" descr="Extended Data 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xtended Data Fig. 5"/>
                    <pic:cNvPicPr>
                      <a:picLocks noChangeAspect="1"/>
                    </pic:cNvPicPr>
                  </pic:nvPicPr>
                  <pic:blipFill>
                    <a:blip r:embed="rId9"/>
                    <a:stretch>
                      <a:fillRect/>
                    </a:stretch>
                  </pic:blipFill>
                  <pic:spPr>
                    <a:xfrm>
                      <a:off x="0" y="0"/>
                      <a:ext cx="5268595" cy="6320155"/>
                    </a:xfrm>
                    <a:prstGeom prst="rect">
                      <a:avLst/>
                    </a:prstGeom>
                  </pic:spPr>
                </pic:pic>
              </a:graphicData>
            </a:graphic>
          </wp:inline>
        </w:drawing>
      </w:r>
    </w:p>
    <w:p w14:paraId="5229023B">
      <w:pPr>
        <w:adjustRightInd w:val="0"/>
        <w:snapToGrid w:val="0"/>
        <w:contextualSpacing/>
        <w:outlineLvl w:val="1"/>
        <w:rPr>
          <w:rFonts w:ascii="Times New Roman" w:hAnsi="Times New Roman" w:cs="Times New Roman"/>
          <w:b/>
          <w:bCs/>
          <w:sz w:val="24"/>
          <w:szCs w:val="24"/>
        </w:rPr>
      </w:pPr>
      <w:r>
        <w:rPr>
          <w:rFonts w:ascii="Times New Roman" w:hAnsi="Times New Roman"/>
          <w:b/>
          <w:bCs/>
          <w:sz w:val="24"/>
        </w:rPr>
        <w:t xml:space="preserve">Extended Data Fig. </w:t>
      </w:r>
      <w:r>
        <w:rPr>
          <w:rFonts w:hint="eastAsia" w:ascii="Times New Roman" w:hAnsi="Times New Roman"/>
          <w:b/>
          <w:bCs/>
          <w:sz w:val="24"/>
        </w:rPr>
        <w:t>5</w:t>
      </w:r>
      <w:r>
        <w:rPr>
          <w:rFonts w:hint="eastAsia" w:ascii="宋体" w:hAnsi="宋体"/>
          <w:b/>
        </w:rPr>
        <w:t>∣</w:t>
      </w:r>
      <w:r>
        <w:rPr>
          <w:rFonts w:ascii="Times New Roman" w:hAnsi="Times New Roman" w:cs="Times New Roman"/>
          <w:b/>
          <w:bCs/>
          <w:sz w:val="24"/>
        </w:rPr>
        <w:t>GIVL inhibits α-glucosidase</w:t>
      </w:r>
      <w:r>
        <w:rPr>
          <w:rFonts w:hint="eastAsia" w:ascii="Times New Roman" w:hAnsi="Times New Roman" w:cs="Times New Roman"/>
          <w:b/>
          <w:bCs/>
          <w:sz w:val="24"/>
        </w:rPr>
        <w:t xml:space="preserve">. </w:t>
      </w:r>
      <w:r>
        <w:rPr>
          <w:rFonts w:ascii="Times New Roman" w:hAnsi="Times New Roman" w:cs="Times New Roman"/>
          <w:b/>
          <w:bCs/>
          <w:sz w:val="24"/>
          <w:szCs w:val="24"/>
        </w:rPr>
        <w:t>a,</w:t>
      </w:r>
      <w:r>
        <w:rPr>
          <w:rFonts w:ascii="Times New Roman" w:hAnsi="Times New Roman" w:eastAsia="sans-serif" w:cs="Times New Roman"/>
          <w:sz w:val="24"/>
          <w:szCs w:val="24"/>
          <w:shd w:val="clear" w:color="auto" w:fill="FFFFFF"/>
        </w:rPr>
        <w:t xml:space="preserve"> </w:t>
      </w:r>
      <w:r>
        <w:rPr>
          <w:rFonts w:ascii="Times New Roman" w:hAnsi="Times New Roman" w:cs="Times New Roman"/>
          <w:sz w:val="24"/>
          <w:szCs w:val="24"/>
        </w:rPr>
        <w:t xml:space="preserve">Fluorescence spectra of α-glucosidase in the presence of GIVL at different concentrations (pH 6.8, T = 298 K, λex = 280 nm). c (α-glucosidase) = 2.2 μM, c (GIVL) = 0, 1.32, 2.63, 5.26, 9.64, 19.28 and 38.55 μM for curves a → g, respectively. </w:t>
      </w:r>
      <w:r>
        <w:rPr>
          <w:rFonts w:hint="eastAsia" w:ascii="Times New Roman" w:hAnsi="Times New Roman" w:cs="Times New Roman"/>
          <w:b/>
          <w:bCs/>
          <w:sz w:val="24"/>
          <w:szCs w:val="24"/>
        </w:rPr>
        <w:t>b</w:t>
      </w:r>
      <w:r>
        <w:rPr>
          <w:rFonts w:ascii="Times New Roman" w:hAnsi="Times New Roman" w:cs="Times New Roman"/>
          <w:b/>
          <w:bCs/>
          <w:sz w:val="24"/>
          <w:szCs w:val="24"/>
        </w:rPr>
        <w:t>,</w:t>
      </w:r>
      <w:r>
        <w:rPr>
          <w:rFonts w:ascii="Times New Roman" w:hAnsi="Times New Roman" w:cs="Times New Roman"/>
          <w:sz w:val="24"/>
          <w:szCs w:val="24"/>
        </w:rPr>
        <w:t xml:space="preserve"> Circular Dichroism (CD) spectra of α-glucosidase in the presence of increasing amounts of GIVL. c(α-glucosidase) = 4.0 μM, the molar ratios of GIVL to α-glucosidase were 0:1(a), 3:1(b), 6:1(c), 12:1(d), respectively. </w:t>
      </w:r>
      <w:r>
        <w:rPr>
          <w:rFonts w:hint="eastAsia" w:ascii="Times New Roman" w:hAnsi="Times New Roman" w:cs="Times New Roman"/>
          <w:b/>
          <w:bCs/>
          <w:sz w:val="24"/>
          <w:szCs w:val="24"/>
        </w:rPr>
        <w:t>c</w:t>
      </w:r>
      <w:r>
        <w:rPr>
          <w:rFonts w:ascii="Times New Roman" w:hAnsi="Times New Roman" w:cs="Times New Roman"/>
          <w:b/>
          <w:bCs/>
          <w:sz w:val="24"/>
          <w:szCs w:val="24"/>
        </w:rPr>
        <w:t xml:space="preserve">, </w:t>
      </w:r>
      <w:r>
        <w:rPr>
          <w:rFonts w:ascii="Times New Roman" w:hAnsi="Times New Roman" w:cs="Times New Roman"/>
          <w:sz w:val="24"/>
          <w:szCs w:val="24"/>
        </w:rPr>
        <w:t xml:space="preserve">FT-IR spectra of α-glucosidase with GIVL. c (α-glucosidase) = 3.0 μM. </w:t>
      </w:r>
      <w:r>
        <w:rPr>
          <w:rFonts w:hint="eastAsia" w:ascii="Times New Roman" w:hAnsi="Times New Roman" w:cs="Times New Roman"/>
          <w:b/>
          <w:bCs/>
          <w:sz w:val="24"/>
          <w:szCs w:val="24"/>
        </w:rPr>
        <w:t>d</w:t>
      </w:r>
      <w:r>
        <w:rPr>
          <w:rFonts w:ascii="Times New Roman" w:hAnsi="Times New Roman" w:cs="Times New Roman"/>
          <w:b/>
          <w:bCs/>
          <w:sz w:val="24"/>
          <w:szCs w:val="24"/>
        </w:rPr>
        <w:t xml:space="preserve">, </w:t>
      </w:r>
      <w:r>
        <w:rPr>
          <w:rFonts w:ascii="Times New Roman" w:hAnsi="Times New Roman" w:cs="Times New Roman"/>
          <w:sz w:val="24"/>
          <w:szCs w:val="24"/>
        </w:rPr>
        <w:t xml:space="preserve">Biacore analysis indicated that GIVL bound to α-glucosidase with a dissociation constant at micromolar levels. </w:t>
      </w:r>
      <w:r>
        <w:rPr>
          <w:rFonts w:hint="eastAsia" w:ascii="Times New Roman" w:hAnsi="Times New Roman" w:cs="Times New Roman"/>
          <w:b/>
          <w:bCs/>
          <w:sz w:val="24"/>
          <w:szCs w:val="24"/>
        </w:rPr>
        <w:t>e</w:t>
      </w:r>
      <w:r>
        <w:rPr>
          <w:rFonts w:ascii="Times New Roman" w:hAnsi="Times New Roman" w:cs="Times New Roman"/>
          <w:b/>
          <w:bCs/>
          <w:sz w:val="24"/>
          <w:szCs w:val="24"/>
        </w:rPr>
        <w:t>,</w:t>
      </w:r>
      <w:r>
        <w:rPr>
          <w:rFonts w:ascii="Times New Roman" w:hAnsi="Times New Roman" w:eastAsia="sans-serif" w:cs="Times New Roman"/>
          <w:sz w:val="24"/>
          <w:szCs w:val="24"/>
          <w:shd w:val="clear" w:color="auto" w:fill="FFFFFF"/>
        </w:rPr>
        <w:t xml:space="preserve"> </w:t>
      </w:r>
      <w:r>
        <w:rPr>
          <w:rFonts w:ascii="Times New Roman" w:hAnsi="Times New Roman" w:cs="Times New Roman"/>
          <w:sz w:val="24"/>
          <w:szCs w:val="24"/>
        </w:rPr>
        <w:t>Lineweaver–Burk plots for kinetic analysis of α-glucosidase inhibition by GIVL. c (α-glucosidase) = 2.2 μM. The secondary plots of slope and Y-intercept vs. GIVL are in the inset.</w:t>
      </w:r>
      <w:r>
        <w:rPr>
          <w:rFonts w:ascii="Times New Roman" w:hAnsi="Times New Roman" w:cs="Times New Roman"/>
          <w:b/>
          <w:bCs/>
          <w:sz w:val="24"/>
          <w:szCs w:val="24"/>
        </w:rPr>
        <w:br w:type="page"/>
      </w:r>
    </w:p>
    <w:p w14:paraId="0A4778B0">
      <w:pPr>
        <w:jc w:val="center"/>
        <w:rPr>
          <w:rFonts w:hint="eastAsia"/>
        </w:rPr>
      </w:pPr>
      <w:r>
        <w:rPr>
          <w:rFonts w:hint="eastAsia"/>
        </w:rPr>
        <w:drawing>
          <wp:inline distT="0" distB="0" distL="114300" distR="114300">
            <wp:extent cx="5271770" cy="2023110"/>
            <wp:effectExtent l="0" t="0" r="5080" b="15240"/>
            <wp:docPr id="17" name="图片 17" descr="Extended Data Fi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xtended Data Fig. (6-1)"/>
                    <pic:cNvPicPr>
                      <a:picLocks noChangeAspect="1"/>
                    </pic:cNvPicPr>
                  </pic:nvPicPr>
                  <pic:blipFill>
                    <a:blip r:embed="rId10"/>
                    <a:stretch>
                      <a:fillRect/>
                    </a:stretch>
                  </pic:blipFill>
                  <pic:spPr>
                    <a:xfrm>
                      <a:off x="0" y="0"/>
                      <a:ext cx="5271770" cy="2023110"/>
                    </a:xfrm>
                    <a:prstGeom prst="rect">
                      <a:avLst/>
                    </a:prstGeom>
                  </pic:spPr>
                </pic:pic>
              </a:graphicData>
            </a:graphic>
          </wp:inline>
        </w:drawing>
      </w:r>
    </w:p>
    <w:p w14:paraId="72EDB6F3">
      <w:pPr>
        <w:adjustRightInd w:val="0"/>
        <w:snapToGrid w:val="0"/>
        <w:contextualSpacing/>
        <w:outlineLvl w:val="1"/>
        <w:rPr>
          <w:rFonts w:hint="eastAsia"/>
          <w:sz w:val="24"/>
          <w:szCs w:val="24"/>
        </w:rPr>
      </w:pPr>
      <w:r>
        <w:rPr>
          <w:rFonts w:ascii="Times New Roman" w:hAnsi="Times New Roman"/>
          <w:b/>
          <w:bCs/>
          <w:sz w:val="24"/>
        </w:rPr>
        <w:t xml:space="preserve">Extended Data Fig. </w:t>
      </w:r>
      <w:r>
        <w:rPr>
          <w:rFonts w:hint="eastAsia" w:ascii="Times New Roman" w:hAnsi="Times New Roman"/>
          <w:b/>
          <w:bCs/>
          <w:sz w:val="24"/>
        </w:rPr>
        <w:t>6</w:t>
      </w:r>
      <w:r>
        <w:rPr>
          <w:rFonts w:hint="eastAsia" w:ascii="宋体" w:hAnsi="宋体"/>
          <w:b/>
        </w:rPr>
        <w:t>∣</w:t>
      </w:r>
      <w:r>
        <w:rPr>
          <w:rFonts w:hint="eastAsia" w:ascii="Times New Roman" w:hAnsi="Times New Roman" w:cs="Times New Roman"/>
          <w:b/>
          <w:bCs/>
          <w:sz w:val="24"/>
        </w:rPr>
        <w:t xml:space="preserve">Scrambled peptides do not exhibit small-intestinal brush-border enrichment observed for GIVL in FITC localization assays. </w:t>
      </w:r>
      <w:r>
        <w:rPr>
          <w:rFonts w:ascii="Times New Roman" w:hAnsi="Times New Roman" w:cs="Times New Roman"/>
          <w:sz w:val="24"/>
          <w:szCs w:val="24"/>
        </w:rPr>
        <w:t>Scrambled peptides: GPVTVVSSLILG (1-GPV) and GTSLVVPLVSIG (2-GTS). Cell nuclei were stained with DAPI (blue). Swiss rolls (scale bars: 2000 mm).</w:t>
      </w:r>
      <w:r>
        <w:rPr>
          <w:sz w:val="24"/>
          <w:szCs w:val="24"/>
        </w:rPr>
        <w:br w:type="page"/>
      </w:r>
    </w:p>
    <w:p w14:paraId="24907F44">
      <w:pPr>
        <w:spacing w:line="300" w:lineRule="auto"/>
        <w:jc w:val="center"/>
        <w:rPr>
          <w:rFonts w:ascii="Times New Roman" w:hAnsi="Times New Roman" w:cs="Times New Roman"/>
          <w:b/>
          <w:bCs/>
          <w:sz w:val="24"/>
        </w:rPr>
      </w:pPr>
      <w:r>
        <w:rPr>
          <w:rFonts w:hint="eastAsia" w:ascii="Times New Roman" w:hAnsi="Times New Roman" w:cs="Times New Roman"/>
          <w:b/>
          <w:bCs/>
          <w:sz w:val="24"/>
        </w:rPr>
        <w:drawing>
          <wp:inline distT="0" distB="0" distL="114300" distR="114300">
            <wp:extent cx="3752215" cy="2188210"/>
            <wp:effectExtent l="0" t="0" r="635" b="2540"/>
            <wp:docPr id="20" name="图片 20" descr="Extended Data 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xtended Data Fig. (6)"/>
                    <pic:cNvPicPr>
                      <a:picLocks noChangeAspect="1"/>
                    </pic:cNvPicPr>
                  </pic:nvPicPr>
                  <pic:blipFill>
                    <a:blip r:embed="rId11"/>
                    <a:stretch>
                      <a:fillRect/>
                    </a:stretch>
                  </pic:blipFill>
                  <pic:spPr>
                    <a:xfrm>
                      <a:off x="0" y="0"/>
                      <a:ext cx="3752215" cy="2188210"/>
                    </a:xfrm>
                    <a:prstGeom prst="rect">
                      <a:avLst/>
                    </a:prstGeom>
                  </pic:spPr>
                </pic:pic>
              </a:graphicData>
            </a:graphic>
          </wp:inline>
        </w:drawing>
      </w:r>
    </w:p>
    <w:p w14:paraId="566F1843">
      <w:pPr>
        <w:adjustRightInd w:val="0"/>
        <w:snapToGrid w:val="0"/>
        <w:contextualSpacing/>
        <w:jc w:val="left"/>
        <w:outlineLvl w:val="1"/>
        <w:rPr>
          <w:rFonts w:ascii="Times New Roman" w:hAnsi="Times New Roman" w:cs="Times New Roman"/>
          <w:sz w:val="24"/>
        </w:rPr>
      </w:pPr>
      <w:r>
        <w:rPr>
          <w:rFonts w:ascii="Times New Roman" w:hAnsi="Times New Roman"/>
          <w:b/>
          <w:bCs/>
          <w:sz w:val="24"/>
        </w:rPr>
        <w:t xml:space="preserve">Extended Data Fig. </w:t>
      </w:r>
      <w:r>
        <w:rPr>
          <w:rFonts w:hint="eastAsia" w:ascii="Times New Roman" w:hAnsi="Times New Roman"/>
          <w:b/>
          <w:bCs/>
          <w:sz w:val="24"/>
        </w:rPr>
        <w:t>7</w:t>
      </w:r>
      <w:r>
        <w:rPr>
          <w:rFonts w:hint="eastAsia" w:ascii="宋体" w:hAnsi="宋体"/>
          <w:b/>
        </w:rPr>
        <w:t>∣</w:t>
      </w:r>
      <w:r>
        <w:rPr>
          <w:rFonts w:ascii="Times New Roman" w:hAnsi="Times New Roman" w:cs="Times New Roman"/>
          <w:b/>
          <w:bCs/>
          <w:sz w:val="24"/>
        </w:rPr>
        <w:t>Pharmacological distribution of GIVL in other major organs</w:t>
      </w:r>
      <w:r>
        <w:rPr>
          <w:rFonts w:hint="eastAsia" w:ascii="Times New Roman" w:hAnsi="Times New Roman" w:cs="Times New Roman"/>
          <w:b/>
          <w:bCs/>
          <w:sz w:val="24"/>
        </w:rPr>
        <w:t xml:space="preserve">. </w:t>
      </w:r>
      <w:r>
        <w:rPr>
          <w:rFonts w:ascii="Times New Roman" w:hAnsi="Times New Roman" w:cs="Times New Roman"/>
          <w:sz w:val="24"/>
        </w:rPr>
        <w:t>Confocal images of sections from the heart, liver, spleen, lung and kidney of specific-pathogen-free (SPF) mice, four hours after oral administration of GIVL</w:t>
      </w:r>
      <w:r>
        <w:rPr>
          <w:rFonts w:hint="eastAsia" w:ascii="Times New Roman" w:hAnsi="Times New Roman" w:cs="Times New Roman"/>
          <w:sz w:val="24"/>
        </w:rPr>
        <w:t xml:space="preserve"> revealing no fluorescence</w:t>
      </w:r>
      <w:r>
        <w:rPr>
          <w:rFonts w:ascii="Times New Roman" w:hAnsi="Times New Roman" w:cs="Times New Roman"/>
          <w:sz w:val="24"/>
        </w:rPr>
        <w:t>. Scale bars: 100 µm.</w:t>
      </w:r>
      <w:r>
        <w:rPr>
          <w:rFonts w:ascii="Times New Roman" w:hAnsi="Times New Roman" w:cs="Times New Roman"/>
          <w:sz w:val="24"/>
        </w:rPr>
        <w:br w:type="page"/>
      </w:r>
    </w:p>
    <w:p w14:paraId="7F02A3E5">
      <w:pPr>
        <w:spacing w:line="300" w:lineRule="auto"/>
        <w:jc w:val="center"/>
        <w:rPr>
          <w:rFonts w:ascii="Times New Roman" w:hAnsi="Times New Roman" w:cs="Times New Roman"/>
          <w:b/>
          <w:bCs/>
          <w:sz w:val="24"/>
        </w:rPr>
      </w:pPr>
      <w:r>
        <w:rPr>
          <w:rFonts w:hint="eastAsia" w:ascii="Times New Roman" w:hAnsi="Times New Roman" w:cs="Times New Roman"/>
          <w:b/>
          <w:bCs/>
          <w:sz w:val="24"/>
        </w:rPr>
        <w:drawing>
          <wp:inline distT="0" distB="0" distL="114300" distR="114300">
            <wp:extent cx="5272405" cy="6102350"/>
            <wp:effectExtent l="0" t="0" r="4445" b="12700"/>
            <wp:docPr id="1" name="图片 1" descr="Extended Data 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xtended Data Fig. (7)"/>
                    <pic:cNvPicPr>
                      <a:picLocks noChangeAspect="1"/>
                    </pic:cNvPicPr>
                  </pic:nvPicPr>
                  <pic:blipFill>
                    <a:blip r:embed="rId12"/>
                    <a:stretch>
                      <a:fillRect/>
                    </a:stretch>
                  </pic:blipFill>
                  <pic:spPr>
                    <a:xfrm>
                      <a:off x="0" y="0"/>
                      <a:ext cx="5272405" cy="6102350"/>
                    </a:xfrm>
                    <a:prstGeom prst="rect">
                      <a:avLst/>
                    </a:prstGeom>
                  </pic:spPr>
                </pic:pic>
              </a:graphicData>
            </a:graphic>
          </wp:inline>
        </w:drawing>
      </w:r>
    </w:p>
    <w:p w14:paraId="23567510">
      <w:pPr>
        <w:adjustRightInd w:val="0"/>
        <w:snapToGrid w:val="0"/>
        <w:contextualSpacing/>
        <w:outlineLvl w:val="1"/>
        <w:rPr>
          <w:rFonts w:ascii="Times New Roman" w:hAnsi="Times New Roman" w:cs="Times New Roman"/>
          <w:sz w:val="24"/>
        </w:rPr>
      </w:pPr>
      <w:r>
        <w:rPr>
          <w:rFonts w:ascii="Times New Roman" w:hAnsi="Times New Roman"/>
          <w:b/>
          <w:bCs/>
          <w:sz w:val="24"/>
        </w:rPr>
        <w:t xml:space="preserve">Extended Data Fig. </w:t>
      </w:r>
      <w:r>
        <w:rPr>
          <w:rFonts w:hint="eastAsia" w:ascii="Times New Roman" w:hAnsi="Times New Roman"/>
          <w:b/>
          <w:bCs/>
          <w:sz w:val="24"/>
        </w:rPr>
        <w:t>8</w:t>
      </w:r>
      <w:r>
        <w:rPr>
          <w:rFonts w:hint="eastAsia" w:ascii="宋体" w:hAnsi="宋体"/>
          <w:b/>
        </w:rPr>
        <w:t>∣</w:t>
      </w:r>
      <w:r>
        <w:rPr>
          <w:rFonts w:ascii="Times New Roman" w:hAnsi="Times New Roman" w:cs="Times New Roman"/>
          <w:b/>
          <w:bCs/>
          <w:sz w:val="24"/>
        </w:rPr>
        <w:t>Time-dependent distribution of FITC-labeled GIVL in the mouse small intestine</w:t>
      </w:r>
      <w:r>
        <w:rPr>
          <w:rFonts w:hint="eastAsia" w:ascii="Times New Roman" w:hAnsi="Times New Roman" w:cs="Times New Roman"/>
          <w:b/>
          <w:bCs/>
          <w:sz w:val="24"/>
        </w:rPr>
        <w:t xml:space="preserve">. </w:t>
      </w:r>
      <w:r>
        <w:rPr>
          <w:rFonts w:ascii="Times New Roman" w:hAnsi="Times New Roman" w:cs="Times New Roman"/>
          <w:sz w:val="24"/>
        </w:rPr>
        <w:t>Fluorescence signal distribution in small-intestinal tissues was examined by confocal microscopy at the indicated time points (2, 8, 10, 12, 14, 16, 18, and 20 h) after oral administration of FITC–GIVL. Cell nuclei were stained with DAPI (blue). Swiss rolls (scale bars: 1000 mm).</w:t>
      </w:r>
      <w:r>
        <w:rPr>
          <w:rFonts w:ascii="Times New Roman" w:hAnsi="Times New Roman" w:cs="Times New Roman"/>
          <w:sz w:val="24"/>
        </w:rPr>
        <w:br w:type="page"/>
      </w:r>
    </w:p>
    <w:p w14:paraId="46D5BDCE">
      <w:pPr>
        <w:jc w:val="center"/>
        <w:rPr>
          <w:rFonts w:hint="eastAsia"/>
        </w:rPr>
      </w:pPr>
      <w:r>
        <w:rPr>
          <w:rFonts w:hint="eastAsia"/>
        </w:rPr>
        <w:drawing>
          <wp:inline distT="0" distB="0" distL="114300" distR="114300">
            <wp:extent cx="5273040" cy="2110740"/>
            <wp:effectExtent l="0" t="0" r="3810" b="3810"/>
            <wp:docPr id="13" name="图片 13" descr="Extended Data Fi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xtended Data Fig. 9"/>
                    <pic:cNvPicPr>
                      <a:picLocks noChangeAspect="1"/>
                    </pic:cNvPicPr>
                  </pic:nvPicPr>
                  <pic:blipFill>
                    <a:blip r:embed="rId13"/>
                    <a:stretch>
                      <a:fillRect/>
                    </a:stretch>
                  </pic:blipFill>
                  <pic:spPr>
                    <a:xfrm>
                      <a:off x="0" y="0"/>
                      <a:ext cx="5273040" cy="2110740"/>
                    </a:xfrm>
                    <a:prstGeom prst="rect">
                      <a:avLst/>
                    </a:prstGeom>
                  </pic:spPr>
                </pic:pic>
              </a:graphicData>
            </a:graphic>
          </wp:inline>
        </w:drawing>
      </w:r>
    </w:p>
    <w:p w14:paraId="10DF5D42">
      <w:pPr>
        <w:adjustRightInd w:val="0"/>
        <w:snapToGrid w:val="0"/>
        <w:contextualSpacing/>
        <w:outlineLvl w:val="1"/>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b/>
          <w:bCs/>
          <w:sz w:val="24"/>
        </w:rPr>
        <w:t xml:space="preserve">Extended Data Fig. </w:t>
      </w:r>
      <w:r>
        <w:rPr>
          <w:rFonts w:hint="eastAsia" w:ascii="Times New Roman" w:hAnsi="Times New Roman"/>
          <w:b/>
          <w:bCs/>
          <w:sz w:val="24"/>
        </w:rPr>
        <w:t>9</w:t>
      </w:r>
      <w:r>
        <w:rPr>
          <w:rFonts w:hint="eastAsia" w:ascii="宋体" w:hAnsi="宋体"/>
          <w:b/>
        </w:rPr>
        <w:t>∣</w:t>
      </w:r>
      <w:r>
        <w:rPr>
          <w:rFonts w:ascii="Times New Roman" w:hAnsi="Times New Roman" w:cs="Times New Roman"/>
          <w:b/>
          <w:bCs/>
          <w:color w:val="000000" w:themeColor="text1"/>
          <w:sz w:val="24"/>
          <w:szCs w:val="24"/>
          <w14:textFill>
            <w14:solidFill>
              <w14:schemeClr w14:val="tx1"/>
            </w14:solidFill>
          </w14:textFill>
        </w:rPr>
        <w:t>Safety evaluation of GIVL</w:t>
      </w:r>
      <w:r>
        <w:rPr>
          <w:rFonts w:hint="eastAsia"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b/>
          <w:bCs/>
          <w:i/>
          <w:iCs/>
          <w:color w:val="000000" w:themeColor="text1"/>
          <w:sz w:val="24"/>
          <w:szCs w:val="24"/>
          <w14:textFill>
            <w14:solidFill>
              <w14:schemeClr w14:val="tx1"/>
            </w14:solidFill>
          </w14:textFill>
        </w:rPr>
        <w:t>in vivo</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a,</w:t>
      </w:r>
      <w:r>
        <w:rPr>
          <w:rFonts w:ascii="Times New Roman" w:hAnsi="Times New Roman" w:cs="Times New Roman"/>
          <w:color w:val="000000" w:themeColor="text1"/>
          <w:sz w:val="24"/>
          <w:szCs w:val="24"/>
          <w14:textFill>
            <w14:solidFill>
              <w14:schemeClr w14:val="tx1"/>
            </w14:solidFill>
          </w14:textFill>
        </w:rPr>
        <w:t xml:space="preserve"> Effect of long-term oral GIVL administration on body weight changes in mice. </w:t>
      </w:r>
      <w:r>
        <w:rPr>
          <w:rFonts w:hint="eastAsia" w:ascii="Times New Roman" w:hAnsi="Times New Roman" w:cs="Times New Roman"/>
          <w:b/>
          <w:bCs/>
          <w:sz w:val="24"/>
          <w:szCs w:val="24"/>
        </w:rPr>
        <w:t>b</w:t>
      </w:r>
      <w:r>
        <w:rPr>
          <w:rFonts w:ascii="Times New Roman" w:hAnsi="Times New Roman" w:cs="Times New Roman"/>
          <w:b/>
          <w:bCs/>
          <w:sz w:val="24"/>
          <w:szCs w:val="24"/>
        </w:rPr>
        <w:t>,</w:t>
      </w:r>
      <w:r>
        <w:rPr>
          <w:rFonts w:ascii="Times New Roman" w:hAnsi="Times New Roman" w:cs="Times New Roman"/>
          <w:color w:val="000000" w:themeColor="text1"/>
          <w:sz w:val="24"/>
          <w:szCs w:val="24"/>
          <w14:textFill>
            <w14:solidFill>
              <w14:schemeClr w14:val="tx1"/>
            </w14:solidFill>
          </w14:textFill>
        </w:rPr>
        <w:t xml:space="preserve"> Effect of long-term oral GIVL administration on food intake in mice. Data are expressed as the mean ± SD. Statistical differences (ns for P </w:t>
      </w:r>
      <w:r>
        <w:rPr>
          <w:rFonts w:ascii="Times New Roman" w:hAnsi="Times New Roman"/>
          <w:szCs w:val="21"/>
        </w:rPr>
        <w:t>&gt;</w:t>
      </w:r>
      <w:r>
        <w:rPr>
          <w:rFonts w:ascii="Times New Roman" w:hAnsi="Times New Roman" w:cs="Times New Roman"/>
          <w:color w:val="000000" w:themeColor="text1"/>
          <w:sz w:val="24"/>
          <w:szCs w:val="24"/>
          <w14:textFill>
            <w14:solidFill>
              <w14:schemeClr w14:val="tx1"/>
            </w14:solidFill>
          </w14:textFill>
        </w:rPr>
        <w:t xml:space="preserve"> 0.05, *P &lt; 0.05, **P &lt; 0.01, and ***P &lt; 0.001) were analyzed using one-way ANOVA.</w:t>
      </w:r>
      <w:r>
        <w:rPr>
          <w:rFonts w:ascii="Times New Roman" w:hAnsi="Times New Roman" w:cs="Times New Roman"/>
          <w:color w:val="000000" w:themeColor="text1"/>
          <w:sz w:val="24"/>
          <w:szCs w:val="24"/>
          <w14:textFill>
            <w14:solidFill>
              <w14:schemeClr w14:val="tx1"/>
            </w14:solidFill>
          </w14:textFill>
        </w:rPr>
        <w:br w:type="page"/>
      </w:r>
    </w:p>
    <w:p w14:paraId="64096326">
      <w:pPr>
        <w:adjustRightInd w:val="0"/>
        <w:snapToGrid w:val="0"/>
        <w:jc w:val="center"/>
        <w:rPr>
          <w:rFonts w:ascii="Times New Roman" w:hAnsi="Times New Roman" w:cs="Times New Roman"/>
          <w:sz w:val="24"/>
        </w:rPr>
      </w:pPr>
      <w:r>
        <w:rPr>
          <w:rFonts w:ascii="Times New Roman" w:hAnsi="Times New Roman" w:cs="Times New Roman"/>
          <w:sz w:val="24"/>
        </w:rPr>
        <w:drawing>
          <wp:inline distT="0" distB="0" distL="114300" distR="114300">
            <wp:extent cx="4498975" cy="3041650"/>
            <wp:effectExtent l="0" t="0" r="15875" b="6350"/>
            <wp:docPr id="18" name="图片 18" descr="Extended Data Fi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xtended Data Fig. (9)"/>
                    <pic:cNvPicPr>
                      <a:picLocks noChangeAspect="1"/>
                    </pic:cNvPicPr>
                  </pic:nvPicPr>
                  <pic:blipFill>
                    <a:blip r:embed="rId14"/>
                    <a:stretch>
                      <a:fillRect/>
                    </a:stretch>
                  </pic:blipFill>
                  <pic:spPr>
                    <a:xfrm>
                      <a:off x="0" y="0"/>
                      <a:ext cx="4498975" cy="3041650"/>
                    </a:xfrm>
                    <a:prstGeom prst="rect">
                      <a:avLst/>
                    </a:prstGeom>
                  </pic:spPr>
                </pic:pic>
              </a:graphicData>
            </a:graphic>
          </wp:inline>
        </w:drawing>
      </w:r>
    </w:p>
    <w:p w14:paraId="572D8F28">
      <w:pPr>
        <w:adjustRightInd w:val="0"/>
        <w:snapToGrid w:val="0"/>
        <w:contextualSpacing/>
        <w:outlineLvl w:val="1"/>
        <w:rPr>
          <w:rFonts w:ascii="Times New Roman" w:hAnsi="Times New Roman" w:cs="Times New Roman"/>
          <w:b/>
          <w:bCs/>
          <w:sz w:val="24"/>
        </w:rPr>
      </w:pPr>
      <w:r>
        <w:rPr>
          <w:rFonts w:ascii="Times New Roman" w:hAnsi="Times New Roman"/>
          <w:b/>
          <w:bCs/>
          <w:sz w:val="24"/>
        </w:rPr>
        <w:t xml:space="preserve">Extended Data Fig. </w:t>
      </w:r>
      <w:r>
        <w:rPr>
          <w:rFonts w:hint="eastAsia" w:ascii="Times New Roman" w:hAnsi="Times New Roman"/>
          <w:b/>
          <w:bCs/>
          <w:sz w:val="24"/>
        </w:rPr>
        <w:t>10</w:t>
      </w:r>
      <w:r>
        <w:rPr>
          <w:rFonts w:hint="eastAsia" w:ascii="宋体" w:hAnsi="宋体"/>
          <w:b/>
        </w:rPr>
        <w:t>∣</w:t>
      </w:r>
      <w:r>
        <w:rPr>
          <w:rFonts w:ascii="Times New Roman" w:hAnsi="Times New Roman" w:cs="Times New Roman"/>
          <w:b/>
          <w:bCs/>
          <w:sz w:val="24"/>
        </w:rPr>
        <w:t xml:space="preserve">GIVL treatment ameliorates tissue </w:t>
      </w:r>
      <w:r>
        <w:rPr>
          <w:rFonts w:hint="eastAsia" w:ascii="Times New Roman" w:hAnsi="Times New Roman" w:cs="Times New Roman"/>
          <w:b/>
          <w:bCs/>
          <w:sz w:val="24"/>
        </w:rPr>
        <w:t>changes</w:t>
      </w:r>
      <w:r>
        <w:rPr>
          <w:rFonts w:ascii="Times New Roman" w:hAnsi="Times New Roman" w:cs="Times New Roman"/>
          <w:b/>
          <w:bCs/>
          <w:sz w:val="24"/>
        </w:rPr>
        <w:t xml:space="preserve"> in T2D mice</w:t>
      </w:r>
      <w:r>
        <w:rPr>
          <w:rFonts w:hint="eastAsia" w:ascii="Times New Roman" w:hAnsi="Times New Roman" w:cs="Times New Roman"/>
          <w:b/>
          <w:bCs/>
          <w:sz w:val="24"/>
        </w:rPr>
        <w:t>.</w:t>
      </w:r>
    </w:p>
    <w:p w14:paraId="09D9D005">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Representative image of H&amp;E staining of sections of epididymal fat, liver, kidney, spleen, and heart across different treatment groups. GIVL treatment </w:t>
      </w:r>
      <w:r>
        <w:rPr>
          <w:rFonts w:hint="eastAsia" w:ascii="Times New Roman" w:hAnsi="Times New Roman" w:cs="Times New Roman"/>
          <w:sz w:val="24"/>
          <w:szCs w:val="24"/>
          <w:shd w:val="clear" w:color="auto" w:fill="FFFFFF"/>
        </w:rPr>
        <w:t>counteracts changes in a</w:t>
      </w:r>
      <w:r>
        <w:rPr>
          <w:rFonts w:ascii="Times New Roman" w:hAnsi="Times New Roman" w:cs="Times New Roman"/>
          <w:sz w:val="24"/>
          <w:szCs w:val="24"/>
          <w:shd w:val="clear" w:color="auto" w:fill="FFFFFF"/>
        </w:rPr>
        <w:t>dipose</w:t>
      </w:r>
      <w:r>
        <w:rPr>
          <w:rFonts w:hint="eastAsia" w:ascii="Times New Roman" w:hAnsi="Times New Roman" w:cs="Times New Roman"/>
          <w:sz w:val="24"/>
          <w:szCs w:val="24"/>
          <w:shd w:val="clear" w:color="auto" w:fill="FFFFFF"/>
        </w:rPr>
        <w:t xml:space="preserve"> tissue</w:t>
      </w:r>
      <w:r>
        <w:rPr>
          <w:rFonts w:ascii="Times New Roman" w:hAnsi="Times New Roman" w:cs="Times New Roman"/>
          <w:sz w:val="24"/>
          <w:szCs w:val="24"/>
          <w:shd w:val="clear" w:color="auto" w:fill="FFFFFF"/>
        </w:rPr>
        <w:t xml:space="preserve">, </w:t>
      </w:r>
      <w:r>
        <w:rPr>
          <w:rFonts w:hint="eastAsia"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 xml:space="preserve">iver and </w:t>
      </w:r>
      <w:r>
        <w:rPr>
          <w:rFonts w:hint="eastAsia" w:ascii="Times New Roman" w:hAnsi="Times New Roman" w:cs="Times New Roman"/>
          <w:sz w:val="24"/>
          <w:szCs w:val="24"/>
          <w:shd w:val="clear" w:color="auto" w:fill="FFFFFF"/>
        </w:rPr>
        <w:t>k</w:t>
      </w:r>
      <w:r>
        <w:rPr>
          <w:rFonts w:ascii="Times New Roman" w:hAnsi="Times New Roman" w:cs="Times New Roman"/>
          <w:sz w:val="24"/>
          <w:szCs w:val="24"/>
          <w:shd w:val="clear" w:color="auto" w:fill="FFFFFF"/>
        </w:rPr>
        <w:t>idney, and no significant abnormalities were observed in spleen and heart organs in all groups. Scale bar: 100 μm.</w:t>
      </w:r>
      <w:r>
        <w:rPr>
          <w:rFonts w:ascii="Times New Roman" w:hAnsi="Times New Roman" w:cs="Times New Roman"/>
          <w:sz w:val="24"/>
          <w:szCs w:val="24"/>
          <w:shd w:val="clear" w:color="auto" w:fill="FFFFFF"/>
        </w:rPr>
        <w:br w:type="page"/>
      </w:r>
    </w:p>
    <w:p w14:paraId="040E052B">
      <w:pPr>
        <w:spacing w:line="300" w:lineRule="auto"/>
        <w:jc w:val="center"/>
        <w:rPr>
          <w:rFonts w:ascii="Times New Roman" w:hAnsi="Times New Roman" w:cs="Times New Roman"/>
          <w:b/>
          <w:bCs/>
          <w:sz w:val="24"/>
        </w:rPr>
      </w:pPr>
      <w:r>
        <w:rPr>
          <w:rFonts w:hint="eastAsia" w:ascii="Times New Roman" w:hAnsi="Times New Roman" w:cs="Times New Roman"/>
          <w:b/>
          <w:bCs/>
          <w:sz w:val="24"/>
        </w:rPr>
        <w:drawing>
          <wp:inline distT="0" distB="0" distL="114300" distR="114300">
            <wp:extent cx="5267960" cy="3498850"/>
            <wp:effectExtent l="0" t="0" r="8890" b="6350"/>
            <wp:docPr id="15" name="图片 15" descr="Extended Data Fi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xtended Data Fig. 11"/>
                    <pic:cNvPicPr>
                      <a:picLocks noChangeAspect="1"/>
                    </pic:cNvPicPr>
                  </pic:nvPicPr>
                  <pic:blipFill>
                    <a:blip r:embed="rId15"/>
                    <a:stretch>
                      <a:fillRect/>
                    </a:stretch>
                  </pic:blipFill>
                  <pic:spPr>
                    <a:xfrm>
                      <a:off x="0" y="0"/>
                      <a:ext cx="5267960" cy="3498850"/>
                    </a:xfrm>
                    <a:prstGeom prst="rect">
                      <a:avLst/>
                    </a:prstGeom>
                  </pic:spPr>
                </pic:pic>
              </a:graphicData>
            </a:graphic>
          </wp:inline>
        </w:drawing>
      </w:r>
    </w:p>
    <w:p w14:paraId="28E902B0">
      <w:pPr>
        <w:adjustRightInd w:val="0"/>
        <w:snapToGrid w:val="0"/>
        <w:contextualSpacing/>
        <w:outlineLvl w:val="1"/>
        <w:rPr>
          <w:rFonts w:ascii="Times New Roman" w:hAnsi="Times New Roman" w:cs="Times New Roman"/>
          <w:sz w:val="24"/>
          <w:szCs w:val="24"/>
        </w:rPr>
      </w:pPr>
      <w:r>
        <w:rPr>
          <w:rFonts w:ascii="Times New Roman" w:hAnsi="Times New Roman"/>
          <w:b/>
          <w:bCs/>
          <w:sz w:val="24"/>
        </w:rPr>
        <w:t xml:space="preserve">Extended Data Fig. </w:t>
      </w:r>
      <w:r>
        <w:rPr>
          <w:rFonts w:hint="eastAsia" w:ascii="Times New Roman" w:hAnsi="Times New Roman"/>
          <w:b/>
          <w:bCs/>
          <w:sz w:val="24"/>
        </w:rPr>
        <w:t>11</w:t>
      </w:r>
      <w:r>
        <w:rPr>
          <w:rFonts w:hint="eastAsia" w:ascii="宋体" w:hAnsi="宋体"/>
          <w:b/>
        </w:rPr>
        <w:t>∣</w:t>
      </w:r>
      <w:r>
        <w:rPr>
          <w:rFonts w:ascii="Times New Roman" w:hAnsi="Times New Roman" w:cs="Times New Roman"/>
          <w:b/>
          <w:bCs/>
          <w:sz w:val="24"/>
        </w:rPr>
        <w:t>GIVL treatment ameliorates tissue damage and lipid metabolism disorders in T2D mice</w:t>
      </w:r>
      <w:r>
        <w:rPr>
          <w:rFonts w:hint="eastAsia" w:ascii="Times New Roman" w:hAnsi="Times New Roman" w:cs="Times New Roman"/>
          <w:b/>
          <w:bCs/>
          <w:sz w:val="24"/>
        </w:rPr>
        <w:t xml:space="preserve">. </w:t>
      </w:r>
      <w:r>
        <w:rPr>
          <w:rFonts w:hint="eastAsia" w:ascii="Times New Roman" w:hAnsi="Times New Roman" w:cs="Times New Roman"/>
          <w:b/>
          <w:bCs/>
          <w:sz w:val="24"/>
          <w:szCs w:val="24"/>
        </w:rPr>
        <w:t>a-b,</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Comparison of mouse plasma alanine aminotransferase (ALT) (</w:t>
      </w:r>
      <w:r>
        <w:rPr>
          <w:rFonts w:hint="eastAsia" w:ascii="Times New Roman" w:hAnsi="Times New Roman" w:cs="Times New Roman"/>
          <w:b/>
          <w:bCs/>
          <w:sz w:val="24"/>
          <w:szCs w:val="24"/>
        </w:rPr>
        <w:t>a</w:t>
      </w:r>
      <w:r>
        <w:rPr>
          <w:rFonts w:ascii="Times New Roman" w:hAnsi="Times New Roman" w:cs="Times New Roman"/>
          <w:sz w:val="24"/>
          <w:szCs w:val="24"/>
        </w:rPr>
        <w:t>) and aspartate aminotransferase (AST) (</w:t>
      </w:r>
      <w:r>
        <w:rPr>
          <w:rFonts w:hint="eastAsia" w:ascii="Times New Roman" w:hAnsi="Times New Roman" w:cs="Times New Roman"/>
          <w:b/>
          <w:bCs/>
          <w:sz w:val="24"/>
          <w:szCs w:val="24"/>
        </w:rPr>
        <w:t>b</w:t>
      </w:r>
      <w:r>
        <w:rPr>
          <w:rFonts w:ascii="Times New Roman" w:hAnsi="Times New Roman" w:cs="Times New Roman"/>
          <w:sz w:val="24"/>
          <w:szCs w:val="24"/>
        </w:rPr>
        <w:t xml:space="preserve">) levels among different intervention groups. </w:t>
      </w:r>
      <w:r>
        <w:rPr>
          <w:rFonts w:hint="eastAsia" w:ascii="Times New Roman" w:hAnsi="Times New Roman" w:cs="Times New Roman"/>
          <w:b/>
          <w:bCs/>
          <w:sz w:val="24"/>
          <w:szCs w:val="24"/>
        </w:rPr>
        <w:t>c-d,</w:t>
      </w:r>
      <w:r>
        <w:rPr>
          <w:rFonts w:ascii="Times New Roman" w:hAnsi="Times New Roman" w:cs="Times New Roman"/>
          <w:sz w:val="24"/>
          <w:szCs w:val="24"/>
        </w:rPr>
        <w:t xml:space="preserve"> Plasma </w:t>
      </w:r>
      <w:r>
        <w:rPr>
          <w:rFonts w:hint="eastAsia" w:ascii="Times New Roman" w:hAnsi="Times New Roman" w:cs="Times New Roman"/>
          <w:sz w:val="24"/>
          <w:szCs w:val="24"/>
        </w:rPr>
        <w:t>h</w:t>
      </w:r>
      <w:r>
        <w:rPr>
          <w:rFonts w:ascii="Times New Roman" w:hAnsi="Times New Roman" w:cs="Times New Roman"/>
          <w:sz w:val="24"/>
          <w:szCs w:val="24"/>
        </w:rPr>
        <w:t>igh-</w:t>
      </w:r>
      <w:r>
        <w:rPr>
          <w:rFonts w:hint="eastAsia" w:ascii="Times New Roman" w:hAnsi="Times New Roman" w:cs="Times New Roman"/>
          <w:sz w:val="24"/>
          <w:szCs w:val="24"/>
        </w:rPr>
        <w:t>d</w:t>
      </w:r>
      <w:r>
        <w:rPr>
          <w:rFonts w:ascii="Times New Roman" w:hAnsi="Times New Roman" w:cs="Times New Roman"/>
          <w:sz w:val="24"/>
          <w:szCs w:val="24"/>
        </w:rPr>
        <w:t xml:space="preserve">ensity </w:t>
      </w:r>
      <w:r>
        <w:rPr>
          <w:rFonts w:hint="eastAsia" w:ascii="Times New Roman" w:hAnsi="Times New Roman" w:cs="Times New Roman"/>
          <w:sz w:val="24"/>
          <w:szCs w:val="24"/>
        </w:rPr>
        <w:t>l</w:t>
      </w:r>
      <w:r>
        <w:rPr>
          <w:rFonts w:ascii="Times New Roman" w:hAnsi="Times New Roman" w:cs="Times New Roman"/>
          <w:sz w:val="24"/>
          <w:szCs w:val="24"/>
        </w:rPr>
        <w:t xml:space="preserve">ipoprotein </w:t>
      </w:r>
      <w:r>
        <w:rPr>
          <w:rFonts w:hint="eastAsia" w:ascii="Times New Roman" w:hAnsi="Times New Roman" w:cs="Times New Roman"/>
          <w:sz w:val="24"/>
          <w:szCs w:val="24"/>
        </w:rPr>
        <w:t>c</w:t>
      </w:r>
      <w:r>
        <w:rPr>
          <w:rFonts w:ascii="Times New Roman" w:hAnsi="Times New Roman" w:cs="Times New Roman"/>
          <w:sz w:val="24"/>
          <w:szCs w:val="24"/>
        </w:rPr>
        <w:t>holesterol (HDLC) (</w:t>
      </w:r>
      <w:r>
        <w:rPr>
          <w:rFonts w:hint="eastAsia" w:ascii="Times New Roman" w:hAnsi="Times New Roman" w:cs="Times New Roman"/>
          <w:b/>
          <w:bCs/>
          <w:sz w:val="24"/>
          <w:szCs w:val="24"/>
        </w:rPr>
        <w:t>c</w:t>
      </w:r>
      <w:r>
        <w:rPr>
          <w:rFonts w:ascii="Times New Roman" w:hAnsi="Times New Roman" w:cs="Times New Roman"/>
          <w:sz w:val="24"/>
          <w:szCs w:val="24"/>
        </w:rPr>
        <w:t>) and triglyceride (TG) (</w:t>
      </w:r>
      <w:r>
        <w:rPr>
          <w:rFonts w:hint="eastAsia" w:ascii="Times New Roman" w:hAnsi="Times New Roman" w:cs="Times New Roman"/>
          <w:b/>
          <w:bCs/>
          <w:sz w:val="24"/>
          <w:szCs w:val="24"/>
        </w:rPr>
        <w:t>d</w:t>
      </w:r>
      <w:r>
        <w:rPr>
          <w:rFonts w:ascii="Times New Roman" w:hAnsi="Times New Roman" w:cs="Times New Roman"/>
          <w:sz w:val="24"/>
          <w:szCs w:val="24"/>
        </w:rPr>
        <w:t xml:space="preserve">) levels. </w:t>
      </w:r>
      <w:r>
        <w:rPr>
          <w:rFonts w:hint="eastAsia" w:ascii="Times New Roman" w:hAnsi="Times New Roman" w:cs="Times New Roman"/>
          <w:b/>
          <w:bCs/>
          <w:sz w:val="24"/>
          <w:szCs w:val="24"/>
        </w:rPr>
        <w:t>e,</w:t>
      </w:r>
      <w:r>
        <w:rPr>
          <w:rFonts w:ascii="Times New Roman" w:hAnsi="Times New Roman" w:cs="Times New Roman"/>
          <w:sz w:val="24"/>
          <w:szCs w:val="24"/>
        </w:rPr>
        <w:t xml:space="preserve"> Intestinal wall thickness. </w:t>
      </w:r>
      <w:r>
        <w:rPr>
          <w:rFonts w:hint="eastAsia" w:ascii="Times New Roman" w:hAnsi="Times New Roman" w:cs="Times New Roman"/>
          <w:b/>
          <w:bCs/>
          <w:sz w:val="24"/>
          <w:szCs w:val="24"/>
        </w:rPr>
        <w:t>f,</w:t>
      </w:r>
      <w:r>
        <w:rPr>
          <w:rFonts w:ascii="Times New Roman" w:hAnsi="Times New Roman" w:cs="Times New Roman"/>
          <w:sz w:val="24"/>
          <w:szCs w:val="24"/>
        </w:rPr>
        <w:t xml:space="preserve"> Number of goblet cells. </w:t>
      </w:r>
      <w:r>
        <w:rPr>
          <w:rFonts w:hint="eastAsia" w:ascii="Times New Roman" w:hAnsi="Times New Roman" w:cs="Times New Roman"/>
          <w:b/>
          <w:bCs/>
          <w:sz w:val="24"/>
          <w:szCs w:val="24"/>
        </w:rPr>
        <w:t>g,</w:t>
      </w:r>
      <w:r>
        <w:rPr>
          <w:rFonts w:ascii="Times New Roman" w:hAnsi="Times New Roman" w:eastAsia="sans-serif" w:cs="Times New Roman"/>
          <w:sz w:val="24"/>
          <w:szCs w:val="24"/>
          <w:shd w:val="clear" w:color="auto" w:fill="FFFFFF"/>
        </w:rPr>
        <w:t xml:space="preserve"> </w:t>
      </w:r>
      <w:r>
        <w:rPr>
          <w:rFonts w:ascii="Times New Roman" w:hAnsi="Times New Roman" w:cs="Times New Roman"/>
          <w:sz w:val="24"/>
          <w:szCs w:val="24"/>
        </w:rPr>
        <w:t xml:space="preserve">GIVL treatment improves the homeostasis model assessment (HOMA)-insulin resistance (IR) index. </w:t>
      </w:r>
      <w:r>
        <w:rPr>
          <w:rFonts w:hint="eastAsia" w:ascii="Times New Roman" w:hAnsi="Times New Roman" w:cs="Times New Roman"/>
          <w:b/>
          <w:bCs/>
          <w:sz w:val="24"/>
          <w:szCs w:val="24"/>
        </w:rPr>
        <w:t>h-i,</w:t>
      </w:r>
      <w:r>
        <w:rPr>
          <w:rFonts w:ascii="Times New Roman" w:hAnsi="Times New Roman" w:cs="Times New Roman"/>
          <w:b/>
          <w:bCs/>
          <w:sz w:val="24"/>
          <w:szCs w:val="24"/>
        </w:rPr>
        <w:t xml:space="preserve"> </w:t>
      </w:r>
      <w:r>
        <w:rPr>
          <w:rFonts w:ascii="Times New Roman" w:hAnsi="Times New Roman" w:cs="Times New Roman"/>
          <w:sz w:val="24"/>
          <w:szCs w:val="24"/>
        </w:rPr>
        <w:t xml:space="preserve">Plasma </w:t>
      </w:r>
      <w:r>
        <w:rPr>
          <w:rFonts w:hint="eastAsia" w:ascii="Times New Roman" w:hAnsi="Times New Roman" w:cs="Times New Roman"/>
          <w:sz w:val="24"/>
          <w:szCs w:val="24"/>
        </w:rPr>
        <w:t>l</w:t>
      </w:r>
      <w:r>
        <w:rPr>
          <w:rFonts w:ascii="Times New Roman" w:hAnsi="Times New Roman" w:cs="Times New Roman"/>
          <w:sz w:val="24"/>
          <w:szCs w:val="24"/>
        </w:rPr>
        <w:t>ow-</w:t>
      </w:r>
      <w:r>
        <w:rPr>
          <w:rFonts w:hint="eastAsia" w:ascii="Times New Roman" w:hAnsi="Times New Roman" w:cs="Times New Roman"/>
          <w:sz w:val="24"/>
          <w:szCs w:val="24"/>
        </w:rPr>
        <w:t>d</w:t>
      </w:r>
      <w:r>
        <w:rPr>
          <w:rFonts w:ascii="Times New Roman" w:hAnsi="Times New Roman" w:cs="Times New Roman"/>
          <w:sz w:val="24"/>
          <w:szCs w:val="24"/>
        </w:rPr>
        <w:t xml:space="preserve">ensity </w:t>
      </w:r>
      <w:r>
        <w:rPr>
          <w:rFonts w:hint="eastAsia" w:ascii="Times New Roman" w:hAnsi="Times New Roman" w:cs="Times New Roman"/>
          <w:sz w:val="24"/>
          <w:szCs w:val="24"/>
        </w:rPr>
        <w:t>l</w:t>
      </w:r>
      <w:r>
        <w:rPr>
          <w:rFonts w:ascii="Times New Roman" w:hAnsi="Times New Roman" w:cs="Times New Roman"/>
          <w:sz w:val="24"/>
          <w:szCs w:val="24"/>
        </w:rPr>
        <w:t xml:space="preserve">ipoprotein </w:t>
      </w:r>
      <w:r>
        <w:rPr>
          <w:rFonts w:hint="eastAsia" w:ascii="Times New Roman" w:hAnsi="Times New Roman" w:cs="Times New Roman"/>
          <w:sz w:val="24"/>
          <w:szCs w:val="24"/>
        </w:rPr>
        <w:t>c</w:t>
      </w:r>
      <w:r>
        <w:rPr>
          <w:rFonts w:ascii="Times New Roman" w:hAnsi="Times New Roman" w:cs="Times New Roman"/>
          <w:sz w:val="24"/>
          <w:szCs w:val="24"/>
        </w:rPr>
        <w:t>holesterol (LDLC) (</w:t>
      </w:r>
      <w:r>
        <w:rPr>
          <w:rFonts w:hint="eastAsia" w:ascii="Times New Roman" w:hAnsi="Times New Roman" w:cs="Times New Roman"/>
          <w:b/>
          <w:bCs/>
          <w:sz w:val="24"/>
          <w:szCs w:val="24"/>
        </w:rPr>
        <w:t>h</w:t>
      </w:r>
      <w:r>
        <w:rPr>
          <w:rFonts w:ascii="Times New Roman" w:hAnsi="Times New Roman" w:cs="Times New Roman"/>
          <w:sz w:val="24"/>
          <w:szCs w:val="24"/>
        </w:rPr>
        <w:t>) and total cholesterol (TC) (</w:t>
      </w:r>
      <w:r>
        <w:rPr>
          <w:rFonts w:hint="eastAsia" w:ascii="Times New Roman" w:hAnsi="Times New Roman" w:cs="Times New Roman"/>
          <w:b/>
          <w:bCs/>
          <w:sz w:val="24"/>
          <w:szCs w:val="24"/>
        </w:rPr>
        <w:t>i</w:t>
      </w:r>
      <w:r>
        <w:rPr>
          <w:rFonts w:ascii="Times New Roman" w:hAnsi="Times New Roman" w:cs="Times New Roman"/>
          <w:sz w:val="24"/>
          <w:szCs w:val="24"/>
        </w:rPr>
        <w:t xml:space="preserve">) levels. </w:t>
      </w:r>
      <w:r>
        <w:rPr>
          <w:rFonts w:ascii="Times New Roman" w:hAnsi="Times New Roman" w:eastAsia="sans-serif" w:cs="Times New Roman"/>
          <w:sz w:val="24"/>
          <w:szCs w:val="24"/>
          <w:shd w:val="clear" w:color="auto" w:fill="FFFFFF"/>
        </w:rPr>
        <w:t>(</w:t>
      </w:r>
      <w:r>
        <w:rPr>
          <w:rFonts w:hint="eastAsia" w:ascii="Times New Roman" w:hAnsi="Times New Roman" w:eastAsia="sans-serif" w:cs="Times New Roman"/>
          <w:b/>
          <w:bCs/>
          <w:sz w:val="24"/>
          <w:szCs w:val="24"/>
          <w:shd w:val="clear" w:color="auto" w:fill="FFFFFF"/>
        </w:rPr>
        <w:t>j</w:t>
      </w:r>
      <w:r>
        <w:rPr>
          <w:rFonts w:ascii="Times New Roman" w:hAnsi="Times New Roman" w:eastAsia="sans-serif" w:cs="Times New Roman"/>
          <w:sz w:val="24"/>
          <w:szCs w:val="24"/>
          <w:shd w:val="clear" w:color="auto" w:fill="FFFFFF"/>
        </w:rPr>
        <w:t>)</w:t>
      </w:r>
      <w:r>
        <w:rPr>
          <w:rFonts w:ascii="Times New Roman" w:hAnsi="Times New Roman" w:cs="Times New Roman"/>
          <w:sz w:val="24"/>
          <w:szCs w:val="24"/>
        </w:rPr>
        <w:t xml:space="preserve"> Villus height. </w:t>
      </w:r>
      <w:r>
        <w:rPr>
          <w:rFonts w:ascii="Times New Roman" w:hAnsi="Times New Roman" w:eastAsia="sans-serif" w:cs="Times New Roman"/>
          <w:sz w:val="24"/>
          <w:szCs w:val="24"/>
          <w:shd w:val="clear" w:color="auto" w:fill="FFFFFF"/>
        </w:rPr>
        <w:t>(</w:t>
      </w:r>
      <w:r>
        <w:rPr>
          <w:rFonts w:hint="eastAsia" w:ascii="Times New Roman" w:hAnsi="Times New Roman" w:cs="Times New Roman"/>
          <w:b/>
          <w:bCs/>
          <w:sz w:val="24"/>
          <w:szCs w:val="24"/>
        </w:rPr>
        <w:t>k-l</w:t>
      </w:r>
      <w:r>
        <w:rPr>
          <w:rFonts w:ascii="Times New Roman" w:hAnsi="Times New Roman" w:eastAsia="sans-serif" w:cs="Times New Roman"/>
          <w:sz w:val="24"/>
          <w:szCs w:val="24"/>
          <w:shd w:val="clear" w:color="auto" w:fill="FFFFFF"/>
        </w:rPr>
        <w:t>)</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Lipopolysaccharide (LPS) (</w:t>
      </w:r>
      <w:r>
        <w:rPr>
          <w:rFonts w:hint="eastAsia" w:ascii="Times New Roman" w:hAnsi="Times New Roman" w:cs="Times New Roman"/>
          <w:b/>
          <w:bCs/>
          <w:sz w:val="24"/>
          <w:szCs w:val="24"/>
        </w:rPr>
        <w:t>k</w:t>
      </w:r>
      <w:r>
        <w:rPr>
          <w:rFonts w:ascii="Times New Roman" w:hAnsi="Times New Roman" w:cs="Times New Roman"/>
          <w:sz w:val="24"/>
          <w:szCs w:val="24"/>
        </w:rPr>
        <w:t>) and interleukin-6 (IL-6) (</w:t>
      </w:r>
      <w:r>
        <w:rPr>
          <w:rFonts w:hint="eastAsia" w:ascii="Times New Roman" w:hAnsi="Times New Roman" w:cs="Times New Roman"/>
          <w:b/>
          <w:bCs/>
          <w:sz w:val="24"/>
          <w:szCs w:val="24"/>
        </w:rPr>
        <w:t>l</w:t>
      </w:r>
      <w:r>
        <w:rPr>
          <w:rFonts w:ascii="Times New Roman" w:hAnsi="Times New Roman" w:cs="Times New Roman"/>
          <w:sz w:val="24"/>
          <w:szCs w:val="24"/>
        </w:rPr>
        <w:t xml:space="preserve">) levels. One-way ANOVA was used to analyze statistical differences, *P &lt; 0.05, **P &lt; 0.01, and ***P &lt; 0.001; “ns” indicates the difference was not significant. Data were presented as the mean </w:t>
      </w:r>
      <w:r>
        <w:rPr>
          <w:rFonts w:ascii="Times New Roman" w:hAnsi="Times New Roman" w:eastAsia="等线" w:cs="Times New Roman"/>
          <w:sz w:val="24"/>
          <w:szCs w:val="24"/>
          <w:lang w:bidi="ar"/>
        </w:rPr>
        <w:t xml:space="preserve">± </w:t>
      </w:r>
      <w:r>
        <w:rPr>
          <w:rFonts w:ascii="Times New Roman" w:hAnsi="Times New Roman" w:cs="Times New Roman"/>
          <w:sz w:val="24"/>
          <w:szCs w:val="24"/>
        </w:rPr>
        <w:t xml:space="preserve">standard deviation. </w:t>
      </w:r>
      <w:r>
        <w:rPr>
          <w:rFonts w:ascii="Times New Roman" w:hAnsi="Times New Roman" w:cs="Times New Roman"/>
          <w:sz w:val="24"/>
          <w:szCs w:val="24"/>
        </w:rPr>
        <w:br w:type="page"/>
      </w:r>
    </w:p>
    <w:p w14:paraId="0E18D908">
      <w:pPr>
        <w:jc w:val="center"/>
        <w:rPr>
          <w:rFonts w:hint="eastAsia"/>
        </w:rPr>
      </w:pPr>
      <w:r>
        <w:rPr>
          <w:rFonts w:hint="eastAsia"/>
        </w:rPr>
        <w:drawing>
          <wp:inline distT="0" distB="0" distL="114300" distR="114300">
            <wp:extent cx="5269865" cy="2555875"/>
            <wp:effectExtent l="0" t="0" r="6985" b="15875"/>
            <wp:docPr id="19" name="图片 19" descr="Extended Data Fi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xtended Data Fig. 12"/>
                    <pic:cNvPicPr>
                      <a:picLocks noChangeAspect="1"/>
                    </pic:cNvPicPr>
                  </pic:nvPicPr>
                  <pic:blipFill>
                    <a:blip r:embed="rId16"/>
                    <a:stretch>
                      <a:fillRect/>
                    </a:stretch>
                  </pic:blipFill>
                  <pic:spPr>
                    <a:xfrm>
                      <a:off x="0" y="0"/>
                      <a:ext cx="5269865" cy="2555875"/>
                    </a:xfrm>
                    <a:prstGeom prst="rect">
                      <a:avLst/>
                    </a:prstGeom>
                  </pic:spPr>
                </pic:pic>
              </a:graphicData>
            </a:graphic>
          </wp:inline>
        </w:drawing>
      </w:r>
    </w:p>
    <w:p w14:paraId="6A4AB922">
      <w:pPr>
        <w:adjustRightInd w:val="0"/>
        <w:snapToGrid w:val="0"/>
        <w:contextualSpacing/>
        <w:outlineLvl w:val="1"/>
        <w:rPr>
          <w:rFonts w:ascii="Times New Roman" w:hAnsi="Times New Roman" w:cs="Times New Roman"/>
          <w:sz w:val="24"/>
          <w:szCs w:val="24"/>
        </w:rPr>
      </w:pPr>
      <w:r>
        <w:rPr>
          <w:rFonts w:ascii="Times New Roman" w:hAnsi="Times New Roman"/>
          <w:b/>
          <w:bCs/>
          <w:sz w:val="24"/>
        </w:rPr>
        <w:t xml:space="preserve">Extended Data Fig. </w:t>
      </w:r>
      <w:r>
        <w:rPr>
          <w:rFonts w:hint="eastAsia" w:ascii="Times New Roman" w:hAnsi="Times New Roman"/>
          <w:b/>
          <w:bCs/>
          <w:sz w:val="24"/>
        </w:rPr>
        <w:t>12</w:t>
      </w:r>
      <w:r>
        <w:rPr>
          <w:rFonts w:hint="eastAsia" w:ascii="宋体" w:hAnsi="宋体"/>
          <w:b/>
        </w:rPr>
        <w:t>∣</w:t>
      </w:r>
      <w:r>
        <w:rPr>
          <w:rFonts w:ascii="Times New Roman" w:hAnsi="Times New Roman" w:cs="Times New Roman"/>
          <w:b/>
          <w:bCs/>
          <w:sz w:val="24"/>
        </w:rPr>
        <w:t>GIVL treatment alters the gut microbiota</w:t>
      </w:r>
      <w:r>
        <w:rPr>
          <w:rFonts w:hint="eastAsia" w:ascii="Times New Roman" w:hAnsi="Times New Roman" w:cs="Times New Roman"/>
          <w:b/>
          <w:bCs/>
          <w:sz w:val="24"/>
        </w:rPr>
        <w:t xml:space="preserve">. </w:t>
      </w:r>
      <w:r>
        <w:rPr>
          <w:rFonts w:hint="eastAsia" w:ascii="Times New Roman" w:hAnsi="Times New Roman" w:cs="Times New Roman"/>
          <w:b/>
          <w:bCs/>
          <w:sz w:val="24"/>
          <w:szCs w:val="24"/>
        </w:rPr>
        <w:t>a,</w:t>
      </w:r>
      <w:r>
        <w:rPr>
          <w:rFonts w:ascii="Times New Roman" w:hAnsi="Times New Roman" w:eastAsia="宋体" w:cs="Times New Roman"/>
          <w:sz w:val="24"/>
          <w:szCs w:val="24"/>
          <w:shd w:val="clear" w:color="auto" w:fill="FFFFFF"/>
        </w:rPr>
        <w:t xml:space="preserve"> </w:t>
      </w:r>
      <w:r>
        <w:rPr>
          <w:rFonts w:ascii="Times New Roman" w:hAnsi="Times New Roman" w:cs="Times New Roman"/>
          <w:sz w:val="24"/>
          <w:szCs w:val="24"/>
        </w:rPr>
        <w:t xml:space="preserve">Differences were observed in relative species abundance at the phylum level. </w:t>
      </w:r>
      <w:r>
        <w:rPr>
          <w:rFonts w:hint="eastAsia" w:ascii="Times New Roman" w:hAnsi="Times New Roman" w:cs="Times New Roman"/>
          <w:b/>
          <w:bCs/>
          <w:sz w:val="24"/>
          <w:szCs w:val="24"/>
        </w:rPr>
        <w:t>b,</w:t>
      </w:r>
      <w:r>
        <w:rPr>
          <w:rFonts w:ascii="Times New Roman" w:hAnsi="Times New Roman" w:eastAsia="宋体" w:cs="Times New Roman"/>
          <w:sz w:val="24"/>
          <w:szCs w:val="24"/>
          <w:shd w:val="clear" w:color="auto" w:fill="FFFFFF"/>
        </w:rPr>
        <w:t xml:space="preserve"> </w:t>
      </w:r>
      <w:r>
        <w:rPr>
          <w:rFonts w:ascii="Times New Roman" w:hAnsi="Times New Roman" w:cs="Times New Roman"/>
          <w:sz w:val="24"/>
          <w:szCs w:val="24"/>
        </w:rPr>
        <w:t xml:space="preserve">Relative abundance of the gut bacteria at the order level among different groups. </w:t>
      </w:r>
      <w:r>
        <w:rPr>
          <w:rFonts w:ascii="Times New Roman" w:hAnsi="Times New Roman" w:cs="Times New Roman"/>
          <w:sz w:val="24"/>
          <w:szCs w:val="24"/>
        </w:rPr>
        <w:br w:type="page"/>
      </w:r>
    </w:p>
    <w:p w14:paraId="4FAD3427">
      <w:pPr>
        <w:rPr>
          <w:rFonts w:hint="eastAsia"/>
        </w:rPr>
      </w:pPr>
      <w:r>
        <w:rPr>
          <w:rFonts w:hint="eastAsia"/>
        </w:rPr>
        <w:drawing>
          <wp:inline distT="0" distB="0" distL="114300" distR="114300">
            <wp:extent cx="5271770" cy="5557520"/>
            <wp:effectExtent l="0" t="0" r="5080" b="5080"/>
            <wp:docPr id="22" name="图片 22" descr="Extended Data Fi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xtended Data Fig. (13)"/>
                    <pic:cNvPicPr>
                      <a:picLocks noChangeAspect="1"/>
                    </pic:cNvPicPr>
                  </pic:nvPicPr>
                  <pic:blipFill>
                    <a:blip r:embed="rId17"/>
                    <a:stretch>
                      <a:fillRect/>
                    </a:stretch>
                  </pic:blipFill>
                  <pic:spPr>
                    <a:xfrm>
                      <a:off x="0" y="0"/>
                      <a:ext cx="5271770" cy="5557520"/>
                    </a:xfrm>
                    <a:prstGeom prst="rect">
                      <a:avLst/>
                    </a:prstGeom>
                  </pic:spPr>
                </pic:pic>
              </a:graphicData>
            </a:graphic>
          </wp:inline>
        </w:drawing>
      </w:r>
    </w:p>
    <w:p w14:paraId="42B69E19">
      <w:pPr>
        <w:adjustRightInd w:val="0"/>
        <w:snapToGrid w:val="0"/>
        <w:contextualSpacing/>
        <w:outlineLvl w:val="1"/>
        <w:rPr>
          <w:rFonts w:ascii="Times New Roman" w:hAnsi="Times New Roman" w:cs="Times New Roman"/>
          <w:b/>
          <w:bCs/>
          <w:sz w:val="24"/>
          <w:szCs w:val="24"/>
        </w:rPr>
      </w:pPr>
      <w:r>
        <w:rPr>
          <w:rFonts w:ascii="Times New Roman" w:hAnsi="Times New Roman"/>
          <w:b/>
          <w:bCs/>
          <w:sz w:val="24"/>
        </w:rPr>
        <w:t xml:space="preserve">Extended Data Fig. </w:t>
      </w:r>
      <w:r>
        <w:rPr>
          <w:rFonts w:hint="eastAsia" w:ascii="Times New Roman" w:hAnsi="Times New Roman"/>
          <w:b/>
          <w:bCs/>
          <w:sz w:val="24"/>
        </w:rPr>
        <w:t>13</w:t>
      </w:r>
      <w:r>
        <w:rPr>
          <w:rFonts w:hint="eastAsia" w:ascii="宋体" w:hAnsi="宋体"/>
          <w:b/>
        </w:rPr>
        <w:t>∣</w:t>
      </w:r>
      <w:r>
        <w:rPr>
          <w:rFonts w:ascii="Times New Roman" w:hAnsi="Times New Roman" w:cs="Times New Roman"/>
          <w:b/>
          <w:bCs/>
          <w:sz w:val="24"/>
          <w:szCs w:val="24"/>
        </w:rPr>
        <w:t>LEfSe analysis identifie</w:t>
      </w:r>
      <w:r>
        <w:rPr>
          <w:rFonts w:hint="eastAsia" w:ascii="Times New Roman" w:hAnsi="Times New Roman" w:cs="Times New Roman"/>
          <w:b/>
          <w:bCs/>
          <w:sz w:val="24"/>
          <w:szCs w:val="24"/>
        </w:rPr>
        <w:t>s</w:t>
      </w:r>
      <w:r>
        <w:rPr>
          <w:rFonts w:ascii="Times New Roman" w:hAnsi="Times New Roman" w:cs="Times New Roman"/>
          <w:b/>
          <w:bCs/>
          <w:sz w:val="24"/>
          <w:szCs w:val="24"/>
        </w:rPr>
        <w:t xml:space="preserve"> microbial biomarkers characterizing the significant differences between treatment groups</w:t>
      </w:r>
      <w:r>
        <w:rPr>
          <w:rFonts w:hint="eastAsia" w:ascii="Times New Roman" w:hAnsi="Times New Roman" w:cs="Times New Roman"/>
          <w:b/>
          <w:bCs/>
          <w:sz w:val="24"/>
          <w:szCs w:val="24"/>
        </w:rPr>
        <w:t>.</w:t>
      </w:r>
      <w:r>
        <w:rPr>
          <w:rFonts w:ascii="Times New Roman" w:hAnsi="Times New Roman" w:cs="Times New Roman"/>
          <w:b/>
          <w:bCs/>
          <w:sz w:val="24"/>
          <w:szCs w:val="24"/>
        </w:rPr>
        <w:br w:type="page"/>
      </w:r>
    </w:p>
    <w:p w14:paraId="72DC0E6E">
      <w:pPr>
        <w:adjustRightInd w:val="0"/>
        <w:snapToGrid w:val="0"/>
        <w:rPr>
          <w:rFonts w:ascii="Times New Roman" w:hAnsi="Times New Roman" w:cs="Times New Roman"/>
          <w:b/>
          <w:bCs/>
          <w:sz w:val="24"/>
        </w:rPr>
      </w:pPr>
      <w:r>
        <w:rPr>
          <w:rFonts w:hint="eastAsia" w:ascii="Times New Roman" w:hAnsi="Times New Roman" w:cs="Times New Roman"/>
          <w:b/>
          <w:bCs/>
          <w:sz w:val="24"/>
        </w:rPr>
        <w:drawing>
          <wp:inline distT="0" distB="0" distL="114300" distR="114300">
            <wp:extent cx="5273040" cy="4050665"/>
            <wp:effectExtent l="0" t="0" r="3810" b="6985"/>
            <wp:docPr id="2" name="图片 2" descr="Extended Data Fi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xtended Data Fig. 14"/>
                    <pic:cNvPicPr>
                      <a:picLocks noChangeAspect="1"/>
                    </pic:cNvPicPr>
                  </pic:nvPicPr>
                  <pic:blipFill>
                    <a:blip r:embed="rId18"/>
                    <a:stretch>
                      <a:fillRect/>
                    </a:stretch>
                  </pic:blipFill>
                  <pic:spPr>
                    <a:xfrm>
                      <a:off x="0" y="0"/>
                      <a:ext cx="5273040" cy="4050665"/>
                    </a:xfrm>
                    <a:prstGeom prst="rect">
                      <a:avLst/>
                    </a:prstGeom>
                  </pic:spPr>
                </pic:pic>
              </a:graphicData>
            </a:graphic>
          </wp:inline>
        </w:drawing>
      </w:r>
    </w:p>
    <w:p w14:paraId="7F227AA2">
      <w:pPr>
        <w:adjustRightInd w:val="0"/>
        <w:snapToGrid w:val="0"/>
        <w:contextualSpacing/>
        <w:outlineLvl w:val="1"/>
        <w:rPr>
          <w:rFonts w:ascii="Times New Roman" w:hAnsi="Times New Roman" w:eastAsia="等线" w:cs="Times New Roman"/>
          <w:sz w:val="24"/>
          <w:szCs w:val="24"/>
          <w:lang w:bidi="ar"/>
        </w:rPr>
      </w:pPr>
      <w:r>
        <w:rPr>
          <w:rFonts w:ascii="Times New Roman" w:hAnsi="Times New Roman"/>
          <w:b/>
          <w:bCs/>
          <w:sz w:val="24"/>
        </w:rPr>
        <w:t xml:space="preserve">Extended Data Fig. </w:t>
      </w:r>
      <w:r>
        <w:rPr>
          <w:rFonts w:hint="eastAsia" w:ascii="Times New Roman" w:hAnsi="Times New Roman"/>
          <w:b/>
          <w:bCs/>
          <w:sz w:val="24"/>
        </w:rPr>
        <w:t>14</w:t>
      </w:r>
      <w:r>
        <w:rPr>
          <w:rFonts w:hint="eastAsia" w:ascii="宋体" w:hAnsi="宋体"/>
          <w:b/>
        </w:rPr>
        <w:t>∣</w:t>
      </w:r>
      <w:r>
        <w:rPr>
          <w:rFonts w:ascii="Times New Roman" w:hAnsi="Times New Roman" w:cs="Times New Roman"/>
          <w:b/>
          <w:bCs/>
          <w:sz w:val="24"/>
        </w:rPr>
        <w:t>Generation of QSPs deletion mutants and complementary strains</w:t>
      </w:r>
      <w:r>
        <w:rPr>
          <w:rFonts w:hint="eastAsia" w:ascii="Times New Roman" w:hAnsi="Times New Roman" w:cs="Times New Roman"/>
          <w:b/>
          <w:sz w:val="24"/>
          <w:szCs w:val="24"/>
        </w:rPr>
        <w:t xml:space="preserve">. </w:t>
      </w:r>
      <w:r>
        <w:rPr>
          <w:rFonts w:hint="eastAsia" w:ascii="Times New Roman" w:hAnsi="Times New Roman" w:cs="Times New Roman"/>
          <w:b/>
          <w:bCs/>
          <w:sz w:val="24"/>
          <w:szCs w:val="24"/>
        </w:rPr>
        <w:t>a-c,</w:t>
      </w:r>
      <w:r>
        <w:rPr>
          <w:rFonts w:ascii="Times New Roman" w:hAnsi="Times New Roman" w:eastAsia="宋体" w:cs="Times New Roman"/>
          <w:sz w:val="24"/>
          <w:szCs w:val="24"/>
          <w:shd w:val="clear" w:color="auto" w:fill="FFFFFF"/>
        </w:rPr>
        <w:t xml:space="preserve"> </w:t>
      </w:r>
      <w:r>
        <w:rPr>
          <w:rFonts w:ascii="Times New Roman" w:hAnsi="Times New Roman" w:cs="Times New Roman"/>
          <w:sz w:val="24"/>
          <w:szCs w:val="24"/>
        </w:rPr>
        <w:t xml:space="preserve">Successful deletion and integration at the </w:t>
      </w:r>
      <w:r>
        <w:rPr>
          <w:rFonts w:ascii="Times New Roman" w:hAnsi="Times New Roman" w:cs="Times New Roman"/>
          <w:i/>
          <w:iCs/>
          <w:sz w:val="24"/>
          <w:szCs w:val="24"/>
        </w:rPr>
        <w:t>agrBD</w:t>
      </w:r>
      <w:r>
        <w:rPr>
          <w:rFonts w:ascii="Times New Roman" w:hAnsi="Times New Roman" w:cs="Times New Roman"/>
          <w:sz w:val="24"/>
          <w:szCs w:val="24"/>
        </w:rPr>
        <w:t xml:space="preserve"> locus were determined by amplifying DNA using primers flanking the region of deletion and insertion. The expected PCR products are shown in the ethidium-bromide-stained agarose gel. </w:t>
      </w:r>
      <w:r>
        <w:rPr>
          <w:rFonts w:hint="eastAsia" w:ascii="Times New Roman" w:hAnsi="Times New Roman" w:cs="Times New Roman"/>
          <w:b/>
          <w:bCs/>
          <w:sz w:val="24"/>
          <w:szCs w:val="24"/>
        </w:rPr>
        <w:t>d,</w:t>
      </w:r>
      <w:r>
        <w:rPr>
          <w:rFonts w:ascii="Times New Roman" w:hAnsi="Times New Roman" w:eastAsia="宋体" w:cs="Times New Roman"/>
          <w:sz w:val="24"/>
          <w:szCs w:val="24"/>
          <w:shd w:val="clear" w:color="auto" w:fill="FFFFFF"/>
        </w:rPr>
        <w:t xml:space="preserve"> </w:t>
      </w:r>
      <w:r>
        <w:rPr>
          <w:rFonts w:ascii="Times New Roman" w:hAnsi="Times New Roman" w:eastAsia="sans-serif" w:cs="Times New Roman"/>
          <w:sz w:val="24"/>
          <w:szCs w:val="24"/>
          <w:shd w:val="clear" w:color="auto" w:fill="FFFFFF"/>
        </w:rPr>
        <w:t>Calibration curve of GIVL standard by LC-HRMS.</w:t>
      </w:r>
      <w:r>
        <w:rPr>
          <w:rFonts w:ascii="Times New Roman" w:hAnsi="Times New Roman" w:cs="Times New Roman"/>
          <w:sz w:val="24"/>
          <w:szCs w:val="24"/>
        </w:rPr>
        <w:t xml:space="preserve"> </w:t>
      </w:r>
      <w:r>
        <w:rPr>
          <w:rFonts w:hint="eastAsia" w:ascii="Times New Roman" w:hAnsi="Times New Roman" w:cs="Times New Roman"/>
          <w:b/>
          <w:bCs/>
          <w:sz w:val="24"/>
          <w:szCs w:val="24"/>
        </w:rPr>
        <w:t>e,</w:t>
      </w:r>
      <w:r>
        <w:rPr>
          <w:rFonts w:ascii="Times New Roman" w:hAnsi="Times New Roman" w:cs="Times New Roman"/>
          <w:sz w:val="24"/>
          <w:szCs w:val="24"/>
          <w:shd w:val="clear" w:color="auto" w:fill="FFFFFF"/>
        </w:rPr>
        <w:t xml:space="preserve"> </w:t>
      </w:r>
      <w:r>
        <w:rPr>
          <w:rFonts w:ascii="Times New Roman" w:hAnsi="Times New Roman" w:eastAsia="等线" w:cs="Times New Roman"/>
          <w:sz w:val="24"/>
          <w:szCs w:val="24"/>
          <w:lang w:bidi="ar"/>
        </w:rPr>
        <w:t xml:space="preserve">Synthesis of GIVL in cell cultures correlated with time and bacterial concentration. GIVL concentration of wild-type </w:t>
      </w:r>
      <w:r>
        <w:rPr>
          <w:rFonts w:ascii="Times New Roman" w:hAnsi="Times New Roman" w:eastAsia="等线" w:cs="Times New Roman"/>
          <w:i/>
          <w:iCs/>
          <w:sz w:val="24"/>
          <w:szCs w:val="24"/>
          <w:lang w:bidi="ar"/>
        </w:rPr>
        <w:t>C. tyrobutyricum</w:t>
      </w:r>
      <w:r>
        <w:rPr>
          <w:rFonts w:ascii="Times New Roman" w:hAnsi="Times New Roman" w:eastAsia="等线" w:cs="Times New Roman"/>
          <w:sz w:val="24"/>
          <w:szCs w:val="24"/>
          <w:lang w:bidi="ar"/>
        </w:rPr>
        <w:t xml:space="preserve"> gradually increased with OD increasing to a threshold of 3.8 and then accelerated its increase to a maximum of 46.20 ± 11.96 μg/L at 80 h. Data are the </w:t>
      </w:r>
      <w:r>
        <w:rPr>
          <w:rFonts w:ascii="Times New Roman" w:hAnsi="Times New Roman" w:cs="Times New Roman"/>
          <w:sz w:val="24"/>
          <w:szCs w:val="24"/>
        </w:rPr>
        <w:t xml:space="preserve">mean </w:t>
      </w:r>
      <w:r>
        <w:rPr>
          <w:rFonts w:ascii="Times New Roman" w:hAnsi="Times New Roman" w:eastAsia="等线" w:cs="Times New Roman"/>
          <w:sz w:val="24"/>
          <w:szCs w:val="24"/>
          <w:lang w:bidi="ar"/>
        </w:rPr>
        <w:t xml:space="preserve">± </w:t>
      </w:r>
      <w:r>
        <w:rPr>
          <w:rFonts w:ascii="Times New Roman" w:hAnsi="Times New Roman" w:cs="Times New Roman"/>
          <w:sz w:val="24"/>
          <w:szCs w:val="24"/>
        </w:rPr>
        <w:t>standard deviation</w:t>
      </w:r>
      <w:r>
        <w:rPr>
          <w:rFonts w:ascii="Times New Roman" w:hAnsi="Times New Roman" w:eastAsia="等线" w:cs="Times New Roman"/>
          <w:sz w:val="24"/>
          <w:szCs w:val="24"/>
          <w:lang w:bidi="ar"/>
        </w:rPr>
        <w:t>.</w:t>
      </w:r>
      <w:r>
        <w:rPr>
          <w:rFonts w:ascii="Times New Roman" w:hAnsi="Times New Roman" w:eastAsia="等线" w:cs="Times New Roman"/>
          <w:sz w:val="24"/>
          <w:szCs w:val="24"/>
          <w:lang w:bidi="ar"/>
        </w:rPr>
        <w:br w:type="page"/>
      </w:r>
    </w:p>
    <w:p w14:paraId="68C78F9C">
      <w:pPr>
        <w:jc w:val="center"/>
        <w:rPr>
          <w:rFonts w:hint="eastAsia"/>
        </w:rPr>
      </w:pPr>
      <w:r>
        <w:rPr>
          <w:rFonts w:hint="eastAsia"/>
        </w:rPr>
        <w:drawing>
          <wp:inline distT="0" distB="0" distL="114300" distR="114300">
            <wp:extent cx="3209290" cy="2688590"/>
            <wp:effectExtent l="0" t="0" r="10160" b="16510"/>
            <wp:docPr id="9" name="图片 9" descr="Extended Data Fi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xtended Data Fig. 14"/>
                    <pic:cNvPicPr>
                      <a:picLocks noChangeAspect="1"/>
                    </pic:cNvPicPr>
                  </pic:nvPicPr>
                  <pic:blipFill>
                    <a:blip r:embed="rId19"/>
                    <a:stretch>
                      <a:fillRect/>
                    </a:stretch>
                  </pic:blipFill>
                  <pic:spPr>
                    <a:xfrm>
                      <a:off x="0" y="0"/>
                      <a:ext cx="3209290" cy="2688590"/>
                    </a:xfrm>
                    <a:prstGeom prst="rect">
                      <a:avLst/>
                    </a:prstGeom>
                  </pic:spPr>
                </pic:pic>
              </a:graphicData>
            </a:graphic>
          </wp:inline>
        </w:drawing>
      </w:r>
    </w:p>
    <w:p w14:paraId="4ADD5021">
      <w:pPr>
        <w:adjustRightInd w:val="0"/>
        <w:snapToGrid w:val="0"/>
        <w:contextualSpacing/>
        <w:outlineLvl w:val="1"/>
        <w:rPr>
          <w:rFonts w:ascii="Times New Roman" w:hAnsi="Times New Roman" w:cs="Times New Roman"/>
          <w:b/>
          <w:bCs/>
          <w:sz w:val="24"/>
          <w:szCs w:val="24"/>
        </w:rPr>
      </w:pPr>
      <w:r>
        <w:rPr>
          <w:rFonts w:ascii="Times New Roman" w:hAnsi="Times New Roman"/>
          <w:b/>
          <w:bCs/>
          <w:sz w:val="24"/>
        </w:rPr>
        <w:t xml:space="preserve">Extended Data Fig. </w:t>
      </w:r>
      <w:r>
        <w:rPr>
          <w:rFonts w:hint="eastAsia" w:ascii="Times New Roman" w:hAnsi="Times New Roman"/>
          <w:b/>
          <w:bCs/>
          <w:sz w:val="24"/>
        </w:rPr>
        <w:t>15</w:t>
      </w:r>
      <w:r>
        <w:rPr>
          <w:rFonts w:hint="eastAsia" w:ascii="宋体" w:hAnsi="宋体"/>
          <w:b/>
        </w:rPr>
        <w:t>∣</w:t>
      </w:r>
      <w:r>
        <w:rPr>
          <w:rFonts w:hint="eastAsia" w:ascii="Times New Roman" w:hAnsi="Times New Roman" w:cs="Times New Roman"/>
          <w:b/>
          <w:bCs/>
          <w:sz w:val="24"/>
        </w:rPr>
        <w:t>Sporulation assay results</w:t>
      </w:r>
      <w:r>
        <w:rPr>
          <w:rFonts w:ascii="Times New Roman" w:hAnsi="Times New Roman" w:cs="Times New Roman"/>
          <w:b/>
          <w:bCs/>
          <w:sz w:val="24"/>
        </w:rPr>
        <w:t xml:space="preserve"> of </w:t>
      </w:r>
      <w:r>
        <w:rPr>
          <w:rFonts w:ascii="Times New Roman" w:hAnsi="Times New Roman" w:cs="Times New Roman"/>
          <w:b/>
          <w:bCs/>
          <w:i/>
          <w:iCs/>
          <w:sz w:val="24"/>
        </w:rPr>
        <w:t>C. tyrobutyricum ΔagrD</w:t>
      </w:r>
      <w:r>
        <w:rPr>
          <w:rFonts w:ascii="Times New Roman" w:hAnsi="Times New Roman" w:cs="Times New Roman"/>
          <w:b/>
          <w:bCs/>
          <w:sz w:val="24"/>
        </w:rPr>
        <w:t xml:space="preserve"> strain</w:t>
      </w:r>
      <w:r>
        <w:rPr>
          <w:rFonts w:hint="eastAsia" w:ascii="Times New Roman" w:hAnsi="Times New Roman" w:cs="Times New Roman"/>
          <w:b/>
          <w:bCs/>
          <w:sz w:val="24"/>
        </w:rPr>
        <w:t xml:space="preserve"> for liquid cultures with GIVL supplementation</w:t>
      </w:r>
      <w:r>
        <w:rPr>
          <w:rFonts w:hint="eastAsia" w:ascii="Times New Roman" w:hAnsi="Times New Roman" w:cs="Times New Roman"/>
          <w:b/>
          <w:sz w:val="24"/>
          <w:szCs w:val="24"/>
        </w:rPr>
        <w:t>.</w:t>
      </w:r>
      <w:r>
        <w:rPr>
          <w:rFonts w:ascii="Times New Roman" w:hAnsi="Times New Roman" w:cs="Times New Roman"/>
          <w:b/>
          <w:bCs/>
          <w:sz w:val="24"/>
          <w:szCs w:val="24"/>
        </w:rPr>
        <w:br w:type="page"/>
      </w:r>
    </w:p>
    <w:p w14:paraId="2757D084">
      <w:pPr>
        <w:jc w:val="center"/>
        <w:rPr>
          <w:rFonts w:hint="eastAsia"/>
        </w:rPr>
      </w:pPr>
      <w:r>
        <w:rPr>
          <w:rFonts w:hint="eastAsia"/>
        </w:rPr>
        <w:drawing>
          <wp:inline distT="0" distB="0" distL="114300" distR="114300">
            <wp:extent cx="5271135" cy="1510030"/>
            <wp:effectExtent l="0" t="0" r="5715" b="13970"/>
            <wp:docPr id="23" name="图片 23" descr="Extended Data Fi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xtended Data Fig. 16"/>
                    <pic:cNvPicPr>
                      <a:picLocks noChangeAspect="1"/>
                    </pic:cNvPicPr>
                  </pic:nvPicPr>
                  <pic:blipFill>
                    <a:blip r:embed="rId20"/>
                    <a:stretch>
                      <a:fillRect/>
                    </a:stretch>
                  </pic:blipFill>
                  <pic:spPr>
                    <a:xfrm>
                      <a:off x="0" y="0"/>
                      <a:ext cx="5271135" cy="1510030"/>
                    </a:xfrm>
                    <a:prstGeom prst="rect">
                      <a:avLst/>
                    </a:prstGeom>
                  </pic:spPr>
                </pic:pic>
              </a:graphicData>
            </a:graphic>
          </wp:inline>
        </w:drawing>
      </w:r>
    </w:p>
    <w:p w14:paraId="6EE71937">
      <w:pPr>
        <w:adjustRightInd w:val="0"/>
        <w:snapToGrid w:val="0"/>
        <w:contextualSpacing/>
        <w:outlineLvl w:val="1"/>
        <w:rPr>
          <w:rFonts w:ascii="Times New Roman" w:hAnsi="Times New Roman" w:cs="Times New Roman"/>
          <w:sz w:val="24"/>
          <w:szCs w:val="24"/>
        </w:rPr>
      </w:pPr>
      <w:r>
        <w:rPr>
          <w:rFonts w:ascii="Times New Roman" w:hAnsi="Times New Roman"/>
          <w:b/>
          <w:bCs/>
          <w:sz w:val="24"/>
        </w:rPr>
        <w:t xml:space="preserve">Extended Data Fig. </w:t>
      </w:r>
      <w:r>
        <w:rPr>
          <w:rFonts w:hint="eastAsia" w:ascii="Times New Roman" w:hAnsi="Times New Roman"/>
          <w:b/>
          <w:bCs/>
          <w:sz w:val="24"/>
        </w:rPr>
        <w:t>16</w:t>
      </w:r>
      <w:r>
        <w:rPr>
          <w:rFonts w:hint="eastAsia" w:ascii="宋体" w:hAnsi="宋体"/>
          <w:b/>
        </w:rPr>
        <w:t>∣</w:t>
      </w:r>
      <w:r>
        <w:rPr>
          <w:rFonts w:hint="eastAsia" w:ascii="Times New Roman" w:hAnsi="Times New Roman" w:cs="Times New Roman"/>
          <w:b/>
          <w:bCs/>
          <w:sz w:val="24"/>
          <w:szCs w:val="24"/>
        </w:rPr>
        <w:t xml:space="preserve">GIVL treatment affects biofilm and SCFAs production of </w:t>
      </w:r>
      <w:r>
        <w:rPr>
          <w:rFonts w:hint="eastAsia" w:ascii="Times New Roman" w:hAnsi="Times New Roman" w:cs="Times New Roman"/>
          <w:b/>
          <w:bCs/>
          <w:i/>
          <w:iCs/>
          <w:sz w:val="24"/>
          <w:szCs w:val="24"/>
        </w:rPr>
        <w:t>F. rodentium in vitro</w:t>
      </w:r>
      <w:r>
        <w:rPr>
          <w:rFonts w:hint="eastAsia" w:ascii="Times New Roman" w:hAnsi="Times New Roman" w:cs="Times New Roman"/>
          <w:b/>
          <w:bCs/>
          <w:sz w:val="24"/>
          <w:szCs w:val="24"/>
        </w:rPr>
        <w:t>. a,</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Effects of GIVL supplementation on biofilm formation in </w:t>
      </w:r>
      <w:r>
        <w:rPr>
          <w:rFonts w:hint="eastAsia" w:ascii="Times New Roman" w:hAnsi="Times New Roman" w:cs="Times New Roman"/>
          <w:i/>
          <w:iCs/>
          <w:sz w:val="24"/>
          <w:szCs w:val="24"/>
        </w:rPr>
        <w:t xml:space="preserve">F. rodentium </w:t>
      </w:r>
      <w:r>
        <w:rPr>
          <w:rFonts w:ascii="Times New Roman" w:hAnsi="Times New Roman" w:cs="Times New Roman"/>
          <w:i/>
          <w:iCs/>
          <w:sz w:val="24"/>
          <w:szCs w:val="24"/>
        </w:rPr>
        <w:t>in vitro</w:t>
      </w:r>
      <w:r>
        <w:rPr>
          <w:rFonts w:ascii="Times New Roman" w:hAnsi="Times New Roman" w:cs="Times New Roman"/>
          <w:sz w:val="24"/>
          <w:szCs w:val="24"/>
        </w:rPr>
        <w:t xml:space="preserve">. GIVL treatment significantly increased total SCFAs levels </w:t>
      </w:r>
      <w:r>
        <w:rPr>
          <w:rStyle w:val="12"/>
          <w:rFonts w:ascii="Times New Roman" w:hAnsi="Times New Roman" w:eastAsia="宋体" w:cs="Times New Roman"/>
          <w:b w:val="0"/>
          <w:bCs/>
          <w:sz w:val="24"/>
          <w:szCs w:val="24"/>
        </w:rPr>
        <w:t>(</w:t>
      </w:r>
      <w:r>
        <w:rPr>
          <w:rStyle w:val="12"/>
          <w:rFonts w:hint="eastAsia" w:ascii="Times New Roman" w:hAnsi="Times New Roman" w:eastAsia="宋体" w:cs="Times New Roman"/>
          <w:sz w:val="24"/>
          <w:szCs w:val="24"/>
        </w:rPr>
        <w:t>b</w:t>
      </w:r>
      <w:r>
        <w:rPr>
          <w:rStyle w:val="12"/>
          <w:rFonts w:ascii="Times New Roman" w:hAnsi="Times New Roman" w:eastAsia="宋体" w:cs="Times New Roman"/>
          <w:b w:val="0"/>
          <w:bCs/>
          <w:sz w:val="24"/>
          <w:szCs w:val="24"/>
        </w:rPr>
        <w:t>)</w:t>
      </w:r>
      <w:r>
        <w:rPr>
          <w:rFonts w:ascii="Times New Roman" w:hAnsi="Times New Roman" w:cs="Times New Roman"/>
          <w:sz w:val="24"/>
          <w:szCs w:val="24"/>
        </w:rPr>
        <w:t xml:space="preserve"> and butyrate production </w:t>
      </w:r>
      <w:r>
        <w:rPr>
          <w:rStyle w:val="12"/>
          <w:rFonts w:ascii="Times New Roman" w:hAnsi="Times New Roman" w:eastAsia="宋体" w:cs="Times New Roman"/>
          <w:b w:val="0"/>
          <w:bCs/>
          <w:sz w:val="24"/>
          <w:szCs w:val="24"/>
        </w:rPr>
        <w:t>(</w:t>
      </w:r>
      <w:r>
        <w:rPr>
          <w:rStyle w:val="12"/>
          <w:rFonts w:hint="eastAsia" w:ascii="Times New Roman" w:hAnsi="Times New Roman" w:eastAsia="宋体" w:cs="Times New Roman"/>
          <w:sz w:val="24"/>
          <w:szCs w:val="24"/>
        </w:rPr>
        <w:t>c</w:t>
      </w:r>
      <w:r>
        <w:rPr>
          <w:rStyle w:val="12"/>
          <w:rFonts w:ascii="Times New Roman" w:hAnsi="Times New Roman" w:eastAsia="宋体" w:cs="Times New Roman"/>
          <w:b w:val="0"/>
          <w:bCs/>
          <w:sz w:val="24"/>
          <w:szCs w:val="24"/>
        </w:rPr>
        <w:t>)</w:t>
      </w:r>
      <w:r>
        <w:rPr>
          <w:rFonts w:ascii="Times New Roman" w:hAnsi="Times New Roman" w:cs="Times New Roman"/>
          <w:sz w:val="24"/>
          <w:szCs w:val="24"/>
        </w:rPr>
        <w:t xml:space="preserve"> in </w:t>
      </w:r>
      <w:r>
        <w:rPr>
          <w:rStyle w:val="13"/>
          <w:rFonts w:ascii="Times New Roman" w:hAnsi="Times New Roman" w:eastAsia="宋体" w:cs="Times New Roman"/>
          <w:bCs/>
          <w:sz w:val="24"/>
          <w:szCs w:val="24"/>
        </w:rPr>
        <w:t>F. rodentium</w:t>
      </w:r>
      <w:r>
        <w:rPr>
          <w:rFonts w:ascii="Times New Roman" w:hAnsi="Times New Roman" w:cs="Times New Roman"/>
          <w:sz w:val="24"/>
          <w:szCs w:val="24"/>
        </w:rPr>
        <w:t>.</w:t>
      </w:r>
      <w:r>
        <w:rPr>
          <w:rFonts w:ascii="Times New Roman" w:hAnsi="Times New Roman" w:cs="Times New Roman"/>
          <w:sz w:val="24"/>
          <w:szCs w:val="24"/>
        </w:rPr>
        <w:br w:type="page"/>
      </w:r>
    </w:p>
    <w:p w14:paraId="32BF34D7">
      <w:pPr>
        <w:adjustRightInd w:val="0"/>
        <w:snapToGrid w:val="0"/>
        <w:contextualSpacing/>
        <w:outlineLvl w:val="1"/>
        <w:rPr>
          <w:rFonts w:ascii="Times New Roman" w:hAnsi="Times New Roman" w:cs="Times New Roman"/>
          <w:sz w:val="24"/>
          <w:szCs w:val="24"/>
        </w:rPr>
      </w:pPr>
      <w:r>
        <w:rPr>
          <w:rFonts w:ascii="Times New Roman" w:hAnsi="Times New Roman" w:cs="Times New Roman"/>
          <w:b/>
          <w:bCs/>
          <w:sz w:val="24"/>
          <w:szCs w:val="24"/>
        </w:rPr>
        <w:drawing>
          <wp:inline distT="0" distB="0" distL="0" distR="0">
            <wp:extent cx="5274310" cy="4545965"/>
            <wp:effectExtent l="0" t="0" r="0" b="635"/>
            <wp:docPr id="664239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39379" name="Picture 1"/>
                    <pic:cNvPicPr>
                      <a:picLocks noChangeAspect="1"/>
                    </pic:cNvPicPr>
                  </pic:nvPicPr>
                  <pic:blipFill>
                    <a:blip r:embed="rId21"/>
                    <a:stretch>
                      <a:fillRect/>
                    </a:stretch>
                  </pic:blipFill>
                  <pic:spPr>
                    <a:xfrm>
                      <a:off x="0" y="0"/>
                      <a:ext cx="5274310" cy="4545965"/>
                    </a:xfrm>
                    <a:prstGeom prst="rect">
                      <a:avLst/>
                    </a:prstGeom>
                  </pic:spPr>
                </pic:pic>
              </a:graphicData>
            </a:graphic>
          </wp:inline>
        </w:drawing>
      </w:r>
      <w:r>
        <w:rPr>
          <w:rFonts w:ascii="Times New Roman" w:hAnsi="Times New Roman"/>
          <w:b/>
          <w:bCs/>
          <w:sz w:val="24"/>
        </w:rPr>
        <w:t xml:space="preserve">Extended Data Fig. </w:t>
      </w:r>
      <w:r>
        <w:rPr>
          <w:rFonts w:hint="eastAsia" w:ascii="Times New Roman" w:hAnsi="Times New Roman"/>
          <w:b/>
          <w:bCs/>
          <w:sz w:val="24"/>
        </w:rPr>
        <w:t>17</w:t>
      </w:r>
      <w:r>
        <w:rPr>
          <w:rFonts w:hint="eastAsia" w:ascii="宋体" w:hAnsi="宋体"/>
          <w:b/>
        </w:rPr>
        <w:t>∣</w:t>
      </w:r>
      <w:r>
        <w:rPr>
          <w:rFonts w:hint="eastAsia" w:ascii="Times New Roman" w:hAnsi="Times New Roman" w:cs="Times New Roman"/>
          <w:b/>
          <w:bCs/>
          <w:sz w:val="24"/>
          <w:szCs w:val="24"/>
        </w:rPr>
        <w:t xml:space="preserve">Proposed hypoglycemic mechanism of GIVL. </w:t>
      </w:r>
      <w:r>
        <w:rPr>
          <w:rFonts w:ascii="Times New Roman" w:hAnsi="Times New Roman" w:cs="Times New Roman"/>
          <w:sz w:val="24"/>
          <w:szCs w:val="24"/>
        </w:rPr>
        <w:t xml:space="preserve">GIVL first inhibits SI activity in the small intestine, thereby impeding the </w:t>
      </w:r>
      <w:r>
        <w:rPr>
          <w:rFonts w:hint="eastAsia" w:ascii="Times New Roman" w:hAnsi="Times New Roman" w:cs="Times New Roman"/>
          <w:sz w:val="24"/>
          <w:szCs w:val="24"/>
        </w:rPr>
        <w:t xml:space="preserve">enzymatic </w:t>
      </w:r>
      <w:r>
        <w:rPr>
          <w:rFonts w:ascii="Times New Roman" w:hAnsi="Times New Roman" w:cs="Times New Roman"/>
          <w:sz w:val="24"/>
          <w:szCs w:val="24"/>
        </w:rPr>
        <w:t xml:space="preserve">hydrolysis and </w:t>
      </w:r>
      <w:r>
        <w:rPr>
          <w:rFonts w:hint="eastAsia" w:ascii="Times New Roman" w:hAnsi="Times New Roman" w:cs="Times New Roman"/>
          <w:sz w:val="24"/>
          <w:szCs w:val="24"/>
        </w:rPr>
        <w:t xml:space="preserve">ensuing </w:t>
      </w:r>
      <w:r>
        <w:rPr>
          <w:rFonts w:ascii="Times New Roman" w:hAnsi="Times New Roman" w:cs="Times New Roman"/>
          <w:sz w:val="24"/>
          <w:szCs w:val="24"/>
        </w:rPr>
        <w:t xml:space="preserve">absorption of </w:t>
      </w:r>
      <w:r>
        <w:rPr>
          <w:rFonts w:hint="eastAsia" w:ascii="Times New Roman" w:hAnsi="Times New Roman" w:cs="Times New Roman"/>
          <w:sz w:val="24"/>
          <w:szCs w:val="24"/>
        </w:rPr>
        <w:t>monosaccharides and thereby</w:t>
      </w:r>
      <w:r>
        <w:rPr>
          <w:rFonts w:ascii="Times New Roman" w:hAnsi="Times New Roman" w:cs="Times New Roman"/>
          <w:sz w:val="24"/>
          <w:szCs w:val="24"/>
        </w:rPr>
        <w:t xml:space="preserve"> increasing </w:t>
      </w:r>
      <w:r>
        <w:rPr>
          <w:rFonts w:hint="eastAsia" w:ascii="Times New Roman" w:hAnsi="Times New Roman" w:cs="Times New Roman"/>
          <w:sz w:val="24"/>
          <w:szCs w:val="24"/>
        </w:rPr>
        <w:t>carbohydrate flux to the distal gut</w:t>
      </w:r>
      <w:r>
        <w:rPr>
          <w:rFonts w:ascii="Times New Roman" w:hAnsi="Times New Roman" w:cs="Times New Roman"/>
          <w:sz w:val="24"/>
          <w:szCs w:val="24"/>
        </w:rPr>
        <w:t xml:space="preserve"> (left). This </w:t>
      </w:r>
      <w:r>
        <w:rPr>
          <w:rFonts w:hint="eastAsia" w:ascii="Times New Roman" w:hAnsi="Times New Roman" w:cs="Times New Roman"/>
          <w:sz w:val="24"/>
          <w:szCs w:val="24"/>
        </w:rPr>
        <w:t xml:space="preserve">altered nutrient landscape then favors SCFA-associated bacteria </w:t>
      </w:r>
      <w:r>
        <w:rPr>
          <w:rFonts w:ascii="Times New Roman" w:hAnsi="Times New Roman" w:cs="Times New Roman"/>
          <w:sz w:val="24"/>
          <w:szCs w:val="24"/>
        </w:rPr>
        <w:t>(e.g.,</w:t>
      </w:r>
      <w:r>
        <w:rPr>
          <w:rFonts w:ascii="Times New Roman" w:hAnsi="Times New Roman" w:cs="Times New Roman"/>
          <w:i/>
          <w:iCs/>
          <w:sz w:val="24"/>
          <w:szCs w:val="24"/>
        </w:rPr>
        <w:t xml:space="preserve"> F. rodentium</w:t>
      </w:r>
      <w:r>
        <w:rPr>
          <w:rFonts w:ascii="Times New Roman" w:hAnsi="Times New Roman" w:cs="Times New Roman"/>
          <w:sz w:val="24"/>
          <w:szCs w:val="24"/>
        </w:rPr>
        <w:t xml:space="preserve">), </w:t>
      </w:r>
      <w:r>
        <w:rPr>
          <w:rFonts w:hint="eastAsia" w:ascii="Times New Roman" w:hAnsi="Times New Roman" w:cs="Times New Roman"/>
          <w:sz w:val="24"/>
          <w:szCs w:val="24"/>
        </w:rPr>
        <w:t>thereby promoting SCFA production and engagement of the SCFA-GLP-1 axis.</w:t>
      </w:r>
      <w:r>
        <w:rPr>
          <w:rFonts w:ascii="Times New Roman" w:hAnsi="Times New Roman" w:cs="Times New Roman"/>
          <w:sz w:val="24"/>
          <w:szCs w:val="24"/>
        </w:rPr>
        <w:t xml:space="preserve"> </w:t>
      </w:r>
      <w:r>
        <w:rPr>
          <w:rFonts w:hint="eastAsia" w:ascii="Times New Roman" w:hAnsi="Times New Roman" w:cs="Times New Roman"/>
          <w:sz w:val="24"/>
          <w:szCs w:val="24"/>
        </w:rPr>
        <w:t>Together, these effects ultimately contribute to a synergistic and sustained improvement in host glycemic homeostasis</w:t>
      </w:r>
      <w:r>
        <w:rPr>
          <w:rFonts w:ascii="Times New Roman" w:hAnsi="Times New Roman" w:cs="Times New Roman"/>
          <w:sz w:val="24"/>
          <w:szCs w:val="24"/>
        </w:rPr>
        <w:t xml:space="preserve"> (right).</w:t>
      </w:r>
    </w:p>
    <w:p w14:paraId="6C5AD845">
      <w:pPr>
        <w:rPr>
          <w:rFonts w:ascii="Times New Roman" w:hAnsi="Times New Roman" w:cs="Times New Roman"/>
          <w:sz w:val="24"/>
          <w:szCs w:val="24"/>
        </w:rPr>
      </w:pPr>
      <w:r>
        <w:rPr>
          <w:rFonts w:ascii="Times New Roman" w:hAnsi="Times New Roman" w:cs="Times New Roman"/>
          <w:sz w:val="24"/>
          <w:szCs w:val="24"/>
        </w:rPr>
        <w:br w:type="page"/>
      </w:r>
    </w:p>
    <w:p w14:paraId="7427C9CC">
      <w:pPr>
        <w:adjustRightInd w:val="0"/>
        <w:snapToGrid w:val="0"/>
        <w:contextualSpacing/>
        <w:outlineLvl w:val="0"/>
        <w:rPr>
          <w:rFonts w:ascii="Times New Roman" w:hAnsi="Times New Roman" w:cs="Times New Roman"/>
          <w:b/>
          <w:bCs/>
          <w:sz w:val="24"/>
        </w:rPr>
        <w:sectPr>
          <w:pgSz w:w="11906" w:h="16838"/>
          <w:pgMar w:top="1440" w:right="1800" w:bottom="1440" w:left="1800" w:header="851" w:footer="992" w:gutter="0"/>
          <w:lnNumType w:countBy="1" w:restart="continuous"/>
          <w:cols w:space="425" w:num="1"/>
          <w:docGrid w:type="lines" w:linePitch="312" w:charSpace="0"/>
        </w:sectPr>
      </w:pPr>
    </w:p>
    <w:p w14:paraId="35758554">
      <w:pPr>
        <w:pStyle w:val="51"/>
        <w:adjustRightInd w:val="0"/>
        <w:spacing w:before="0" w:after="0" w:line="360" w:lineRule="auto"/>
        <w:contextualSpacing/>
        <w:outlineLvl w:val="0"/>
        <w:rPr>
          <w:rFonts w:ascii="Times New Roman" w:hAnsi="Times New Roman" w:eastAsiaTheme="minorEastAsia"/>
          <w:sz w:val="24"/>
          <w:lang w:eastAsia="zh-CN"/>
        </w:rPr>
      </w:pPr>
      <w:r>
        <w:rPr>
          <w:rFonts w:ascii="Times New Roman" w:hAnsi="Times New Roman"/>
          <w:sz w:val="24"/>
          <w:lang w:eastAsia="zh-CN"/>
        </w:rPr>
        <w:t>Supplementa</w:t>
      </w:r>
      <w:r>
        <w:rPr>
          <w:rFonts w:hint="eastAsia" w:ascii="Times New Roman" w:hAnsi="Times New Roman"/>
          <w:sz w:val="24"/>
          <w:lang w:val="en-US" w:eastAsia="zh-CN"/>
        </w:rPr>
        <w:t>ry</w:t>
      </w:r>
      <w:r>
        <w:rPr>
          <w:rFonts w:ascii="Times New Roman" w:hAnsi="Times New Roman"/>
          <w:sz w:val="24"/>
          <w:lang w:eastAsia="zh-CN"/>
        </w:rPr>
        <w:t xml:space="preserve"> </w:t>
      </w:r>
      <w:r>
        <w:rPr>
          <w:rFonts w:hint="eastAsia" w:ascii="Times New Roman" w:hAnsi="Times New Roman"/>
          <w:sz w:val="24"/>
          <w:lang w:val="en-US" w:eastAsia="zh-CN"/>
        </w:rPr>
        <w:t>Table</w:t>
      </w:r>
      <w:r>
        <w:rPr>
          <w:rFonts w:ascii="Times New Roman" w:hAnsi="Times New Roman"/>
          <w:sz w:val="24"/>
          <w:lang w:eastAsia="zh-CN"/>
        </w:rPr>
        <w:t>s</w:t>
      </w:r>
    </w:p>
    <w:p w14:paraId="7888C8D8">
      <w:pPr>
        <w:adjustRightInd w:val="0"/>
        <w:snapToGrid w:val="0"/>
        <w:spacing w:after="78" w:afterLines="25"/>
        <w:jc w:val="left"/>
        <w:outlineLvl w:val="1"/>
        <w:rPr>
          <w:rFonts w:ascii="Times New Roman" w:hAnsi="Times New Roman" w:cs="Times New Roman"/>
          <w:b/>
          <w:bCs/>
          <w:sz w:val="24"/>
        </w:rPr>
      </w:pPr>
      <w:r>
        <w:rPr>
          <w:rFonts w:hint="eastAsia" w:ascii="Times New Roman" w:hAnsi="Times New Roman" w:cs="Times New Roman"/>
          <w:b/>
          <w:bCs/>
          <w:color w:val="000000" w:themeColor="text1"/>
          <w:sz w:val="24"/>
          <w14:textFill>
            <w14:solidFill>
              <w14:schemeClr w14:val="tx1"/>
            </w14:solidFill>
          </w14:textFill>
        </w:rPr>
        <w:t>Supplementary Table 5∣</w:t>
      </w:r>
      <w:r>
        <w:rPr>
          <w:rFonts w:ascii="Times New Roman" w:hAnsi="Times New Roman" w:cs="Times New Roman"/>
          <w:b/>
          <w:bCs/>
          <w:sz w:val="24"/>
        </w:rPr>
        <w:t>Comparison of secondary structure</w:t>
      </w:r>
      <w:r>
        <w:rPr>
          <w:rFonts w:hint="eastAsia" w:ascii="Times New Roman" w:hAnsi="Times New Roman" w:cs="Times New Roman"/>
          <w:b/>
          <w:bCs/>
          <w:sz w:val="24"/>
        </w:rPr>
        <w:t xml:space="preserve"> </w:t>
      </w:r>
      <w:r>
        <w:rPr>
          <w:rFonts w:ascii="Times New Roman" w:hAnsi="Times New Roman" w:cs="Times New Roman"/>
          <w:b/>
          <w:bCs/>
          <w:sz w:val="24"/>
        </w:rPr>
        <w:t>contents between the three peptide‑SI complexes and the acarbose‑SI complex</w:t>
      </w:r>
      <w:r>
        <w:rPr>
          <w:rFonts w:hint="eastAsia" w:ascii="Times New Roman" w:hAnsi="Times New Roman" w:cs="Times New Roman"/>
          <w:b/>
          <w:bCs/>
          <w:sz w:val="24"/>
        </w:rPr>
        <w:t>.</w:t>
      </w:r>
    </w:p>
    <w:tbl>
      <w:tblPr>
        <w:tblStyle w:val="54"/>
        <w:tblW w:w="0" w:type="auto"/>
        <w:jc w:val="center"/>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1"/>
        <w:gridCol w:w="2039"/>
        <w:gridCol w:w="2040"/>
        <w:gridCol w:w="2040"/>
      </w:tblGrid>
      <w:tr w14:paraId="375A8D60">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2181" w:type="dxa"/>
            <w:tcBorders>
              <w:top w:val="single" w:color="auto" w:sz="4" w:space="0"/>
              <w:bottom w:val="single" w:color="auto" w:sz="4" w:space="0"/>
              <w:right w:val="nil"/>
            </w:tcBorders>
          </w:tcPr>
          <w:p w14:paraId="328E04CD">
            <w:pPr>
              <w:widowControl/>
              <w:jc w:val="left"/>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4"/>
              </w:rPr>
              <w:t>Complex</w:t>
            </w:r>
          </w:p>
        </w:tc>
        <w:tc>
          <w:tcPr>
            <w:tcW w:w="2039" w:type="dxa"/>
            <w:tcBorders>
              <w:top w:val="single" w:color="auto" w:sz="4" w:space="0"/>
              <w:left w:val="nil"/>
              <w:bottom w:val="single" w:color="auto" w:sz="4" w:space="0"/>
              <w:right w:val="nil"/>
            </w:tcBorders>
          </w:tcPr>
          <w:p w14:paraId="0D5AE98B">
            <w:pPr>
              <w:widowControl/>
              <w:jc w:val="left"/>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4"/>
              </w:rPr>
              <w:t>Random coil</w:t>
            </w:r>
          </w:p>
        </w:tc>
        <w:tc>
          <w:tcPr>
            <w:tcW w:w="2040" w:type="dxa"/>
            <w:tcBorders>
              <w:top w:val="single" w:color="auto" w:sz="4" w:space="0"/>
              <w:left w:val="nil"/>
              <w:bottom w:val="single" w:color="auto" w:sz="4" w:space="0"/>
              <w:right w:val="nil"/>
            </w:tcBorders>
          </w:tcPr>
          <w:p w14:paraId="73BE2E65">
            <w:pPr>
              <w:widowControl/>
              <w:jc w:val="left"/>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4"/>
              </w:rPr>
              <w:t>Alpha helix</w:t>
            </w:r>
          </w:p>
        </w:tc>
        <w:tc>
          <w:tcPr>
            <w:tcW w:w="2040" w:type="dxa"/>
            <w:tcBorders>
              <w:top w:val="single" w:color="auto" w:sz="4" w:space="0"/>
              <w:left w:val="nil"/>
              <w:bottom w:val="single" w:color="auto" w:sz="4" w:space="0"/>
            </w:tcBorders>
          </w:tcPr>
          <w:p w14:paraId="6206BBAC">
            <w:pPr>
              <w:widowControl/>
              <w:jc w:val="left"/>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4"/>
              </w:rPr>
              <w:t>Beta sheet</w:t>
            </w:r>
          </w:p>
        </w:tc>
      </w:tr>
      <w:tr w14:paraId="407AE448">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2181" w:type="dxa"/>
            <w:tcBorders>
              <w:top w:val="nil"/>
              <w:bottom w:val="nil"/>
              <w:right w:val="nil"/>
            </w:tcBorders>
          </w:tcPr>
          <w:p w14:paraId="27EE7830">
            <w:pPr>
              <w:widowControl/>
              <w:jc w:val="left"/>
              <w:rPr>
                <w:rFonts w:ascii="Times New Roman" w:hAnsi="Times New Roman" w:eastAsia="等线" w:cs="Times New Roman"/>
                <w:b/>
                <w:bCs/>
                <w:color w:val="000000"/>
                <w:kern w:val="0"/>
                <w:sz w:val="24"/>
                <w:szCs w:val="24"/>
                <w:lang w:val="en-GB"/>
              </w:rPr>
            </w:pPr>
            <w:r>
              <w:rPr>
                <w:rFonts w:ascii="Times New Roman" w:hAnsi="Times New Roman" w:eastAsia="等线" w:cs="Times New Roman"/>
                <w:b w:val="0"/>
                <w:bCs w:val="0"/>
                <w:color w:val="000000"/>
                <w:kern w:val="0"/>
                <w:sz w:val="24"/>
                <w:szCs w:val="24"/>
              </w:rPr>
              <w:t>cQSP_1089-SI</w:t>
            </w:r>
          </w:p>
        </w:tc>
        <w:tc>
          <w:tcPr>
            <w:tcW w:w="2039" w:type="dxa"/>
            <w:tcBorders>
              <w:top w:val="nil"/>
              <w:left w:val="nil"/>
              <w:bottom w:val="nil"/>
              <w:right w:val="nil"/>
            </w:tcBorders>
          </w:tcPr>
          <w:p w14:paraId="02859AE3">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86</w:t>
            </w:r>
          </w:p>
        </w:tc>
        <w:tc>
          <w:tcPr>
            <w:tcW w:w="2040" w:type="dxa"/>
            <w:tcBorders>
              <w:top w:val="nil"/>
              <w:left w:val="nil"/>
              <w:bottom w:val="nil"/>
              <w:right w:val="nil"/>
            </w:tcBorders>
          </w:tcPr>
          <w:p w14:paraId="5A93BAF3">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23</w:t>
            </w:r>
          </w:p>
        </w:tc>
        <w:tc>
          <w:tcPr>
            <w:tcW w:w="2040" w:type="dxa"/>
            <w:tcBorders>
              <w:top w:val="nil"/>
              <w:left w:val="nil"/>
              <w:bottom w:val="nil"/>
            </w:tcBorders>
          </w:tcPr>
          <w:p w14:paraId="7077D6DE">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67</w:t>
            </w:r>
          </w:p>
        </w:tc>
      </w:tr>
      <w:tr w14:paraId="5327E65E">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2181" w:type="dxa"/>
            <w:tcBorders>
              <w:top w:val="nil"/>
              <w:bottom w:val="nil"/>
              <w:right w:val="nil"/>
            </w:tcBorders>
          </w:tcPr>
          <w:p w14:paraId="45946BB5">
            <w:pPr>
              <w:widowControl/>
              <w:jc w:val="left"/>
              <w:rPr>
                <w:rFonts w:ascii="Times New Roman" w:hAnsi="Times New Roman" w:eastAsia="等线" w:cs="Times New Roman"/>
                <w:b/>
                <w:bCs/>
                <w:color w:val="000000"/>
                <w:kern w:val="0"/>
                <w:sz w:val="24"/>
                <w:szCs w:val="24"/>
                <w:lang w:val="en-GB"/>
              </w:rPr>
            </w:pPr>
            <w:r>
              <w:rPr>
                <w:rFonts w:ascii="Times New Roman" w:hAnsi="Times New Roman" w:eastAsia="等线" w:cs="Times New Roman"/>
                <w:b w:val="0"/>
                <w:bCs w:val="0"/>
                <w:color w:val="000000"/>
                <w:kern w:val="0"/>
                <w:sz w:val="24"/>
                <w:szCs w:val="24"/>
              </w:rPr>
              <w:t>cQSP_1105-SI</w:t>
            </w:r>
          </w:p>
        </w:tc>
        <w:tc>
          <w:tcPr>
            <w:tcW w:w="2039" w:type="dxa"/>
            <w:tcBorders>
              <w:top w:val="nil"/>
              <w:left w:val="nil"/>
              <w:bottom w:val="nil"/>
              <w:right w:val="nil"/>
            </w:tcBorders>
          </w:tcPr>
          <w:p w14:paraId="69F4D884">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85</w:t>
            </w:r>
          </w:p>
        </w:tc>
        <w:tc>
          <w:tcPr>
            <w:tcW w:w="2040" w:type="dxa"/>
            <w:tcBorders>
              <w:top w:val="nil"/>
              <w:left w:val="nil"/>
              <w:bottom w:val="nil"/>
              <w:right w:val="nil"/>
            </w:tcBorders>
          </w:tcPr>
          <w:p w14:paraId="71233104">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23</w:t>
            </w:r>
          </w:p>
        </w:tc>
        <w:tc>
          <w:tcPr>
            <w:tcW w:w="2040" w:type="dxa"/>
            <w:tcBorders>
              <w:top w:val="nil"/>
              <w:left w:val="nil"/>
              <w:bottom w:val="nil"/>
            </w:tcBorders>
          </w:tcPr>
          <w:p w14:paraId="6E1C6A53">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67</w:t>
            </w:r>
          </w:p>
        </w:tc>
      </w:tr>
      <w:tr w14:paraId="4AE32D9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2181" w:type="dxa"/>
            <w:tcBorders>
              <w:top w:val="nil"/>
              <w:bottom w:val="nil"/>
              <w:right w:val="nil"/>
            </w:tcBorders>
          </w:tcPr>
          <w:p w14:paraId="3CBD737F">
            <w:pPr>
              <w:widowControl/>
              <w:jc w:val="left"/>
              <w:rPr>
                <w:rFonts w:ascii="Times New Roman" w:hAnsi="Times New Roman" w:eastAsia="等线" w:cs="Times New Roman"/>
                <w:b/>
                <w:bCs/>
                <w:color w:val="000000"/>
                <w:kern w:val="0"/>
                <w:sz w:val="24"/>
                <w:szCs w:val="24"/>
                <w:lang w:val="en-GB"/>
              </w:rPr>
            </w:pPr>
            <w:r>
              <w:rPr>
                <w:rFonts w:ascii="Times New Roman" w:hAnsi="Times New Roman" w:eastAsia="等线" w:cs="Times New Roman"/>
                <w:b w:val="0"/>
                <w:bCs w:val="0"/>
                <w:color w:val="000000"/>
                <w:kern w:val="0"/>
                <w:sz w:val="24"/>
                <w:szCs w:val="24"/>
              </w:rPr>
              <w:t>cQSP_1119-SI</w:t>
            </w:r>
          </w:p>
        </w:tc>
        <w:tc>
          <w:tcPr>
            <w:tcW w:w="2039" w:type="dxa"/>
            <w:tcBorders>
              <w:top w:val="nil"/>
              <w:left w:val="nil"/>
              <w:bottom w:val="nil"/>
              <w:right w:val="nil"/>
            </w:tcBorders>
          </w:tcPr>
          <w:p w14:paraId="4B04B6B0">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88</w:t>
            </w:r>
          </w:p>
        </w:tc>
        <w:tc>
          <w:tcPr>
            <w:tcW w:w="2040" w:type="dxa"/>
            <w:tcBorders>
              <w:top w:val="nil"/>
              <w:left w:val="nil"/>
              <w:bottom w:val="nil"/>
              <w:right w:val="nil"/>
            </w:tcBorders>
          </w:tcPr>
          <w:p w14:paraId="0EE158D4">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23</w:t>
            </w:r>
          </w:p>
        </w:tc>
        <w:tc>
          <w:tcPr>
            <w:tcW w:w="2040" w:type="dxa"/>
            <w:tcBorders>
              <w:top w:val="nil"/>
              <w:left w:val="nil"/>
              <w:bottom w:val="nil"/>
            </w:tcBorders>
          </w:tcPr>
          <w:p w14:paraId="76197D27">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70</w:t>
            </w:r>
          </w:p>
        </w:tc>
      </w:tr>
      <w:tr w14:paraId="007F1607">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2181" w:type="dxa"/>
            <w:tcBorders>
              <w:top w:val="nil"/>
              <w:bottom w:val="single" w:color="auto" w:sz="4" w:space="0"/>
              <w:right w:val="nil"/>
            </w:tcBorders>
          </w:tcPr>
          <w:p w14:paraId="0858CD67">
            <w:pPr>
              <w:widowControl/>
              <w:jc w:val="left"/>
              <w:rPr>
                <w:rFonts w:ascii="Times New Roman" w:hAnsi="Times New Roman" w:eastAsia="等线" w:cs="Times New Roman"/>
                <w:b/>
                <w:bCs/>
                <w:color w:val="000000"/>
                <w:kern w:val="0"/>
                <w:sz w:val="24"/>
                <w:szCs w:val="24"/>
              </w:rPr>
            </w:pPr>
            <w:r>
              <w:rPr>
                <w:rFonts w:ascii="Times New Roman" w:hAnsi="Times New Roman" w:eastAsia="等线" w:cs="Times New Roman"/>
                <w:b w:val="0"/>
                <w:bCs w:val="0"/>
                <w:color w:val="000000"/>
                <w:kern w:val="0"/>
                <w:sz w:val="24"/>
                <w:szCs w:val="24"/>
                <w:lang w:val="en-GB"/>
              </w:rPr>
              <w:t>Acarbose-SI</w:t>
            </w:r>
          </w:p>
        </w:tc>
        <w:tc>
          <w:tcPr>
            <w:tcW w:w="2039" w:type="dxa"/>
            <w:tcBorders>
              <w:top w:val="nil"/>
              <w:left w:val="nil"/>
              <w:bottom w:val="single" w:color="auto" w:sz="4" w:space="0"/>
              <w:right w:val="nil"/>
            </w:tcBorders>
          </w:tcPr>
          <w:p w14:paraId="51CCB033">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93</w:t>
            </w:r>
          </w:p>
        </w:tc>
        <w:tc>
          <w:tcPr>
            <w:tcW w:w="2040" w:type="dxa"/>
            <w:tcBorders>
              <w:top w:val="nil"/>
              <w:left w:val="nil"/>
              <w:bottom w:val="single" w:color="auto" w:sz="4" w:space="0"/>
              <w:right w:val="nil"/>
            </w:tcBorders>
          </w:tcPr>
          <w:p w14:paraId="34906ED1">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23</w:t>
            </w:r>
          </w:p>
        </w:tc>
        <w:tc>
          <w:tcPr>
            <w:tcW w:w="2040" w:type="dxa"/>
            <w:tcBorders>
              <w:top w:val="nil"/>
              <w:left w:val="nil"/>
              <w:bottom w:val="single" w:color="auto" w:sz="4" w:space="0"/>
            </w:tcBorders>
          </w:tcPr>
          <w:p w14:paraId="23F81D0C">
            <w:pPr>
              <w:widowControl/>
              <w:jc w:val="left"/>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71</w:t>
            </w:r>
          </w:p>
        </w:tc>
      </w:tr>
    </w:tbl>
    <w:p w14:paraId="267CB4A8">
      <w:pPr>
        <w:adjustRightInd w:val="0"/>
        <w:snapToGrid w:val="0"/>
        <w:spacing w:after="78" w:afterLines="25"/>
        <w:contextualSpacing/>
        <w:jc w:val="left"/>
        <w:outlineLvl w:val="1"/>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192B47A8">
      <w:pPr>
        <w:adjustRightInd w:val="0"/>
        <w:snapToGrid w:val="0"/>
        <w:spacing w:after="78" w:afterLines="25"/>
        <w:contextualSpacing/>
        <w:jc w:val="left"/>
        <w:outlineLvl w:val="1"/>
        <w:rPr>
          <w:rFonts w:ascii="Times New Roman" w:hAnsi="Times New Roman" w:cs="Times New Roman"/>
          <w:b/>
          <w:bCs/>
          <w:sz w:val="24"/>
        </w:rPr>
      </w:pPr>
      <w:r>
        <w:rPr>
          <w:rFonts w:hint="eastAsia" w:ascii="Times New Roman" w:hAnsi="Times New Roman" w:cs="Times New Roman"/>
          <w:b/>
          <w:bCs/>
          <w:color w:val="000000" w:themeColor="text1"/>
          <w:sz w:val="24"/>
          <w14:textFill>
            <w14:solidFill>
              <w14:schemeClr w14:val="tx1"/>
            </w14:solidFill>
          </w14:textFill>
        </w:rPr>
        <w:t>Supplementary Table 6∣</w:t>
      </w:r>
      <w:r>
        <w:rPr>
          <w:rFonts w:ascii="Times New Roman" w:hAnsi="Times New Roman" w:cs="Times New Roman"/>
          <w:b/>
          <w:bCs/>
          <w:sz w:val="24"/>
        </w:rPr>
        <w:t xml:space="preserve">The binding free energy and binding interface analysis for the three peptide‑SI </w:t>
      </w:r>
      <w:r>
        <w:rPr>
          <w:rFonts w:hint="eastAsia" w:ascii="Times New Roman" w:hAnsi="Times New Roman" w:cs="Times New Roman"/>
          <w:b/>
          <w:bCs/>
          <w:sz w:val="24"/>
        </w:rPr>
        <w:t xml:space="preserve">and </w:t>
      </w:r>
      <w:r>
        <w:rPr>
          <w:rFonts w:ascii="Times New Roman" w:hAnsi="Times New Roman" w:cs="Times New Roman"/>
          <w:b/>
          <w:bCs/>
          <w:sz w:val="24"/>
        </w:rPr>
        <w:t>acarbose‑SI complexe.</w:t>
      </w:r>
    </w:p>
    <w:tbl>
      <w:tblPr>
        <w:tblStyle w:val="10"/>
        <w:tblpPr w:leftFromText="180" w:rightFromText="180" w:vertAnchor="text" w:horzAnchor="margin" w:tblpXSpec="center" w:tblpY="124"/>
        <w:tblW w:w="836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8"/>
        <w:gridCol w:w="919"/>
        <w:gridCol w:w="1349"/>
        <w:gridCol w:w="1763"/>
        <w:gridCol w:w="1075"/>
        <w:gridCol w:w="1840"/>
      </w:tblGrid>
      <w:tr w14:paraId="337E58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418" w:type="dxa"/>
            <w:tcBorders>
              <w:top w:val="single" w:color="auto" w:sz="4" w:space="0"/>
              <w:bottom w:val="single" w:color="auto" w:sz="4" w:space="0"/>
            </w:tcBorders>
          </w:tcPr>
          <w:p w14:paraId="2C68C6F8">
            <w:pPr>
              <w:widowControl/>
              <w:adjustRightInd w:val="0"/>
              <w:snapToGrid w:val="0"/>
              <w:contextualSpacing/>
              <w:jc w:val="center"/>
              <w:rPr>
                <w:rFonts w:ascii="Times New Roman" w:hAnsi="Times New Roman" w:eastAsia="等线" w:cs="Times New Roman"/>
                <w:b/>
                <w:bCs/>
                <w:kern w:val="0"/>
                <w:sz w:val="24"/>
                <w:szCs w:val="24"/>
              </w:rPr>
            </w:pPr>
            <w:r>
              <w:rPr>
                <w:rFonts w:hint="eastAsia" w:ascii="Times New Roman" w:hAnsi="Times New Roman" w:eastAsia="等线" w:cs="Times New Roman"/>
                <w:b/>
                <w:bCs/>
                <w:color w:val="000000"/>
                <w:kern w:val="0"/>
                <w:sz w:val="24"/>
                <w:szCs w:val="24"/>
              </w:rPr>
              <w:t>ID</w:t>
            </w:r>
          </w:p>
        </w:tc>
        <w:tc>
          <w:tcPr>
            <w:tcW w:w="919" w:type="dxa"/>
            <w:tcBorders>
              <w:top w:val="single" w:color="auto" w:sz="4" w:space="0"/>
              <w:bottom w:val="single" w:color="auto" w:sz="4" w:space="0"/>
            </w:tcBorders>
          </w:tcPr>
          <w:p w14:paraId="4AA5EC80">
            <w:pPr>
              <w:widowControl/>
              <w:adjustRightInd w:val="0"/>
              <w:snapToGrid w:val="0"/>
              <w:contextualSpacing/>
              <w:jc w:val="center"/>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0"/>
                <w:lang w:val="en-GB"/>
              </w:rPr>
              <w:t>iptm score</w:t>
            </w:r>
          </w:p>
        </w:tc>
        <w:tc>
          <w:tcPr>
            <w:tcW w:w="1349" w:type="dxa"/>
            <w:tcBorders>
              <w:top w:val="single" w:color="auto" w:sz="4" w:space="0"/>
              <w:bottom w:val="single" w:color="auto" w:sz="4" w:space="0"/>
            </w:tcBorders>
          </w:tcPr>
          <w:p w14:paraId="5A6EC8DF">
            <w:pPr>
              <w:widowControl/>
              <w:adjustRightInd w:val="0"/>
              <w:snapToGrid w:val="0"/>
              <w:contextualSpacing/>
              <w:jc w:val="center"/>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0"/>
                <w:lang w:val="en-GB"/>
              </w:rPr>
              <w:t>ranking score</w:t>
            </w:r>
          </w:p>
        </w:tc>
        <w:tc>
          <w:tcPr>
            <w:tcW w:w="1763" w:type="dxa"/>
            <w:tcBorders>
              <w:top w:val="single" w:color="auto" w:sz="4" w:space="0"/>
              <w:bottom w:val="single" w:color="auto" w:sz="4" w:space="0"/>
            </w:tcBorders>
          </w:tcPr>
          <w:p w14:paraId="671CF76A">
            <w:pPr>
              <w:widowControl/>
              <w:adjustRightInd w:val="0"/>
              <w:snapToGrid w:val="0"/>
              <w:contextualSpacing/>
              <w:jc w:val="center"/>
              <w:rPr>
                <w:rFonts w:ascii="Times New Roman" w:hAnsi="Times New Roman" w:eastAsia="等线" w:cs="Times New Roman"/>
                <w:b/>
                <w:bCs/>
                <w:color w:val="000000"/>
                <w:kern w:val="0"/>
                <w:sz w:val="24"/>
                <w:szCs w:val="24"/>
              </w:rPr>
            </w:pPr>
            <w:r>
              <w:rPr>
                <w:rFonts w:hint="eastAsia" w:ascii="Times New Roman" w:hAnsi="Times New Roman" w:eastAsia="等线" w:cs="Times New Roman"/>
                <w:b/>
                <w:bCs/>
                <w:color w:val="000000"/>
                <w:kern w:val="0"/>
                <w:sz w:val="24"/>
                <w:szCs w:val="20"/>
                <w:lang w:val="en-GB"/>
              </w:rPr>
              <w:t>dG_separated</w:t>
            </w:r>
            <w:r>
              <w:rPr>
                <w:rFonts w:ascii="Times New Roman" w:hAnsi="Times New Roman" w:eastAsia="等线" w:cs="Times New Roman"/>
                <w:b/>
                <w:bCs/>
                <w:color w:val="000000"/>
                <w:kern w:val="0"/>
                <w:sz w:val="24"/>
                <w:szCs w:val="20"/>
                <w:lang w:val="en-GB"/>
              </w:rPr>
              <w:t xml:space="preserve"> score</w:t>
            </w:r>
          </w:p>
        </w:tc>
        <w:tc>
          <w:tcPr>
            <w:tcW w:w="1075" w:type="dxa"/>
            <w:tcBorders>
              <w:top w:val="single" w:color="auto" w:sz="4" w:space="0"/>
              <w:bottom w:val="single" w:color="auto" w:sz="4" w:space="0"/>
            </w:tcBorders>
          </w:tcPr>
          <w:p w14:paraId="5D4C86A1">
            <w:pPr>
              <w:widowControl/>
              <w:adjustRightInd w:val="0"/>
              <w:snapToGrid w:val="0"/>
              <w:contextualSpacing/>
              <w:jc w:val="center"/>
              <w:rPr>
                <w:rFonts w:ascii="Times New Roman" w:hAnsi="Times New Roman" w:eastAsia="等线" w:cs="Times New Roman"/>
                <w:b/>
                <w:bCs/>
                <w:color w:val="000000"/>
                <w:kern w:val="0"/>
                <w:sz w:val="24"/>
                <w:szCs w:val="24"/>
              </w:rPr>
            </w:pPr>
            <w:r>
              <w:rPr>
                <w:rFonts w:ascii="Times New Roman" w:hAnsi="Times New Roman" w:eastAsia="等线" w:cs="Times New Roman"/>
                <w:b/>
                <w:bCs/>
                <w:color w:val="000000"/>
                <w:kern w:val="0"/>
                <w:sz w:val="24"/>
                <w:szCs w:val="20"/>
                <w:lang w:val="en-GB"/>
              </w:rPr>
              <w:t>T</w:t>
            </w:r>
            <w:r>
              <w:rPr>
                <w:rFonts w:hint="eastAsia" w:ascii="Times New Roman" w:hAnsi="Times New Roman" w:eastAsia="等线" w:cs="Times New Roman"/>
                <w:b/>
                <w:bCs/>
                <w:color w:val="000000"/>
                <w:kern w:val="0"/>
                <w:sz w:val="24"/>
                <w:szCs w:val="20"/>
                <w:lang w:val="en-GB"/>
              </w:rPr>
              <w:t>otal</w:t>
            </w:r>
            <w:r>
              <w:rPr>
                <w:rFonts w:ascii="Times New Roman" w:hAnsi="Times New Roman" w:eastAsia="等线" w:cs="Times New Roman"/>
                <w:b/>
                <w:bCs/>
                <w:color w:val="000000"/>
                <w:kern w:val="0"/>
                <w:sz w:val="24"/>
                <w:szCs w:val="20"/>
                <w:lang w:val="en-GB"/>
              </w:rPr>
              <w:t xml:space="preserve"> </w:t>
            </w:r>
            <w:r>
              <w:rPr>
                <w:rFonts w:hint="eastAsia" w:ascii="Times New Roman" w:hAnsi="Times New Roman" w:eastAsia="等线" w:cs="Times New Roman"/>
                <w:b/>
                <w:bCs/>
                <w:color w:val="000000"/>
                <w:kern w:val="0"/>
                <w:sz w:val="24"/>
                <w:szCs w:val="20"/>
                <w:lang w:val="en-GB"/>
              </w:rPr>
              <w:t>score</w:t>
            </w:r>
          </w:p>
        </w:tc>
        <w:tc>
          <w:tcPr>
            <w:tcW w:w="1840" w:type="dxa"/>
            <w:tcBorders>
              <w:top w:val="single" w:color="auto" w:sz="4" w:space="0"/>
              <w:bottom w:val="single" w:color="auto" w:sz="4" w:space="0"/>
            </w:tcBorders>
          </w:tcPr>
          <w:p w14:paraId="5BD5C89F">
            <w:pPr>
              <w:widowControl/>
              <w:adjustRightInd w:val="0"/>
              <w:snapToGrid w:val="0"/>
              <w:contextualSpacing/>
              <w:jc w:val="center"/>
              <w:rPr>
                <w:rFonts w:ascii="Times New Roman" w:hAnsi="Times New Roman" w:eastAsia="等线" w:cs="Times New Roman"/>
                <w:b/>
                <w:bCs/>
                <w:kern w:val="0"/>
                <w:sz w:val="24"/>
                <w:szCs w:val="24"/>
              </w:rPr>
            </w:pPr>
            <w:r>
              <w:rPr>
                <w:rFonts w:hint="eastAsia" w:ascii="Times New Roman" w:hAnsi="Times New Roman" w:eastAsia="等线" w:cs="Times New Roman"/>
                <w:b/>
                <w:bCs/>
                <w:color w:val="000000"/>
                <w:kern w:val="0"/>
                <w:sz w:val="24"/>
                <w:szCs w:val="24"/>
              </w:rPr>
              <w:t>B</w:t>
            </w:r>
            <w:r>
              <w:rPr>
                <w:rFonts w:hint="eastAsia" w:ascii="Times New Roman" w:hAnsi="Times New Roman" w:eastAsia="等线" w:cs="Times New Roman"/>
                <w:b/>
                <w:bCs/>
                <w:color w:val="000000"/>
                <w:kern w:val="0"/>
                <w:sz w:val="24"/>
                <w:szCs w:val="24"/>
                <w:lang w:val="en-GB"/>
              </w:rPr>
              <w:t>inding energ</w:t>
            </w:r>
            <w:r>
              <w:rPr>
                <w:rFonts w:hint="eastAsia" w:ascii="Times New Roman" w:hAnsi="Times New Roman" w:eastAsia="等线" w:cs="Times New Roman"/>
                <w:b/>
                <w:bCs/>
                <w:color w:val="000000"/>
                <w:kern w:val="0"/>
                <w:sz w:val="24"/>
                <w:szCs w:val="24"/>
              </w:rPr>
              <w:t>y (kcal/mol)</w:t>
            </w:r>
          </w:p>
        </w:tc>
      </w:tr>
      <w:tr w14:paraId="2B0B64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418" w:type="dxa"/>
            <w:tcBorders>
              <w:top w:val="single" w:color="auto" w:sz="4" w:space="0"/>
            </w:tcBorders>
          </w:tcPr>
          <w:p w14:paraId="111401B5">
            <w:pPr>
              <w:widowControl/>
              <w:adjustRightInd w:val="0"/>
              <w:snapToGrid w:val="0"/>
              <w:contextualSpacing/>
              <w:jc w:val="center"/>
              <w:rPr>
                <w:rFonts w:ascii="Times New Roman" w:hAnsi="Times New Roman" w:eastAsia="宋体" w:cs="Times New Roman"/>
                <w:b/>
                <w:bCs/>
                <w:kern w:val="0"/>
                <w:sz w:val="24"/>
                <w:szCs w:val="24"/>
                <w:lang w:val="en-GB"/>
              </w:rPr>
            </w:pPr>
            <w:r>
              <w:rPr>
                <w:rFonts w:ascii="Times New Roman" w:hAnsi="Times New Roman" w:eastAsia="等线" w:cs="Times New Roman"/>
                <w:color w:val="000000"/>
                <w:kern w:val="0"/>
                <w:sz w:val="24"/>
                <w:szCs w:val="24"/>
                <w:lang w:val="en-GB"/>
              </w:rPr>
              <w:t>cQSP_1089</w:t>
            </w:r>
          </w:p>
        </w:tc>
        <w:tc>
          <w:tcPr>
            <w:tcW w:w="919" w:type="dxa"/>
            <w:tcBorders>
              <w:top w:val="single" w:color="auto" w:sz="4" w:space="0"/>
            </w:tcBorders>
            <w:vAlign w:val="center"/>
          </w:tcPr>
          <w:p w14:paraId="47922CA2">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rPr>
              <w:t>0.67</w:t>
            </w:r>
          </w:p>
        </w:tc>
        <w:tc>
          <w:tcPr>
            <w:tcW w:w="1349" w:type="dxa"/>
            <w:tcBorders>
              <w:top w:val="single" w:color="auto" w:sz="4" w:space="0"/>
            </w:tcBorders>
            <w:vAlign w:val="center"/>
          </w:tcPr>
          <w:p w14:paraId="4DC71F50">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rPr>
              <w:t>0.73</w:t>
            </w:r>
          </w:p>
        </w:tc>
        <w:tc>
          <w:tcPr>
            <w:tcW w:w="1763" w:type="dxa"/>
            <w:tcBorders>
              <w:top w:val="single" w:color="auto" w:sz="4" w:space="0"/>
            </w:tcBorders>
            <w:vAlign w:val="center"/>
          </w:tcPr>
          <w:p w14:paraId="6B091F72">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sz w:val="22"/>
              </w:rPr>
              <w:t>-53.929</w:t>
            </w:r>
          </w:p>
        </w:tc>
        <w:tc>
          <w:tcPr>
            <w:tcW w:w="1075" w:type="dxa"/>
            <w:tcBorders>
              <w:top w:val="single" w:color="auto" w:sz="4" w:space="0"/>
            </w:tcBorders>
            <w:vAlign w:val="center"/>
          </w:tcPr>
          <w:p w14:paraId="58083B05">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sz w:val="22"/>
              </w:rPr>
              <w:t>-5821.37</w:t>
            </w:r>
          </w:p>
        </w:tc>
        <w:tc>
          <w:tcPr>
            <w:tcW w:w="1840" w:type="dxa"/>
            <w:tcBorders>
              <w:top w:val="single" w:color="auto" w:sz="4" w:space="0"/>
            </w:tcBorders>
            <w:vAlign w:val="center"/>
          </w:tcPr>
          <w:p w14:paraId="4ECD0A27">
            <w:pPr>
              <w:widowControl/>
              <w:adjustRightInd w:val="0"/>
              <w:snapToGrid w:val="0"/>
              <w:contextualSpacing/>
              <w:jc w:val="center"/>
              <w:rPr>
                <w:rFonts w:ascii="Times New Roman" w:hAnsi="Times New Roman" w:eastAsia="等线" w:cs="Times New Roman"/>
                <w:color w:val="000000"/>
                <w:kern w:val="0"/>
                <w:sz w:val="24"/>
                <w:szCs w:val="24"/>
              </w:rPr>
            </w:pPr>
            <w:r>
              <w:rPr>
                <w:rFonts w:hint="eastAsia" w:ascii="Times New Roman" w:hAnsi="Times New Roman" w:eastAsia="等线" w:cs="Times New Roman"/>
                <w:color w:val="000000"/>
                <w:sz w:val="24"/>
                <w:szCs w:val="24"/>
              </w:rPr>
              <w:t xml:space="preserve">-23.43 </w:t>
            </w:r>
            <w:r>
              <w:rPr>
                <w:rFonts w:ascii="Times New Roman" w:hAnsi="Times New Roman" w:eastAsia="等线" w:cs="Times New Roman"/>
                <w:color w:val="000000"/>
                <w:sz w:val="24"/>
                <w:szCs w:val="24"/>
              </w:rPr>
              <w:t>±</w:t>
            </w:r>
            <w:r>
              <w:rPr>
                <w:rFonts w:hint="eastAsia" w:ascii="Times New Roman" w:hAnsi="Times New Roman" w:eastAsia="等线" w:cs="Times New Roman"/>
                <w:color w:val="000000"/>
                <w:sz w:val="24"/>
                <w:szCs w:val="24"/>
              </w:rPr>
              <w:t xml:space="preserve"> 2.96</w:t>
            </w:r>
          </w:p>
        </w:tc>
      </w:tr>
      <w:tr w14:paraId="3DF4EA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trPr>
        <w:tc>
          <w:tcPr>
            <w:tcW w:w="1418" w:type="dxa"/>
          </w:tcPr>
          <w:p w14:paraId="6F0CA697">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cQSP_1105</w:t>
            </w:r>
          </w:p>
        </w:tc>
        <w:tc>
          <w:tcPr>
            <w:tcW w:w="919" w:type="dxa"/>
            <w:vAlign w:val="center"/>
          </w:tcPr>
          <w:p w14:paraId="535FEAF0">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rPr>
              <w:t>0.66</w:t>
            </w:r>
          </w:p>
        </w:tc>
        <w:tc>
          <w:tcPr>
            <w:tcW w:w="1349" w:type="dxa"/>
            <w:vAlign w:val="center"/>
          </w:tcPr>
          <w:p w14:paraId="21C4CB3C">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rPr>
              <w:t>0.73</w:t>
            </w:r>
          </w:p>
        </w:tc>
        <w:tc>
          <w:tcPr>
            <w:tcW w:w="1763" w:type="dxa"/>
            <w:vAlign w:val="center"/>
          </w:tcPr>
          <w:p w14:paraId="15B592AB">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sz w:val="22"/>
              </w:rPr>
              <w:t>-35.623</w:t>
            </w:r>
          </w:p>
        </w:tc>
        <w:tc>
          <w:tcPr>
            <w:tcW w:w="1075" w:type="dxa"/>
            <w:vAlign w:val="center"/>
          </w:tcPr>
          <w:p w14:paraId="71C863BD">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sz w:val="22"/>
              </w:rPr>
              <w:t>-5800.37</w:t>
            </w:r>
          </w:p>
        </w:tc>
        <w:tc>
          <w:tcPr>
            <w:tcW w:w="1840" w:type="dxa"/>
            <w:vAlign w:val="center"/>
          </w:tcPr>
          <w:p w14:paraId="2FA73DA7">
            <w:pPr>
              <w:widowControl/>
              <w:adjustRightInd w:val="0"/>
              <w:snapToGrid w:val="0"/>
              <w:contextualSpacing/>
              <w:jc w:val="center"/>
              <w:rPr>
                <w:rFonts w:ascii="Times New Roman" w:hAnsi="Times New Roman" w:eastAsia="等线" w:cs="Times New Roman"/>
                <w:color w:val="000000"/>
                <w:kern w:val="0"/>
                <w:sz w:val="24"/>
                <w:szCs w:val="24"/>
              </w:rPr>
            </w:pPr>
            <w:r>
              <w:rPr>
                <w:rFonts w:hint="eastAsia" w:ascii="Times New Roman" w:hAnsi="Times New Roman" w:eastAsia="等线" w:cs="Times New Roman"/>
                <w:color w:val="000000"/>
                <w:sz w:val="24"/>
                <w:szCs w:val="24"/>
              </w:rPr>
              <w:t xml:space="preserve">-23.92 </w:t>
            </w:r>
            <w:r>
              <w:rPr>
                <w:rFonts w:ascii="Times New Roman" w:hAnsi="Times New Roman" w:eastAsia="等线" w:cs="Times New Roman"/>
                <w:color w:val="000000"/>
                <w:sz w:val="24"/>
                <w:szCs w:val="24"/>
              </w:rPr>
              <w:t>±</w:t>
            </w:r>
            <w:r>
              <w:rPr>
                <w:rFonts w:hint="eastAsia" w:ascii="Times New Roman" w:hAnsi="Times New Roman" w:eastAsia="等线" w:cs="Times New Roman"/>
                <w:color w:val="000000"/>
                <w:sz w:val="24"/>
                <w:szCs w:val="24"/>
              </w:rPr>
              <w:t xml:space="preserve"> 5.54</w:t>
            </w:r>
          </w:p>
        </w:tc>
      </w:tr>
      <w:tr w14:paraId="030965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418" w:type="dxa"/>
          </w:tcPr>
          <w:p w14:paraId="77C34836">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cQSP_1119</w:t>
            </w:r>
          </w:p>
        </w:tc>
        <w:tc>
          <w:tcPr>
            <w:tcW w:w="919" w:type="dxa"/>
            <w:vAlign w:val="center"/>
          </w:tcPr>
          <w:p w14:paraId="19B643DE">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rPr>
              <w:t>0.66</w:t>
            </w:r>
          </w:p>
        </w:tc>
        <w:tc>
          <w:tcPr>
            <w:tcW w:w="1349" w:type="dxa"/>
            <w:vAlign w:val="center"/>
          </w:tcPr>
          <w:p w14:paraId="0056660E">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rPr>
              <w:t>0.72</w:t>
            </w:r>
          </w:p>
        </w:tc>
        <w:tc>
          <w:tcPr>
            <w:tcW w:w="1763" w:type="dxa"/>
            <w:vAlign w:val="center"/>
          </w:tcPr>
          <w:p w14:paraId="0D95E8BA">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sz w:val="22"/>
              </w:rPr>
              <w:t>-42.125</w:t>
            </w:r>
          </w:p>
        </w:tc>
        <w:tc>
          <w:tcPr>
            <w:tcW w:w="1075" w:type="dxa"/>
            <w:vAlign w:val="center"/>
          </w:tcPr>
          <w:p w14:paraId="4B0DDF8B">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cs="Times New Roman"/>
                <w:color w:val="000000"/>
                <w:sz w:val="22"/>
              </w:rPr>
              <w:t>-5778.07</w:t>
            </w:r>
          </w:p>
        </w:tc>
        <w:tc>
          <w:tcPr>
            <w:tcW w:w="1840" w:type="dxa"/>
            <w:vAlign w:val="center"/>
          </w:tcPr>
          <w:p w14:paraId="6E45B3A3">
            <w:pPr>
              <w:widowControl/>
              <w:adjustRightInd w:val="0"/>
              <w:snapToGrid w:val="0"/>
              <w:contextualSpacing/>
              <w:jc w:val="center"/>
              <w:rPr>
                <w:rFonts w:ascii="Times New Roman" w:hAnsi="Times New Roman" w:eastAsia="等线" w:cs="Times New Roman"/>
                <w:color w:val="000000"/>
                <w:kern w:val="0"/>
                <w:sz w:val="24"/>
                <w:szCs w:val="24"/>
              </w:rPr>
            </w:pPr>
            <w:r>
              <w:rPr>
                <w:rFonts w:hint="eastAsia" w:ascii="Times New Roman" w:hAnsi="Times New Roman" w:eastAsia="等线" w:cs="Times New Roman"/>
                <w:color w:val="000000"/>
                <w:sz w:val="24"/>
                <w:szCs w:val="24"/>
              </w:rPr>
              <w:t xml:space="preserve">-54.66 </w:t>
            </w:r>
            <w:r>
              <w:rPr>
                <w:rFonts w:ascii="Times New Roman" w:hAnsi="Times New Roman" w:eastAsia="等线" w:cs="Times New Roman"/>
                <w:color w:val="000000"/>
                <w:sz w:val="24"/>
                <w:szCs w:val="24"/>
              </w:rPr>
              <w:t>±</w:t>
            </w:r>
            <w:r>
              <w:rPr>
                <w:rFonts w:hint="eastAsia" w:ascii="Times New Roman" w:hAnsi="Times New Roman" w:eastAsia="等线" w:cs="Times New Roman"/>
                <w:color w:val="000000"/>
                <w:sz w:val="24"/>
                <w:szCs w:val="24"/>
              </w:rPr>
              <w:t xml:space="preserve"> 1.38</w:t>
            </w:r>
          </w:p>
        </w:tc>
      </w:tr>
      <w:tr w14:paraId="6DCF24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418" w:type="dxa"/>
          </w:tcPr>
          <w:p w14:paraId="1A9937A8">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hint="eastAsia" w:ascii="Times New Roman" w:hAnsi="Times New Roman" w:eastAsia="等线" w:cs="Times New Roman"/>
                <w:color w:val="000000"/>
                <w:kern w:val="0"/>
                <w:sz w:val="24"/>
                <w:szCs w:val="24"/>
              </w:rPr>
              <w:t>A</w:t>
            </w:r>
            <w:r>
              <w:rPr>
                <w:rFonts w:hint="eastAsia" w:ascii="Times New Roman" w:hAnsi="Times New Roman" w:eastAsia="等线" w:cs="Times New Roman"/>
                <w:color w:val="000000"/>
                <w:kern w:val="0"/>
                <w:sz w:val="24"/>
                <w:szCs w:val="24"/>
                <w:lang w:val="en-GB"/>
              </w:rPr>
              <w:t>carbose</w:t>
            </w:r>
          </w:p>
        </w:tc>
        <w:tc>
          <w:tcPr>
            <w:tcW w:w="919" w:type="dxa"/>
          </w:tcPr>
          <w:p w14:paraId="02F8DEBC">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1349" w:type="dxa"/>
          </w:tcPr>
          <w:p w14:paraId="20858D58">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1763" w:type="dxa"/>
          </w:tcPr>
          <w:p w14:paraId="3E8C218B">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1075" w:type="dxa"/>
          </w:tcPr>
          <w:p w14:paraId="20EFA14C">
            <w:pPr>
              <w:widowControl/>
              <w:adjustRightInd w:val="0"/>
              <w:snapToGrid w:val="0"/>
              <w:contextualSpacing/>
              <w:jc w:val="center"/>
              <w:rPr>
                <w:rFonts w:ascii="Times New Roman" w:hAnsi="Times New Roman" w:eastAsia="等线" w:cs="Times New Roman"/>
                <w:color w:val="000000"/>
                <w:sz w:val="24"/>
                <w:szCs w:val="24"/>
              </w:rPr>
            </w:pPr>
            <w:r>
              <w:rPr>
                <w:rFonts w:ascii="Times New Roman" w:hAnsi="Times New Roman" w:eastAsia="等线" w:cs="Times New Roman"/>
                <w:color w:val="000000"/>
                <w:sz w:val="24"/>
                <w:szCs w:val="24"/>
              </w:rPr>
              <w:t>/</w:t>
            </w:r>
          </w:p>
        </w:tc>
        <w:tc>
          <w:tcPr>
            <w:tcW w:w="1840" w:type="dxa"/>
            <w:vAlign w:val="center"/>
          </w:tcPr>
          <w:p w14:paraId="240BA53F">
            <w:pPr>
              <w:widowControl/>
              <w:adjustRightInd w:val="0"/>
              <w:snapToGrid w:val="0"/>
              <w:contextualSpacing/>
              <w:jc w:val="center"/>
              <w:rPr>
                <w:rFonts w:ascii="Times New Roman" w:hAnsi="Times New Roman" w:cs="Times New Roman"/>
                <w:color w:val="000000"/>
                <w:sz w:val="24"/>
                <w:szCs w:val="24"/>
              </w:rPr>
            </w:pPr>
            <w:r>
              <w:rPr>
                <w:rFonts w:hint="eastAsia" w:ascii="Times New Roman" w:hAnsi="Times New Roman" w:eastAsia="等线" w:cs="Times New Roman"/>
                <w:color w:val="000000"/>
                <w:sz w:val="24"/>
                <w:szCs w:val="24"/>
              </w:rPr>
              <w:t xml:space="preserve">-3.38 </w:t>
            </w:r>
            <w:r>
              <w:rPr>
                <w:rFonts w:ascii="Times New Roman" w:hAnsi="Times New Roman" w:eastAsia="等线" w:cs="Times New Roman"/>
                <w:color w:val="000000"/>
                <w:sz w:val="24"/>
                <w:szCs w:val="24"/>
              </w:rPr>
              <w:t>±</w:t>
            </w:r>
            <w:r>
              <w:rPr>
                <w:rFonts w:hint="eastAsia" w:ascii="Times New Roman" w:hAnsi="Times New Roman" w:eastAsia="等线" w:cs="Times New Roman"/>
                <w:color w:val="000000"/>
                <w:sz w:val="24"/>
                <w:szCs w:val="24"/>
              </w:rPr>
              <w:t xml:space="preserve"> 1.24</w:t>
            </w:r>
          </w:p>
        </w:tc>
      </w:tr>
    </w:tbl>
    <w:p w14:paraId="3EA6C91C">
      <w:pPr>
        <w:rPr>
          <w:rFonts w:hint="eastAsia"/>
        </w:rPr>
      </w:pPr>
    </w:p>
    <w:p w14:paraId="1F7E0E9E">
      <w:pPr>
        <w:adjustRightInd w:val="0"/>
        <w:snapToGrid w:val="0"/>
        <w:spacing w:after="78" w:afterLines="25"/>
        <w:contextualSpacing/>
        <w:jc w:val="left"/>
        <w:outlineLvl w:val="1"/>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420375E6">
      <w:pPr>
        <w:adjustRightInd w:val="0"/>
        <w:snapToGrid w:val="0"/>
        <w:spacing w:after="78" w:afterLines="25"/>
        <w:contextualSpacing/>
        <w:jc w:val="left"/>
        <w:outlineLvl w:val="1"/>
        <w:rPr>
          <w:rFonts w:ascii="Times New Roman" w:hAnsi="Times New Roman" w:cs="Times New Roman"/>
          <w:b/>
          <w:bCs/>
          <w:sz w:val="24"/>
        </w:rPr>
      </w:pPr>
      <w:r>
        <w:rPr>
          <w:rFonts w:hint="eastAsia" w:ascii="Times New Roman" w:hAnsi="Times New Roman" w:cs="Times New Roman"/>
          <w:b/>
          <w:bCs/>
          <w:color w:val="000000" w:themeColor="text1"/>
          <w:sz w:val="24"/>
          <w14:textFill>
            <w14:solidFill>
              <w14:schemeClr w14:val="tx1"/>
            </w14:solidFill>
          </w14:textFill>
        </w:rPr>
        <w:t>Supplementary Table 7∣</w:t>
      </w:r>
      <w:r>
        <w:rPr>
          <w:rFonts w:hint="eastAsia" w:ascii="Times New Roman" w:hAnsi="Times New Roman" w:cs="Times New Roman"/>
          <w:b/>
          <w:bCs/>
          <w:sz w:val="24"/>
        </w:rPr>
        <w:t xml:space="preserve">Activity </w:t>
      </w:r>
      <w:r>
        <w:rPr>
          <w:rFonts w:ascii="Times New Roman" w:hAnsi="Times New Roman" w:cs="Times New Roman"/>
          <w:b/>
          <w:bCs/>
          <w:sz w:val="24"/>
        </w:rPr>
        <w:t>validation</w:t>
      </w:r>
      <w:r>
        <w:rPr>
          <w:rFonts w:hint="eastAsia" w:ascii="Times New Roman" w:hAnsi="Times New Roman" w:cs="Times New Roman"/>
          <w:b/>
          <w:bCs/>
          <w:sz w:val="24"/>
        </w:rPr>
        <w:t xml:space="preserve"> of cQSP_1089 and scrambled peptides</w:t>
      </w:r>
      <w:r>
        <w:rPr>
          <w:rFonts w:ascii="Times New Roman" w:hAnsi="Times New Roman" w:cs="Times New Roman"/>
          <w:b/>
          <w:bCs/>
          <w:sz w:val="24"/>
        </w:rPr>
        <w:t>.</w:t>
      </w:r>
    </w:p>
    <w:tbl>
      <w:tblPr>
        <w:tblStyle w:val="10"/>
        <w:tblpPr w:leftFromText="180" w:rightFromText="180" w:vertAnchor="text" w:horzAnchor="margin" w:tblpXSpec="center" w:tblpY="124"/>
        <w:tblW w:w="836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18"/>
        <w:gridCol w:w="2289"/>
        <w:gridCol w:w="1800"/>
        <w:gridCol w:w="1387"/>
        <w:gridCol w:w="1470"/>
      </w:tblGrid>
      <w:tr w14:paraId="7111E2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418" w:type="dxa"/>
            <w:tcBorders>
              <w:top w:val="single" w:color="auto" w:sz="4" w:space="0"/>
              <w:bottom w:val="single" w:color="auto" w:sz="4" w:space="0"/>
            </w:tcBorders>
          </w:tcPr>
          <w:p w14:paraId="19CEE2BB">
            <w:pPr>
              <w:widowControl/>
              <w:adjustRightInd w:val="0"/>
              <w:snapToGrid w:val="0"/>
              <w:contextualSpacing/>
              <w:jc w:val="center"/>
              <w:rPr>
                <w:rFonts w:ascii="Times New Roman" w:hAnsi="Times New Roman" w:eastAsia="等线" w:cs="Times New Roman"/>
                <w:b/>
                <w:bCs/>
                <w:kern w:val="0"/>
                <w:sz w:val="24"/>
                <w:szCs w:val="24"/>
              </w:rPr>
            </w:pPr>
            <w:r>
              <w:rPr>
                <w:rFonts w:hint="eastAsia" w:ascii="Times New Roman" w:hAnsi="Times New Roman" w:eastAsia="等线" w:cs="Times New Roman"/>
                <w:b/>
                <w:bCs/>
                <w:color w:val="000000"/>
                <w:kern w:val="0"/>
                <w:sz w:val="24"/>
                <w:szCs w:val="24"/>
              </w:rPr>
              <w:t>ID</w:t>
            </w:r>
          </w:p>
        </w:tc>
        <w:tc>
          <w:tcPr>
            <w:tcW w:w="2289" w:type="dxa"/>
            <w:tcBorders>
              <w:top w:val="single" w:color="auto" w:sz="4" w:space="0"/>
              <w:bottom w:val="single" w:color="auto" w:sz="4" w:space="0"/>
            </w:tcBorders>
          </w:tcPr>
          <w:p w14:paraId="30DCE22C">
            <w:pPr>
              <w:widowControl/>
              <w:adjustRightInd w:val="0"/>
              <w:snapToGrid w:val="0"/>
              <w:contextualSpacing/>
              <w:jc w:val="center"/>
              <w:rPr>
                <w:rFonts w:ascii="Times New Roman" w:hAnsi="Times New Roman" w:eastAsia="等线" w:cs="Times New Roman"/>
                <w:b/>
                <w:bCs/>
                <w:color w:val="000000"/>
                <w:kern w:val="0"/>
                <w:sz w:val="24"/>
                <w:szCs w:val="24"/>
              </w:rPr>
            </w:pPr>
            <w:r>
              <w:rPr>
                <w:rFonts w:hint="eastAsia" w:ascii="Times New Roman" w:hAnsi="Times New Roman" w:cs="Times New Roman"/>
                <w:b/>
                <w:bCs/>
                <w:sz w:val="24"/>
                <w:szCs w:val="24"/>
              </w:rPr>
              <w:t>Sequence</w:t>
            </w:r>
          </w:p>
        </w:tc>
        <w:tc>
          <w:tcPr>
            <w:tcW w:w="1800" w:type="dxa"/>
            <w:tcBorders>
              <w:top w:val="single" w:color="auto" w:sz="4" w:space="0"/>
              <w:bottom w:val="single" w:color="auto" w:sz="4" w:space="0"/>
            </w:tcBorders>
          </w:tcPr>
          <w:p w14:paraId="24DD7B57">
            <w:pPr>
              <w:widowControl/>
              <w:adjustRightInd w:val="0"/>
              <w:snapToGrid w:val="0"/>
              <w:contextualSpacing/>
              <w:jc w:val="center"/>
              <w:rPr>
                <w:rFonts w:ascii="Times New Roman" w:hAnsi="Times New Roman" w:eastAsia="等线" w:cs="Times New Roman"/>
                <w:b/>
                <w:bCs/>
                <w:color w:val="000000"/>
                <w:kern w:val="0"/>
                <w:sz w:val="24"/>
                <w:szCs w:val="24"/>
              </w:rPr>
            </w:pPr>
            <w:r>
              <w:rPr>
                <w:rFonts w:ascii="Times New Roman" w:hAnsi="Times New Roman" w:cs="Times New Roman"/>
                <w:b/>
                <w:bCs/>
                <w:sz w:val="24"/>
                <w:szCs w:val="24"/>
              </w:rPr>
              <w:t>IC50 values of</w:t>
            </w:r>
            <w:r>
              <w:rPr>
                <w:rFonts w:hint="eastAsia" w:ascii="Times New Roman" w:hAnsi="Times New Roman" w:cs="Times New Roman"/>
                <w:b/>
                <w:bCs/>
                <w:sz w:val="24"/>
                <w:szCs w:val="24"/>
              </w:rPr>
              <w:t xml:space="preserve"> </w:t>
            </w:r>
            <w:r>
              <w:rPr>
                <w:rFonts w:ascii="Times New Roman" w:hAnsi="Times New Roman" w:cs="Times New Roman"/>
                <w:b/>
                <w:bCs/>
                <w:sz w:val="24"/>
                <w:szCs w:val="24"/>
              </w:rPr>
              <w:t>α-glucosidase (μM)</w:t>
            </w:r>
          </w:p>
        </w:tc>
        <w:tc>
          <w:tcPr>
            <w:tcW w:w="1387" w:type="dxa"/>
            <w:tcBorders>
              <w:top w:val="single" w:color="auto" w:sz="4" w:space="0"/>
              <w:bottom w:val="single" w:color="auto" w:sz="4" w:space="0"/>
            </w:tcBorders>
          </w:tcPr>
          <w:p w14:paraId="5FD18BC6">
            <w:pPr>
              <w:widowControl/>
              <w:adjustRightInd w:val="0"/>
              <w:snapToGrid w:val="0"/>
              <w:contextualSpacing/>
              <w:jc w:val="center"/>
              <w:rPr>
                <w:rFonts w:ascii="Times New Roman" w:hAnsi="Times New Roman" w:eastAsia="等线" w:cs="Times New Roman"/>
                <w:b/>
                <w:bCs/>
                <w:color w:val="000000"/>
                <w:kern w:val="0"/>
                <w:sz w:val="24"/>
                <w:szCs w:val="24"/>
              </w:rPr>
            </w:pPr>
            <w:r>
              <w:rPr>
                <w:rFonts w:ascii="Times New Roman" w:hAnsi="Times New Roman" w:cs="Times New Roman"/>
                <w:b/>
                <w:bCs/>
                <w:sz w:val="24"/>
                <w:szCs w:val="24"/>
              </w:rPr>
              <w:t>Hemolysis IC50 (μM)</w:t>
            </w:r>
          </w:p>
        </w:tc>
        <w:tc>
          <w:tcPr>
            <w:tcW w:w="1470" w:type="dxa"/>
            <w:tcBorders>
              <w:top w:val="single" w:color="auto" w:sz="4" w:space="0"/>
              <w:bottom w:val="single" w:color="auto" w:sz="4" w:space="0"/>
            </w:tcBorders>
          </w:tcPr>
          <w:p w14:paraId="04EC1C9A">
            <w:pPr>
              <w:widowControl/>
              <w:adjustRightInd w:val="0"/>
              <w:snapToGrid w:val="0"/>
              <w:contextualSpacing/>
              <w:jc w:val="center"/>
              <w:rPr>
                <w:rFonts w:ascii="Times New Roman" w:hAnsi="Times New Roman" w:eastAsia="等线" w:cs="Times New Roman"/>
                <w:b/>
                <w:bCs/>
                <w:kern w:val="0"/>
                <w:sz w:val="24"/>
                <w:szCs w:val="24"/>
              </w:rPr>
            </w:pPr>
            <w:r>
              <w:rPr>
                <w:rFonts w:ascii="Times New Roman" w:hAnsi="Times New Roman" w:cs="Times New Roman"/>
                <w:b/>
                <w:bCs/>
                <w:sz w:val="24"/>
                <w:szCs w:val="24"/>
              </w:rPr>
              <w:t>HC50 to IC50 ratio</w:t>
            </w:r>
          </w:p>
        </w:tc>
      </w:tr>
      <w:tr w14:paraId="4A5F01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trPr>
        <w:tc>
          <w:tcPr>
            <w:tcW w:w="1418" w:type="dxa"/>
          </w:tcPr>
          <w:p w14:paraId="561C45C8">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hint="eastAsia" w:ascii="Times New Roman" w:hAnsi="Times New Roman" w:eastAsia="等线" w:cs="Times New Roman"/>
                <w:color w:val="000000"/>
                <w:kern w:val="0"/>
                <w:sz w:val="24"/>
                <w:szCs w:val="24"/>
                <w:lang w:val="en-GB"/>
              </w:rPr>
              <w:t>cQSP_1089</w:t>
            </w:r>
          </w:p>
        </w:tc>
        <w:tc>
          <w:tcPr>
            <w:tcW w:w="2289" w:type="dxa"/>
            <w:vAlign w:val="center"/>
          </w:tcPr>
          <w:p w14:paraId="15ADDC01">
            <w:pPr>
              <w:widowControl/>
              <w:adjustRightInd w:val="0"/>
              <w:snapToGrid w:val="0"/>
              <w:contextualSpacing/>
              <w:jc w:val="center"/>
              <w:rPr>
                <w:rFonts w:ascii="Times New Roman" w:hAnsi="Times New Roman" w:eastAsia="等线" w:cs="Times New Roman"/>
                <w:color w:val="000000"/>
                <w:kern w:val="0"/>
                <w:sz w:val="24"/>
                <w:szCs w:val="24"/>
              </w:rPr>
            </w:pPr>
            <w:r>
              <w:rPr>
                <w:rFonts w:hint="eastAsia" w:ascii="Times New Roman" w:hAnsi="Times New Roman" w:eastAsia="等线" w:cs="Times New Roman"/>
                <w:color w:val="000000"/>
                <w:kern w:val="0"/>
                <w:sz w:val="24"/>
                <w:szCs w:val="24"/>
              </w:rPr>
              <w:t>GIVLVPTSLVSG</w:t>
            </w:r>
          </w:p>
        </w:tc>
        <w:tc>
          <w:tcPr>
            <w:tcW w:w="1800" w:type="dxa"/>
            <w:vAlign w:val="center"/>
          </w:tcPr>
          <w:p w14:paraId="49DDDDBE">
            <w:pPr>
              <w:widowControl/>
              <w:adjustRightInd w:val="0"/>
              <w:snapToGrid w:val="0"/>
              <w:contextualSpacing/>
              <w:jc w:val="center"/>
              <w:rPr>
                <w:rFonts w:ascii="Times New Roman" w:hAnsi="Times New Roman" w:eastAsia="等线" w:cs="Times New Roman"/>
                <w:color w:val="000000"/>
                <w:kern w:val="0"/>
                <w:sz w:val="24"/>
                <w:szCs w:val="24"/>
              </w:rPr>
            </w:pPr>
            <w:r>
              <w:rPr>
                <w:rFonts w:hint="eastAsia" w:ascii="Times New Roman" w:hAnsi="Times New Roman" w:eastAsia="等线" w:cs="Times New Roman"/>
                <w:color w:val="000000"/>
                <w:kern w:val="0"/>
                <w:sz w:val="24"/>
                <w:szCs w:val="24"/>
              </w:rPr>
              <w:t>3.27</w:t>
            </w:r>
          </w:p>
        </w:tc>
        <w:tc>
          <w:tcPr>
            <w:tcW w:w="1387" w:type="dxa"/>
            <w:vAlign w:val="center"/>
          </w:tcPr>
          <w:p w14:paraId="5F909185">
            <w:pPr>
              <w:widowControl/>
              <w:adjustRightInd w:val="0"/>
              <w:snapToGrid w:val="0"/>
              <w:contextualSpacing/>
              <w:jc w:val="center"/>
              <w:rPr>
                <w:rFonts w:ascii="Times New Roman" w:hAnsi="Times New Roman" w:cs="Times New Roman"/>
                <w:color w:val="000000"/>
                <w:sz w:val="22"/>
              </w:rPr>
            </w:pPr>
            <w:r>
              <w:rPr>
                <w:rFonts w:hint="eastAsia" w:ascii="Times New Roman" w:hAnsi="Times New Roman" w:eastAsia="等线" w:cs="Times New Roman"/>
                <w:color w:val="000000"/>
                <w:kern w:val="0"/>
                <w:sz w:val="24"/>
                <w:szCs w:val="24"/>
              </w:rPr>
              <w:t>n.d.</w:t>
            </w:r>
          </w:p>
        </w:tc>
        <w:tc>
          <w:tcPr>
            <w:tcW w:w="1470" w:type="dxa"/>
            <w:vAlign w:val="center"/>
          </w:tcPr>
          <w:p w14:paraId="482B90CE">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sz w:val="18"/>
                <w:szCs w:val="18"/>
              </w:rPr>
              <w:t>&gt;</w:t>
            </w:r>
            <w:r>
              <w:rPr>
                <w:rFonts w:hint="eastAsia" w:ascii="Times New Roman" w:hAnsi="Times New Roman" w:eastAsia="等线" w:cs="Times New Roman"/>
                <w:color w:val="000000"/>
                <w:kern w:val="0"/>
                <w:sz w:val="24"/>
                <w:szCs w:val="24"/>
              </w:rPr>
              <w:t>5356.73</w:t>
            </w:r>
          </w:p>
        </w:tc>
      </w:tr>
      <w:tr w14:paraId="5C4062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trPr>
        <w:tc>
          <w:tcPr>
            <w:tcW w:w="1418" w:type="dxa"/>
          </w:tcPr>
          <w:p w14:paraId="39C8B2EF">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hint="eastAsia" w:ascii="Times New Roman" w:hAnsi="Times New Roman" w:eastAsia="等线" w:cs="Times New Roman"/>
                <w:color w:val="000000"/>
                <w:kern w:val="0"/>
                <w:sz w:val="24"/>
                <w:szCs w:val="24"/>
                <w:lang w:val="en-GB"/>
              </w:rPr>
              <w:t>1-GPV</w:t>
            </w:r>
          </w:p>
        </w:tc>
        <w:tc>
          <w:tcPr>
            <w:tcW w:w="2289" w:type="dxa"/>
            <w:vAlign w:val="center"/>
          </w:tcPr>
          <w:p w14:paraId="63856033">
            <w:pPr>
              <w:widowControl/>
              <w:adjustRightInd w:val="0"/>
              <w:snapToGrid w:val="0"/>
              <w:contextualSpacing/>
              <w:jc w:val="center"/>
              <w:rPr>
                <w:rFonts w:ascii="Times New Roman" w:hAnsi="Times New Roman" w:eastAsia="等线" w:cs="Times New Roman"/>
                <w:color w:val="000000"/>
                <w:sz w:val="24"/>
                <w:szCs w:val="24"/>
              </w:rPr>
            </w:pPr>
            <w:r>
              <w:rPr>
                <w:rFonts w:hint="eastAsia" w:ascii="Times New Roman" w:hAnsi="Times New Roman" w:eastAsia="等线" w:cs="Times New Roman"/>
                <w:color w:val="000000"/>
                <w:kern w:val="0"/>
                <w:sz w:val="24"/>
                <w:szCs w:val="24"/>
              </w:rPr>
              <w:t>GPVTVVSSLILG</w:t>
            </w:r>
          </w:p>
        </w:tc>
        <w:tc>
          <w:tcPr>
            <w:tcW w:w="1800" w:type="dxa"/>
            <w:vAlign w:val="center"/>
          </w:tcPr>
          <w:p w14:paraId="0EC87B84">
            <w:pPr>
              <w:widowControl/>
              <w:adjustRightInd w:val="0"/>
              <w:snapToGrid w:val="0"/>
              <w:contextualSpacing/>
              <w:jc w:val="center"/>
              <w:rPr>
                <w:rFonts w:ascii="Times New Roman" w:hAnsi="Times New Roman" w:eastAsia="等线" w:cs="Times New Roman"/>
                <w:color w:val="000000"/>
                <w:sz w:val="24"/>
                <w:szCs w:val="24"/>
              </w:rPr>
            </w:pPr>
            <w:r>
              <w:rPr>
                <w:rFonts w:hint="eastAsia" w:ascii="Times New Roman" w:hAnsi="Times New Roman" w:eastAsia="等线" w:cs="Times New Roman"/>
                <w:color w:val="000000"/>
                <w:kern w:val="0"/>
                <w:sz w:val="24"/>
                <w:szCs w:val="24"/>
              </w:rPr>
              <w:t>Non-effective</w:t>
            </w:r>
          </w:p>
        </w:tc>
        <w:tc>
          <w:tcPr>
            <w:tcW w:w="1387" w:type="dxa"/>
            <w:vAlign w:val="center"/>
          </w:tcPr>
          <w:p w14:paraId="3C373B83">
            <w:pPr>
              <w:widowControl/>
              <w:adjustRightInd w:val="0"/>
              <w:snapToGrid w:val="0"/>
              <w:contextualSpacing/>
              <w:jc w:val="center"/>
              <w:rPr>
                <w:rFonts w:ascii="Times New Roman" w:hAnsi="Times New Roman" w:eastAsia="等线" w:cs="Times New Roman"/>
                <w:color w:val="000000"/>
                <w:sz w:val="24"/>
                <w:szCs w:val="24"/>
              </w:rPr>
            </w:pPr>
            <w:r>
              <w:rPr>
                <w:rFonts w:hint="eastAsia" w:ascii="Times New Roman" w:hAnsi="Times New Roman" w:eastAsia="等线" w:cs="Times New Roman"/>
                <w:color w:val="000000"/>
                <w:kern w:val="0"/>
                <w:sz w:val="24"/>
                <w:szCs w:val="24"/>
                <w:lang w:val="en-GB"/>
              </w:rPr>
              <w:t>n.d.</w:t>
            </w:r>
          </w:p>
        </w:tc>
        <w:tc>
          <w:tcPr>
            <w:tcW w:w="1470" w:type="dxa"/>
            <w:vAlign w:val="center"/>
          </w:tcPr>
          <w:p w14:paraId="2DF2F226">
            <w:pPr>
              <w:widowControl/>
              <w:adjustRightInd w:val="0"/>
              <w:snapToGrid w:val="0"/>
              <w:contextualSpacing/>
              <w:jc w:val="center"/>
              <w:rPr>
                <w:rFonts w:ascii="Times New Roman" w:hAnsi="Times New Roman" w:eastAsia="等线" w:cs="Times New Roman"/>
                <w:color w:val="000000"/>
                <w:kern w:val="0"/>
                <w:sz w:val="24"/>
                <w:szCs w:val="24"/>
              </w:rPr>
            </w:pPr>
            <w:r>
              <w:rPr>
                <w:rFonts w:hint="eastAsia" w:ascii="Times New Roman" w:hAnsi="Times New Roman" w:cs="Times New Roman"/>
                <w:sz w:val="18"/>
                <w:szCs w:val="18"/>
              </w:rPr>
              <w:t>/</w:t>
            </w:r>
          </w:p>
        </w:tc>
      </w:tr>
      <w:tr w14:paraId="1D83ED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1418" w:type="dxa"/>
          </w:tcPr>
          <w:p w14:paraId="2D086DFB">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hint="eastAsia" w:ascii="Times New Roman" w:hAnsi="Times New Roman" w:eastAsia="等线" w:cs="Times New Roman"/>
                <w:color w:val="000000"/>
                <w:kern w:val="0"/>
                <w:sz w:val="24"/>
                <w:szCs w:val="24"/>
                <w:lang w:val="en-GB"/>
              </w:rPr>
              <w:t>2-GTS</w:t>
            </w:r>
          </w:p>
        </w:tc>
        <w:tc>
          <w:tcPr>
            <w:tcW w:w="2289" w:type="dxa"/>
          </w:tcPr>
          <w:p w14:paraId="377004A2">
            <w:pPr>
              <w:widowControl/>
              <w:adjustRightInd w:val="0"/>
              <w:snapToGrid w:val="0"/>
              <w:contextualSpacing/>
              <w:jc w:val="center"/>
              <w:rPr>
                <w:rFonts w:ascii="Times New Roman" w:hAnsi="Times New Roman" w:eastAsia="等线" w:cs="Times New Roman"/>
                <w:color w:val="000000"/>
                <w:sz w:val="24"/>
                <w:szCs w:val="24"/>
              </w:rPr>
            </w:pPr>
            <w:r>
              <w:rPr>
                <w:rFonts w:hint="eastAsia" w:ascii="Times New Roman" w:hAnsi="Times New Roman" w:eastAsia="等线" w:cs="Times New Roman"/>
                <w:color w:val="000000"/>
                <w:kern w:val="0"/>
                <w:sz w:val="24"/>
                <w:szCs w:val="24"/>
              </w:rPr>
              <w:t>GTSLVVPLVSIG</w:t>
            </w:r>
          </w:p>
        </w:tc>
        <w:tc>
          <w:tcPr>
            <w:tcW w:w="1800" w:type="dxa"/>
          </w:tcPr>
          <w:p w14:paraId="5F6E9B82">
            <w:pPr>
              <w:widowControl/>
              <w:adjustRightInd w:val="0"/>
              <w:snapToGrid w:val="0"/>
              <w:contextualSpacing/>
              <w:jc w:val="center"/>
              <w:rPr>
                <w:rFonts w:ascii="Times New Roman" w:hAnsi="Times New Roman" w:eastAsia="等线" w:cs="Times New Roman"/>
                <w:color w:val="000000"/>
                <w:sz w:val="24"/>
                <w:szCs w:val="24"/>
              </w:rPr>
            </w:pPr>
            <w:r>
              <w:rPr>
                <w:rFonts w:hint="eastAsia" w:ascii="Times New Roman" w:hAnsi="Times New Roman" w:eastAsia="等线" w:cs="Times New Roman"/>
                <w:color w:val="000000"/>
                <w:kern w:val="0"/>
                <w:sz w:val="24"/>
                <w:szCs w:val="24"/>
              </w:rPr>
              <w:t>Non-effective</w:t>
            </w:r>
          </w:p>
        </w:tc>
        <w:tc>
          <w:tcPr>
            <w:tcW w:w="1387" w:type="dxa"/>
          </w:tcPr>
          <w:p w14:paraId="3150B035">
            <w:pPr>
              <w:widowControl/>
              <w:adjustRightInd w:val="0"/>
              <w:snapToGrid w:val="0"/>
              <w:contextualSpacing/>
              <w:jc w:val="center"/>
              <w:rPr>
                <w:rFonts w:ascii="Times New Roman" w:hAnsi="Times New Roman" w:eastAsia="等线" w:cs="Times New Roman"/>
                <w:color w:val="000000"/>
                <w:sz w:val="24"/>
                <w:szCs w:val="24"/>
              </w:rPr>
            </w:pPr>
            <w:r>
              <w:rPr>
                <w:rFonts w:hint="eastAsia" w:ascii="Times New Roman" w:hAnsi="Times New Roman" w:eastAsia="等线" w:cs="Times New Roman"/>
                <w:color w:val="000000"/>
                <w:kern w:val="0"/>
                <w:sz w:val="24"/>
                <w:szCs w:val="24"/>
                <w:lang w:val="en-GB"/>
              </w:rPr>
              <w:t>970.12</w:t>
            </w:r>
          </w:p>
        </w:tc>
        <w:tc>
          <w:tcPr>
            <w:tcW w:w="1470" w:type="dxa"/>
            <w:vAlign w:val="center"/>
          </w:tcPr>
          <w:p w14:paraId="7F849CE5">
            <w:pPr>
              <w:widowControl/>
              <w:adjustRightInd w:val="0"/>
              <w:snapToGrid w:val="0"/>
              <w:contextualSpacing/>
              <w:jc w:val="center"/>
              <w:rPr>
                <w:rFonts w:ascii="Times New Roman" w:hAnsi="Times New Roman" w:cs="Times New Roman"/>
                <w:color w:val="000000"/>
                <w:sz w:val="24"/>
                <w:szCs w:val="24"/>
              </w:rPr>
            </w:pPr>
            <w:r>
              <w:rPr>
                <w:rFonts w:hint="eastAsia" w:ascii="Times New Roman" w:hAnsi="Times New Roman" w:cs="Times New Roman"/>
                <w:sz w:val="18"/>
                <w:szCs w:val="18"/>
              </w:rPr>
              <w:t>/</w:t>
            </w:r>
          </w:p>
        </w:tc>
      </w:tr>
    </w:tbl>
    <w:p w14:paraId="693B78DA">
      <w:pPr>
        <w:rPr>
          <w:rFonts w:hint="eastAsia"/>
        </w:rPr>
      </w:pPr>
    </w:p>
    <w:p w14:paraId="2998413A">
      <w:pPr>
        <w:adjustRightInd w:val="0"/>
        <w:snapToGrid w:val="0"/>
        <w:spacing w:after="78" w:afterLines="25"/>
        <w:contextualSpacing/>
        <w:jc w:val="left"/>
        <w:outlineLvl w:val="1"/>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510B157A">
      <w:pPr>
        <w:adjustRightInd w:val="0"/>
        <w:snapToGrid w:val="0"/>
        <w:spacing w:after="78" w:afterLines="25"/>
        <w:contextualSpacing/>
        <w:jc w:val="left"/>
        <w:outlineLvl w:val="1"/>
        <w:rPr>
          <w:rFonts w:ascii="Times New Roman" w:hAnsi="Times New Roman" w:cs="Times New Roman"/>
          <w:b/>
          <w:bCs/>
          <w:sz w:val="24"/>
        </w:rPr>
      </w:pPr>
      <w:r>
        <w:rPr>
          <w:rFonts w:hint="eastAsia" w:ascii="Times New Roman" w:hAnsi="Times New Roman" w:cs="Times New Roman"/>
          <w:b/>
          <w:bCs/>
          <w:color w:val="000000" w:themeColor="text1"/>
          <w:sz w:val="24"/>
          <w14:textFill>
            <w14:solidFill>
              <w14:schemeClr w14:val="tx1"/>
            </w14:solidFill>
          </w14:textFill>
        </w:rPr>
        <w:t>Supplementary Table 8∣</w:t>
      </w:r>
      <w:r>
        <w:rPr>
          <w:rFonts w:ascii="Times New Roman" w:hAnsi="Times New Roman" w:cs="Times New Roman"/>
          <w:b/>
          <w:bCs/>
          <w:sz w:val="24"/>
        </w:rPr>
        <w:t xml:space="preserve">Binding free energy and </w:t>
      </w:r>
      <w:r>
        <w:rPr>
          <w:rFonts w:ascii="Times New Roman" w:hAnsi="Times New Roman" w:eastAsia="宋体" w:cs="Times New Roman"/>
          <w:b/>
          <w:bCs/>
          <w:sz w:val="24"/>
          <w:szCs w:val="24"/>
        </w:rPr>
        <w:t>binding interface</w:t>
      </w:r>
      <w:r>
        <w:rPr>
          <w:rFonts w:ascii="Times New Roman" w:hAnsi="Times New Roman" w:cs="Times New Roman"/>
          <w:b/>
          <w:bCs/>
          <w:sz w:val="24"/>
        </w:rPr>
        <w:t xml:space="preserve"> analysis of the SI-GIVL complex.</w:t>
      </w:r>
    </w:p>
    <w:tbl>
      <w:tblPr>
        <w:tblStyle w:val="10"/>
        <w:tblpPr w:leftFromText="180" w:rightFromText="180" w:vertAnchor="text" w:horzAnchor="margin" w:tblpXSpec="center" w:tblpY="124"/>
        <w:tblW w:w="839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8"/>
        <w:gridCol w:w="788"/>
        <w:gridCol w:w="1312"/>
        <w:gridCol w:w="1512"/>
        <w:gridCol w:w="1138"/>
        <w:gridCol w:w="1300"/>
        <w:gridCol w:w="1134"/>
      </w:tblGrid>
      <w:tr w14:paraId="7D77A3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Borders>
              <w:top w:val="single" w:color="auto" w:sz="4" w:space="0"/>
              <w:bottom w:val="single" w:color="auto" w:sz="4" w:space="0"/>
            </w:tcBorders>
          </w:tcPr>
          <w:p w14:paraId="3143C722">
            <w:pPr>
              <w:widowControl/>
              <w:adjustRightInd w:val="0"/>
              <w:snapToGrid w:val="0"/>
              <w:contextualSpacing/>
              <w:jc w:val="center"/>
              <w:rPr>
                <w:rFonts w:ascii="Times New Roman" w:hAnsi="Times New Roman" w:eastAsia="宋体" w:cs="Times New Roman"/>
                <w:b/>
                <w:bCs/>
                <w:kern w:val="0"/>
                <w:sz w:val="24"/>
                <w:szCs w:val="20"/>
                <w:lang w:val="en-GB"/>
              </w:rPr>
            </w:pPr>
            <w:r>
              <w:rPr>
                <w:rFonts w:ascii="Times New Roman" w:hAnsi="Times New Roman" w:eastAsia="等线" w:cs="Times New Roman"/>
                <w:b/>
                <w:bCs/>
                <w:color w:val="000000"/>
                <w:kern w:val="0"/>
                <w:sz w:val="24"/>
                <w:szCs w:val="20"/>
                <w:lang w:val="en-GB"/>
              </w:rPr>
              <w:t>Mutation</w:t>
            </w:r>
            <w:r>
              <w:rPr>
                <w:rFonts w:ascii="Times New Roman" w:hAnsi="Times New Roman" w:eastAsia="等线" w:cs="Times New Roman"/>
                <w:b/>
                <w:bCs/>
                <w:color w:val="000000"/>
                <w:kern w:val="0"/>
                <w:sz w:val="24"/>
                <w:szCs w:val="20"/>
              </w:rPr>
              <w:t xml:space="preserve"> </w:t>
            </w:r>
            <w:r>
              <w:rPr>
                <w:rFonts w:ascii="Times New Roman" w:hAnsi="Times New Roman" w:eastAsia="等线" w:cs="Times New Roman"/>
                <w:b/>
                <w:bCs/>
                <w:color w:val="000000"/>
                <w:kern w:val="0"/>
                <w:sz w:val="24"/>
                <w:szCs w:val="20"/>
                <w:lang w:val="en-GB"/>
              </w:rPr>
              <w:t>site</w:t>
            </w:r>
          </w:p>
        </w:tc>
        <w:tc>
          <w:tcPr>
            <w:tcW w:w="788" w:type="dxa"/>
            <w:tcBorders>
              <w:top w:val="single" w:color="auto" w:sz="4" w:space="0"/>
              <w:bottom w:val="single" w:color="auto" w:sz="4" w:space="0"/>
            </w:tcBorders>
          </w:tcPr>
          <w:p w14:paraId="103B26B7">
            <w:pPr>
              <w:widowControl/>
              <w:adjustRightInd w:val="0"/>
              <w:snapToGrid w:val="0"/>
              <w:contextualSpacing/>
              <w:jc w:val="center"/>
              <w:rPr>
                <w:rFonts w:ascii="Times New Roman" w:hAnsi="Times New Roman" w:eastAsia="等线" w:cs="Times New Roman"/>
                <w:b/>
                <w:bCs/>
                <w:kern w:val="0"/>
                <w:sz w:val="24"/>
                <w:szCs w:val="20"/>
              </w:rPr>
            </w:pPr>
            <w:r>
              <w:rPr>
                <w:rFonts w:ascii="Times New Roman" w:hAnsi="Times New Roman" w:eastAsia="等线" w:cs="Times New Roman"/>
                <w:b/>
                <w:bCs/>
                <w:color w:val="000000"/>
                <w:kern w:val="0"/>
                <w:sz w:val="24"/>
                <w:szCs w:val="20"/>
                <w:lang w:val="en-GB"/>
              </w:rPr>
              <w:t>iptm score</w:t>
            </w:r>
          </w:p>
        </w:tc>
        <w:tc>
          <w:tcPr>
            <w:tcW w:w="1312" w:type="dxa"/>
            <w:tcBorders>
              <w:top w:val="single" w:color="auto" w:sz="4" w:space="0"/>
              <w:bottom w:val="single" w:color="auto" w:sz="4" w:space="0"/>
            </w:tcBorders>
          </w:tcPr>
          <w:p w14:paraId="4848F945">
            <w:pPr>
              <w:widowControl/>
              <w:adjustRightInd w:val="0"/>
              <w:snapToGrid w:val="0"/>
              <w:contextualSpacing/>
              <w:jc w:val="center"/>
              <w:rPr>
                <w:rFonts w:ascii="Times New Roman" w:hAnsi="Times New Roman" w:eastAsia="宋体" w:cs="Times New Roman"/>
                <w:b/>
                <w:bCs/>
                <w:kern w:val="0"/>
                <w:sz w:val="24"/>
                <w:szCs w:val="20"/>
                <w:lang w:val="en-GB"/>
              </w:rPr>
            </w:pPr>
            <w:r>
              <w:rPr>
                <w:rFonts w:ascii="Times New Roman" w:hAnsi="Times New Roman" w:eastAsia="等线" w:cs="Times New Roman"/>
                <w:b/>
                <w:bCs/>
                <w:color w:val="000000"/>
                <w:kern w:val="0"/>
                <w:sz w:val="24"/>
                <w:szCs w:val="20"/>
                <w:lang w:val="en-GB"/>
              </w:rPr>
              <w:t>ranking score</w:t>
            </w:r>
          </w:p>
        </w:tc>
        <w:tc>
          <w:tcPr>
            <w:tcW w:w="1512" w:type="dxa"/>
            <w:tcBorders>
              <w:top w:val="single" w:color="auto" w:sz="4" w:space="0"/>
              <w:bottom w:val="single" w:color="auto" w:sz="4" w:space="0"/>
            </w:tcBorders>
          </w:tcPr>
          <w:p w14:paraId="328FAE26">
            <w:pPr>
              <w:widowControl/>
              <w:adjustRightInd w:val="0"/>
              <w:snapToGrid w:val="0"/>
              <w:contextualSpacing/>
              <w:jc w:val="center"/>
              <w:rPr>
                <w:rFonts w:ascii="Times New Roman" w:hAnsi="Times New Roman" w:eastAsia="宋体" w:cs="Times New Roman"/>
                <w:b/>
                <w:bCs/>
                <w:kern w:val="0"/>
                <w:sz w:val="24"/>
                <w:szCs w:val="20"/>
                <w:lang w:val="en-GB"/>
              </w:rPr>
            </w:pPr>
            <w:r>
              <w:rPr>
                <w:rFonts w:ascii="Times New Roman" w:hAnsi="Times New Roman" w:eastAsia="等线" w:cs="Times New Roman"/>
                <w:b/>
                <w:bCs/>
                <w:color w:val="000000"/>
                <w:kern w:val="0"/>
                <w:sz w:val="24"/>
                <w:szCs w:val="20"/>
                <w:lang w:val="en-GB"/>
              </w:rPr>
              <w:t>dG_separated score</w:t>
            </w:r>
          </w:p>
        </w:tc>
        <w:tc>
          <w:tcPr>
            <w:tcW w:w="1138" w:type="dxa"/>
            <w:tcBorders>
              <w:top w:val="single" w:color="auto" w:sz="4" w:space="0"/>
              <w:bottom w:val="single" w:color="auto" w:sz="4" w:space="0"/>
            </w:tcBorders>
          </w:tcPr>
          <w:p w14:paraId="4D18B8BA">
            <w:pPr>
              <w:widowControl/>
              <w:adjustRightInd w:val="0"/>
              <w:snapToGrid w:val="0"/>
              <w:contextualSpacing/>
              <w:jc w:val="center"/>
              <w:rPr>
                <w:rFonts w:ascii="Times New Roman" w:hAnsi="Times New Roman" w:eastAsia="宋体" w:cs="Times New Roman"/>
                <w:b/>
                <w:bCs/>
                <w:kern w:val="0"/>
                <w:sz w:val="24"/>
                <w:szCs w:val="20"/>
                <w:lang w:val="en-GB"/>
              </w:rPr>
            </w:pPr>
            <w:r>
              <w:rPr>
                <w:rFonts w:ascii="Times New Roman" w:hAnsi="Times New Roman" w:eastAsia="等线" w:cs="Times New Roman"/>
                <w:b/>
                <w:bCs/>
                <w:color w:val="000000"/>
                <w:kern w:val="0"/>
                <w:sz w:val="24"/>
                <w:szCs w:val="20"/>
                <w:lang w:val="en-GB"/>
              </w:rPr>
              <w:t>Total score</w:t>
            </w:r>
          </w:p>
        </w:tc>
        <w:tc>
          <w:tcPr>
            <w:tcW w:w="1300" w:type="dxa"/>
            <w:tcBorders>
              <w:top w:val="single" w:color="auto" w:sz="4" w:space="0"/>
              <w:bottom w:val="single" w:color="auto" w:sz="4" w:space="0"/>
            </w:tcBorders>
          </w:tcPr>
          <w:p w14:paraId="48739801">
            <w:pPr>
              <w:widowControl/>
              <w:adjustRightInd w:val="0"/>
              <w:snapToGrid w:val="0"/>
              <w:contextualSpacing/>
              <w:jc w:val="center"/>
              <w:rPr>
                <w:rFonts w:ascii="Times New Roman" w:hAnsi="Times New Roman" w:eastAsia="宋体" w:cs="Times New Roman"/>
                <w:b/>
                <w:bCs/>
                <w:kern w:val="0"/>
                <w:sz w:val="24"/>
                <w:szCs w:val="20"/>
                <w:lang w:val="en-GB"/>
              </w:rPr>
            </w:pPr>
            <w:r>
              <w:rPr>
                <w:rFonts w:ascii="Times New Roman" w:hAnsi="Times New Roman" w:eastAsia="等线" w:cs="Times New Roman"/>
                <w:b/>
                <w:bCs/>
                <w:color w:val="000000"/>
                <w:kern w:val="0"/>
                <w:sz w:val="24"/>
                <w:szCs w:val="20"/>
              </w:rPr>
              <w:t>y</w:t>
            </w:r>
            <w:r>
              <w:rPr>
                <w:rFonts w:ascii="Times New Roman" w:hAnsi="Times New Roman" w:eastAsia="等线" w:cs="Times New Roman"/>
                <w:b/>
                <w:bCs/>
                <w:color w:val="000000"/>
                <w:kern w:val="0"/>
                <w:sz w:val="24"/>
                <w:szCs w:val="20"/>
                <w:lang w:val="en-GB"/>
              </w:rPr>
              <w:t>ellow</w:t>
            </w:r>
            <w:r>
              <w:rPr>
                <w:rFonts w:ascii="Times New Roman" w:hAnsi="Times New Roman" w:eastAsia="等线" w:cs="Times New Roman"/>
                <w:b/>
                <w:bCs/>
                <w:color w:val="000000"/>
                <w:kern w:val="0"/>
                <w:sz w:val="24"/>
                <w:szCs w:val="20"/>
              </w:rPr>
              <w:t xml:space="preserve"> </w:t>
            </w:r>
            <w:r>
              <w:rPr>
                <w:rFonts w:ascii="Times New Roman" w:hAnsi="Times New Roman" w:eastAsia="等线" w:cs="Times New Roman"/>
                <w:b/>
                <w:bCs/>
                <w:color w:val="000000"/>
                <w:kern w:val="0"/>
                <w:sz w:val="24"/>
                <w:szCs w:val="20"/>
                <w:lang w:val="en-GB"/>
              </w:rPr>
              <w:t>(Good hydrogen bonds)</w:t>
            </w:r>
          </w:p>
        </w:tc>
        <w:tc>
          <w:tcPr>
            <w:tcW w:w="1134" w:type="dxa"/>
            <w:tcBorders>
              <w:top w:val="single" w:color="auto" w:sz="4" w:space="0"/>
              <w:bottom w:val="single" w:color="auto" w:sz="4" w:space="0"/>
            </w:tcBorders>
          </w:tcPr>
          <w:p w14:paraId="159B2F70">
            <w:pPr>
              <w:widowControl/>
              <w:adjustRightInd w:val="0"/>
              <w:snapToGrid w:val="0"/>
              <w:contextualSpacing/>
              <w:jc w:val="center"/>
              <w:rPr>
                <w:rFonts w:ascii="Times New Roman" w:hAnsi="Times New Roman" w:eastAsia="等线" w:cs="Times New Roman"/>
                <w:b/>
                <w:bCs/>
                <w:color w:val="000000"/>
                <w:kern w:val="0"/>
                <w:sz w:val="24"/>
                <w:szCs w:val="20"/>
                <w:lang w:val="en-GB"/>
              </w:rPr>
            </w:pPr>
            <w:r>
              <w:rPr>
                <w:rFonts w:ascii="Times New Roman" w:hAnsi="Times New Roman" w:eastAsia="等线" w:cs="Times New Roman"/>
                <w:b/>
                <w:bCs/>
                <w:color w:val="000000"/>
                <w:kern w:val="0"/>
                <w:sz w:val="24"/>
                <w:szCs w:val="20"/>
              </w:rPr>
              <w:t>r</w:t>
            </w:r>
            <w:r>
              <w:rPr>
                <w:rFonts w:ascii="Times New Roman" w:hAnsi="Times New Roman" w:eastAsia="等线" w:cs="Times New Roman"/>
                <w:b/>
                <w:bCs/>
                <w:color w:val="000000"/>
                <w:kern w:val="0"/>
                <w:sz w:val="24"/>
                <w:szCs w:val="20"/>
                <w:lang w:val="en-GB"/>
              </w:rPr>
              <w:t>ed</w:t>
            </w:r>
            <w:r>
              <w:rPr>
                <w:rFonts w:ascii="Times New Roman" w:hAnsi="Times New Roman" w:eastAsia="等线" w:cs="Times New Roman"/>
                <w:b/>
                <w:bCs/>
                <w:color w:val="000000"/>
                <w:kern w:val="0"/>
                <w:sz w:val="24"/>
                <w:szCs w:val="20"/>
              </w:rPr>
              <w:t xml:space="preserve"> </w:t>
            </w:r>
            <w:r>
              <w:rPr>
                <w:rFonts w:ascii="Times New Roman" w:hAnsi="Times New Roman" w:eastAsia="等线" w:cs="Times New Roman"/>
                <w:b/>
                <w:bCs/>
                <w:color w:val="000000"/>
                <w:kern w:val="0"/>
                <w:sz w:val="24"/>
                <w:szCs w:val="20"/>
                <w:lang w:val="en-GB"/>
              </w:rPr>
              <w:t>(Electrostatic clashes)</w:t>
            </w:r>
          </w:p>
        </w:tc>
      </w:tr>
      <w:tr w14:paraId="6E75755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Borders>
              <w:top w:val="single" w:color="auto" w:sz="4" w:space="0"/>
            </w:tcBorders>
          </w:tcPr>
          <w:p w14:paraId="71CFAC7E">
            <w:pPr>
              <w:widowControl/>
              <w:adjustRightInd w:val="0"/>
              <w:snapToGrid w:val="0"/>
              <w:contextualSpacing/>
              <w:jc w:val="center"/>
              <w:rPr>
                <w:rFonts w:ascii="Times New Roman" w:hAnsi="Times New Roman" w:eastAsia="宋体" w:cs="Times New Roman"/>
                <w:b/>
                <w:bCs/>
                <w:kern w:val="0"/>
                <w:sz w:val="24"/>
                <w:szCs w:val="24"/>
                <w:lang w:val="en-GB"/>
              </w:rPr>
            </w:pPr>
            <w:r>
              <w:rPr>
                <w:rFonts w:ascii="Times New Roman" w:hAnsi="Times New Roman" w:eastAsia="等线" w:cs="Times New Roman"/>
                <w:color w:val="000000"/>
                <w:kern w:val="0"/>
                <w:sz w:val="24"/>
                <w:szCs w:val="24"/>
                <w:lang w:val="en-GB"/>
              </w:rPr>
              <w:t>WT</w:t>
            </w:r>
          </w:p>
        </w:tc>
        <w:tc>
          <w:tcPr>
            <w:tcW w:w="788" w:type="dxa"/>
            <w:tcBorders>
              <w:top w:val="single" w:color="auto" w:sz="4" w:space="0"/>
            </w:tcBorders>
          </w:tcPr>
          <w:p w14:paraId="47194CE4">
            <w:pPr>
              <w:widowControl/>
              <w:adjustRightInd w:val="0"/>
              <w:snapToGrid w:val="0"/>
              <w:contextualSpacing/>
              <w:jc w:val="center"/>
              <w:rPr>
                <w:rFonts w:ascii="Times New Roman" w:hAnsi="Times New Roman" w:eastAsia="等线" w:cs="Times New Roman"/>
                <w:color w:val="000000"/>
                <w:kern w:val="0"/>
                <w:sz w:val="24"/>
                <w:szCs w:val="24"/>
                <w:lang w:val="zh-CN"/>
              </w:rPr>
            </w:pPr>
            <w:r>
              <w:rPr>
                <w:rFonts w:ascii="Times New Roman" w:hAnsi="Times New Roman" w:eastAsia="等线" w:cs="Times New Roman"/>
                <w:color w:val="000000"/>
                <w:kern w:val="0"/>
                <w:sz w:val="24"/>
                <w:szCs w:val="24"/>
              </w:rPr>
              <w:t>0.67</w:t>
            </w:r>
          </w:p>
        </w:tc>
        <w:tc>
          <w:tcPr>
            <w:tcW w:w="1312" w:type="dxa"/>
            <w:tcBorders>
              <w:top w:val="single" w:color="auto" w:sz="4" w:space="0"/>
            </w:tcBorders>
          </w:tcPr>
          <w:p w14:paraId="30A7AF0E">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0.73</w:t>
            </w:r>
          </w:p>
        </w:tc>
        <w:tc>
          <w:tcPr>
            <w:tcW w:w="1512" w:type="dxa"/>
            <w:tcBorders>
              <w:top w:val="single" w:color="auto" w:sz="4" w:space="0"/>
            </w:tcBorders>
            <w:vAlign w:val="center"/>
          </w:tcPr>
          <w:p w14:paraId="2BF378F7">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-53.929</w:t>
            </w:r>
          </w:p>
        </w:tc>
        <w:tc>
          <w:tcPr>
            <w:tcW w:w="1138" w:type="dxa"/>
            <w:tcBorders>
              <w:top w:val="single" w:color="auto" w:sz="4" w:space="0"/>
            </w:tcBorders>
          </w:tcPr>
          <w:p w14:paraId="36745D25">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-5821.37</w:t>
            </w:r>
          </w:p>
        </w:tc>
        <w:tc>
          <w:tcPr>
            <w:tcW w:w="1300" w:type="dxa"/>
            <w:tcBorders>
              <w:top w:val="single" w:color="auto" w:sz="4" w:space="0"/>
            </w:tcBorders>
          </w:tcPr>
          <w:p w14:paraId="29261DDF">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14</w:t>
            </w:r>
          </w:p>
        </w:tc>
        <w:tc>
          <w:tcPr>
            <w:tcW w:w="1134" w:type="dxa"/>
            <w:tcBorders>
              <w:top w:val="single" w:color="auto" w:sz="4" w:space="0"/>
            </w:tcBorders>
          </w:tcPr>
          <w:p w14:paraId="3654CE27">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12</w:t>
            </w:r>
          </w:p>
        </w:tc>
      </w:tr>
      <w:tr w14:paraId="60251A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2B23C69A">
            <w:pPr>
              <w:widowControl/>
              <w:adjustRightInd w:val="0"/>
              <w:snapToGrid w:val="0"/>
              <w:contextualSpacing/>
              <w:jc w:val="center"/>
              <w:rPr>
                <w:rFonts w:ascii="Times New Roman" w:hAnsi="Times New Roman" w:eastAsia="宋体" w:cs="Times New Roman"/>
                <w:b/>
                <w:bCs/>
                <w:kern w:val="0"/>
                <w:sz w:val="24"/>
                <w:szCs w:val="24"/>
                <w:lang w:val="en-GB"/>
              </w:rPr>
            </w:pPr>
            <w:r>
              <w:rPr>
                <w:rFonts w:ascii="Times New Roman" w:hAnsi="Times New Roman" w:eastAsia="等线" w:cs="Times New Roman"/>
                <w:color w:val="000000"/>
                <w:kern w:val="0"/>
                <w:sz w:val="24"/>
                <w:szCs w:val="24"/>
                <w:lang w:val="en-GB"/>
              </w:rPr>
              <w:t>G1A</w:t>
            </w:r>
          </w:p>
        </w:tc>
        <w:tc>
          <w:tcPr>
            <w:tcW w:w="788" w:type="dxa"/>
            <w:vAlign w:val="center"/>
          </w:tcPr>
          <w:p w14:paraId="1686D1BF">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cs="Times New Roman"/>
                <w:color w:val="000000"/>
                <w:sz w:val="24"/>
                <w:szCs w:val="24"/>
              </w:rPr>
              <w:t>0.65</w:t>
            </w:r>
          </w:p>
        </w:tc>
        <w:tc>
          <w:tcPr>
            <w:tcW w:w="1312" w:type="dxa"/>
            <w:vAlign w:val="center"/>
          </w:tcPr>
          <w:p w14:paraId="4D295105">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0.72</w:t>
            </w:r>
          </w:p>
        </w:tc>
        <w:tc>
          <w:tcPr>
            <w:tcW w:w="1512" w:type="dxa"/>
            <w:vAlign w:val="center"/>
          </w:tcPr>
          <w:p w14:paraId="45161557">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-34.735</w:t>
            </w:r>
          </w:p>
        </w:tc>
        <w:tc>
          <w:tcPr>
            <w:tcW w:w="1138" w:type="dxa"/>
          </w:tcPr>
          <w:p w14:paraId="7B3D935A">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-5848.4</w:t>
            </w:r>
            <w:r>
              <w:rPr>
                <w:rFonts w:ascii="Times New Roman" w:hAnsi="Times New Roman" w:eastAsia="等线" w:cs="Times New Roman"/>
                <w:color w:val="000000"/>
                <w:kern w:val="0"/>
                <w:sz w:val="24"/>
                <w:szCs w:val="24"/>
              </w:rPr>
              <w:t>7</w:t>
            </w:r>
          </w:p>
        </w:tc>
        <w:tc>
          <w:tcPr>
            <w:tcW w:w="1300" w:type="dxa"/>
          </w:tcPr>
          <w:p w14:paraId="044AE15B">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w:t>
            </w:r>
          </w:p>
        </w:tc>
        <w:tc>
          <w:tcPr>
            <w:tcW w:w="1134" w:type="dxa"/>
          </w:tcPr>
          <w:p w14:paraId="47B404B3">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r>
      <w:tr w14:paraId="5F4810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0A652218">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I2A</w:t>
            </w:r>
          </w:p>
        </w:tc>
        <w:tc>
          <w:tcPr>
            <w:tcW w:w="788" w:type="dxa"/>
            <w:vAlign w:val="center"/>
          </w:tcPr>
          <w:p w14:paraId="64D99D20">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0.65</w:t>
            </w:r>
          </w:p>
        </w:tc>
        <w:tc>
          <w:tcPr>
            <w:tcW w:w="1312" w:type="dxa"/>
            <w:vAlign w:val="center"/>
          </w:tcPr>
          <w:p w14:paraId="0B6DCD7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0.72</w:t>
            </w:r>
          </w:p>
        </w:tc>
        <w:tc>
          <w:tcPr>
            <w:tcW w:w="1512" w:type="dxa"/>
            <w:vAlign w:val="center"/>
          </w:tcPr>
          <w:p w14:paraId="0E70E75D">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-56.472</w:t>
            </w:r>
          </w:p>
        </w:tc>
        <w:tc>
          <w:tcPr>
            <w:tcW w:w="1138" w:type="dxa"/>
          </w:tcPr>
          <w:p w14:paraId="1C68A20B">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-5835.09</w:t>
            </w:r>
          </w:p>
        </w:tc>
        <w:tc>
          <w:tcPr>
            <w:tcW w:w="1300" w:type="dxa"/>
          </w:tcPr>
          <w:p w14:paraId="751D4FDE">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9</w:t>
            </w:r>
          </w:p>
        </w:tc>
        <w:tc>
          <w:tcPr>
            <w:tcW w:w="1134" w:type="dxa"/>
          </w:tcPr>
          <w:p w14:paraId="008DE99E">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r>
      <w:tr w14:paraId="5D19C5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6AAE61AE">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V3A</w:t>
            </w:r>
          </w:p>
        </w:tc>
        <w:tc>
          <w:tcPr>
            <w:tcW w:w="788" w:type="dxa"/>
            <w:vAlign w:val="center"/>
          </w:tcPr>
          <w:p w14:paraId="3EE651B0">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0.66</w:t>
            </w:r>
          </w:p>
        </w:tc>
        <w:tc>
          <w:tcPr>
            <w:tcW w:w="1312" w:type="dxa"/>
            <w:vAlign w:val="center"/>
          </w:tcPr>
          <w:p w14:paraId="24D8A1FC">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0.72</w:t>
            </w:r>
          </w:p>
        </w:tc>
        <w:tc>
          <w:tcPr>
            <w:tcW w:w="1512" w:type="dxa"/>
            <w:vAlign w:val="center"/>
          </w:tcPr>
          <w:p w14:paraId="25CAFA3E">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-48.364</w:t>
            </w:r>
          </w:p>
        </w:tc>
        <w:tc>
          <w:tcPr>
            <w:tcW w:w="1138" w:type="dxa"/>
          </w:tcPr>
          <w:p w14:paraId="76EEF11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-5829.9</w:t>
            </w:r>
            <w:r>
              <w:rPr>
                <w:rFonts w:ascii="Times New Roman" w:hAnsi="Times New Roman" w:eastAsia="等线" w:cs="Times New Roman"/>
                <w:color w:val="000000"/>
                <w:kern w:val="0"/>
                <w:sz w:val="24"/>
                <w:szCs w:val="24"/>
              </w:rPr>
              <w:t>3</w:t>
            </w:r>
          </w:p>
        </w:tc>
        <w:tc>
          <w:tcPr>
            <w:tcW w:w="1300" w:type="dxa"/>
          </w:tcPr>
          <w:p w14:paraId="47A4E882">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8</w:t>
            </w:r>
          </w:p>
        </w:tc>
        <w:tc>
          <w:tcPr>
            <w:tcW w:w="1134" w:type="dxa"/>
          </w:tcPr>
          <w:p w14:paraId="1C78B08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r>
      <w:tr w14:paraId="72FBC9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40AFF7CB">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L4A</w:t>
            </w:r>
          </w:p>
        </w:tc>
        <w:tc>
          <w:tcPr>
            <w:tcW w:w="788" w:type="dxa"/>
            <w:vAlign w:val="center"/>
          </w:tcPr>
          <w:p w14:paraId="39C209A7">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0.65</w:t>
            </w:r>
          </w:p>
        </w:tc>
        <w:tc>
          <w:tcPr>
            <w:tcW w:w="1312" w:type="dxa"/>
            <w:vAlign w:val="center"/>
          </w:tcPr>
          <w:p w14:paraId="63F91C84">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0.71</w:t>
            </w:r>
          </w:p>
        </w:tc>
        <w:tc>
          <w:tcPr>
            <w:tcW w:w="1512" w:type="dxa"/>
            <w:vAlign w:val="center"/>
          </w:tcPr>
          <w:p w14:paraId="66C7CD6A">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-30.964</w:t>
            </w:r>
          </w:p>
        </w:tc>
        <w:tc>
          <w:tcPr>
            <w:tcW w:w="1138" w:type="dxa"/>
          </w:tcPr>
          <w:p w14:paraId="1A205711">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-5738.5</w:t>
            </w:r>
            <w:r>
              <w:rPr>
                <w:rFonts w:ascii="Times New Roman" w:hAnsi="Times New Roman" w:eastAsia="等线" w:cs="Times New Roman"/>
                <w:color w:val="000000"/>
                <w:kern w:val="0"/>
                <w:sz w:val="24"/>
                <w:szCs w:val="24"/>
              </w:rPr>
              <w:t>4</w:t>
            </w:r>
          </w:p>
        </w:tc>
        <w:tc>
          <w:tcPr>
            <w:tcW w:w="1300" w:type="dxa"/>
          </w:tcPr>
          <w:p w14:paraId="65B8EECE">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8</w:t>
            </w:r>
          </w:p>
        </w:tc>
        <w:tc>
          <w:tcPr>
            <w:tcW w:w="1134" w:type="dxa"/>
          </w:tcPr>
          <w:p w14:paraId="02AE478E">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4</w:t>
            </w:r>
          </w:p>
        </w:tc>
      </w:tr>
      <w:tr w14:paraId="0C0074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40713F69">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V5A</w:t>
            </w:r>
          </w:p>
        </w:tc>
        <w:tc>
          <w:tcPr>
            <w:tcW w:w="788" w:type="dxa"/>
            <w:vAlign w:val="center"/>
          </w:tcPr>
          <w:p w14:paraId="539A674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0.67</w:t>
            </w:r>
          </w:p>
        </w:tc>
        <w:tc>
          <w:tcPr>
            <w:tcW w:w="1312" w:type="dxa"/>
            <w:vAlign w:val="center"/>
          </w:tcPr>
          <w:p w14:paraId="6579CBB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0.73</w:t>
            </w:r>
          </w:p>
        </w:tc>
        <w:tc>
          <w:tcPr>
            <w:tcW w:w="1512" w:type="dxa"/>
            <w:vAlign w:val="center"/>
          </w:tcPr>
          <w:p w14:paraId="0C89F88A">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-34.516</w:t>
            </w:r>
          </w:p>
        </w:tc>
        <w:tc>
          <w:tcPr>
            <w:tcW w:w="1138" w:type="dxa"/>
          </w:tcPr>
          <w:p w14:paraId="241088AC">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-5834.6</w:t>
            </w:r>
            <w:r>
              <w:rPr>
                <w:rFonts w:ascii="Times New Roman" w:hAnsi="Times New Roman" w:eastAsia="等线" w:cs="Times New Roman"/>
                <w:color w:val="000000"/>
                <w:kern w:val="0"/>
                <w:sz w:val="24"/>
                <w:szCs w:val="24"/>
              </w:rPr>
              <w:t>1</w:t>
            </w:r>
          </w:p>
        </w:tc>
        <w:tc>
          <w:tcPr>
            <w:tcW w:w="1300" w:type="dxa"/>
          </w:tcPr>
          <w:p w14:paraId="2957ED5A">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5</w:t>
            </w:r>
          </w:p>
        </w:tc>
        <w:tc>
          <w:tcPr>
            <w:tcW w:w="1134" w:type="dxa"/>
          </w:tcPr>
          <w:p w14:paraId="2D395862">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r>
      <w:tr w14:paraId="14FA02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087E743B">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P6A</w:t>
            </w:r>
          </w:p>
        </w:tc>
        <w:tc>
          <w:tcPr>
            <w:tcW w:w="788" w:type="dxa"/>
            <w:vAlign w:val="center"/>
          </w:tcPr>
          <w:p w14:paraId="763DA29E">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0.66</w:t>
            </w:r>
          </w:p>
        </w:tc>
        <w:tc>
          <w:tcPr>
            <w:tcW w:w="1312" w:type="dxa"/>
            <w:vAlign w:val="center"/>
          </w:tcPr>
          <w:p w14:paraId="35948787">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0.72</w:t>
            </w:r>
          </w:p>
        </w:tc>
        <w:tc>
          <w:tcPr>
            <w:tcW w:w="1512" w:type="dxa"/>
            <w:vAlign w:val="center"/>
          </w:tcPr>
          <w:p w14:paraId="1E2010E6">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-26.509</w:t>
            </w:r>
          </w:p>
        </w:tc>
        <w:tc>
          <w:tcPr>
            <w:tcW w:w="1138" w:type="dxa"/>
          </w:tcPr>
          <w:p w14:paraId="4F350CA3">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-5796.4</w:t>
            </w:r>
            <w:r>
              <w:rPr>
                <w:rFonts w:ascii="Times New Roman" w:hAnsi="Times New Roman" w:eastAsia="等线" w:cs="Times New Roman"/>
                <w:color w:val="000000"/>
                <w:kern w:val="0"/>
                <w:sz w:val="24"/>
                <w:szCs w:val="24"/>
              </w:rPr>
              <w:t>9</w:t>
            </w:r>
          </w:p>
        </w:tc>
        <w:tc>
          <w:tcPr>
            <w:tcW w:w="1300" w:type="dxa"/>
          </w:tcPr>
          <w:p w14:paraId="4132B530">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w:t>
            </w:r>
          </w:p>
        </w:tc>
        <w:tc>
          <w:tcPr>
            <w:tcW w:w="1134" w:type="dxa"/>
          </w:tcPr>
          <w:p w14:paraId="515DC276">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2</w:t>
            </w:r>
          </w:p>
        </w:tc>
      </w:tr>
      <w:tr w14:paraId="0C08991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563B2BF1">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T7A</w:t>
            </w:r>
          </w:p>
        </w:tc>
        <w:tc>
          <w:tcPr>
            <w:tcW w:w="788" w:type="dxa"/>
            <w:vAlign w:val="center"/>
          </w:tcPr>
          <w:p w14:paraId="3711A66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0.65</w:t>
            </w:r>
          </w:p>
        </w:tc>
        <w:tc>
          <w:tcPr>
            <w:tcW w:w="1312" w:type="dxa"/>
            <w:vAlign w:val="center"/>
          </w:tcPr>
          <w:p w14:paraId="3B2A7053">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0.71</w:t>
            </w:r>
          </w:p>
        </w:tc>
        <w:tc>
          <w:tcPr>
            <w:tcW w:w="1512" w:type="dxa"/>
            <w:vAlign w:val="center"/>
          </w:tcPr>
          <w:p w14:paraId="6623F9FD">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-50.362</w:t>
            </w:r>
          </w:p>
        </w:tc>
        <w:tc>
          <w:tcPr>
            <w:tcW w:w="1138" w:type="dxa"/>
          </w:tcPr>
          <w:p w14:paraId="0D3A56F3">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-5831.6</w:t>
            </w:r>
            <w:r>
              <w:rPr>
                <w:rFonts w:ascii="Times New Roman" w:hAnsi="Times New Roman" w:eastAsia="等线" w:cs="Times New Roman"/>
                <w:color w:val="000000"/>
                <w:kern w:val="0"/>
                <w:sz w:val="24"/>
                <w:szCs w:val="24"/>
              </w:rPr>
              <w:t>6</w:t>
            </w:r>
          </w:p>
        </w:tc>
        <w:tc>
          <w:tcPr>
            <w:tcW w:w="1300" w:type="dxa"/>
          </w:tcPr>
          <w:p w14:paraId="12265B4E">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7</w:t>
            </w:r>
          </w:p>
        </w:tc>
        <w:tc>
          <w:tcPr>
            <w:tcW w:w="1134" w:type="dxa"/>
          </w:tcPr>
          <w:p w14:paraId="64898D8F">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r>
      <w:tr w14:paraId="7C4C06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40E4ED27">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S8A</w:t>
            </w:r>
          </w:p>
        </w:tc>
        <w:tc>
          <w:tcPr>
            <w:tcW w:w="788" w:type="dxa"/>
            <w:vAlign w:val="center"/>
          </w:tcPr>
          <w:p w14:paraId="296AD20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0.65</w:t>
            </w:r>
          </w:p>
        </w:tc>
        <w:tc>
          <w:tcPr>
            <w:tcW w:w="1312" w:type="dxa"/>
            <w:vAlign w:val="center"/>
          </w:tcPr>
          <w:p w14:paraId="0209113F">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0.71</w:t>
            </w:r>
          </w:p>
        </w:tc>
        <w:tc>
          <w:tcPr>
            <w:tcW w:w="1512" w:type="dxa"/>
            <w:vAlign w:val="center"/>
          </w:tcPr>
          <w:p w14:paraId="30E74D2B">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-34.665</w:t>
            </w:r>
          </w:p>
        </w:tc>
        <w:tc>
          <w:tcPr>
            <w:tcW w:w="1138" w:type="dxa"/>
          </w:tcPr>
          <w:p w14:paraId="348835B4">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-5808.56</w:t>
            </w:r>
          </w:p>
        </w:tc>
        <w:tc>
          <w:tcPr>
            <w:tcW w:w="1300" w:type="dxa"/>
          </w:tcPr>
          <w:p w14:paraId="68810504">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7</w:t>
            </w:r>
          </w:p>
        </w:tc>
        <w:tc>
          <w:tcPr>
            <w:tcW w:w="1134" w:type="dxa"/>
          </w:tcPr>
          <w:p w14:paraId="38AA675C">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r>
      <w:tr w14:paraId="552DC3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0B9E1F98">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L9A</w:t>
            </w:r>
          </w:p>
        </w:tc>
        <w:tc>
          <w:tcPr>
            <w:tcW w:w="788" w:type="dxa"/>
            <w:vAlign w:val="center"/>
          </w:tcPr>
          <w:p w14:paraId="4C2EC809">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0.63</w:t>
            </w:r>
          </w:p>
        </w:tc>
        <w:tc>
          <w:tcPr>
            <w:tcW w:w="1312" w:type="dxa"/>
            <w:vAlign w:val="center"/>
          </w:tcPr>
          <w:p w14:paraId="39BCD57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0.70</w:t>
            </w:r>
          </w:p>
        </w:tc>
        <w:tc>
          <w:tcPr>
            <w:tcW w:w="1512" w:type="dxa"/>
            <w:vAlign w:val="center"/>
          </w:tcPr>
          <w:p w14:paraId="1C56FC8C">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-37.681</w:t>
            </w:r>
          </w:p>
        </w:tc>
        <w:tc>
          <w:tcPr>
            <w:tcW w:w="1138" w:type="dxa"/>
          </w:tcPr>
          <w:p w14:paraId="50233C0F">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-5784.78</w:t>
            </w:r>
          </w:p>
        </w:tc>
        <w:tc>
          <w:tcPr>
            <w:tcW w:w="1300" w:type="dxa"/>
          </w:tcPr>
          <w:p w14:paraId="72C3E3F0">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6</w:t>
            </w:r>
          </w:p>
        </w:tc>
        <w:tc>
          <w:tcPr>
            <w:tcW w:w="1134" w:type="dxa"/>
          </w:tcPr>
          <w:p w14:paraId="600C5BE2">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r>
      <w:tr w14:paraId="068505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57C2E265">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V10A</w:t>
            </w:r>
          </w:p>
        </w:tc>
        <w:tc>
          <w:tcPr>
            <w:tcW w:w="788" w:type="dxa"/>
            <w:vAlign w:val="center"/>
          </w:tcPr>
          <w:p w14:paraId="6A742178">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0.64</w:t>
            </w:r>
          </w:p>
        </w:tc>
        <w:tc>
          <w:tcPr>
            <w:tcW w:w="1312" w:type="dxa"/>
            <w:vAlign w:val="center"/>
          </w:tcPr>
          <w:p w14:paraId="0434DE33">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0.70</w:t>
            </w:r>
          </w:p>
        </w:tc>
        <w:tc>
          <w:tcPr>
            <w:tcW w:w="1512" w:type="dxa"/>
            <w:vAlign w:val="center"/>
          </w:tcPr>
          <w:p w14:paraId="7B3D09B0">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-39.201</w:t>
            </w:r>
          </w:p>
        </w:tc>
        <w:tc>
          <w:tcPr>
            <w:tcW w:w="1138" w:type="dxa"/>
          </w:tcPr>
          <w:p w14:paraId="6FA9A9DC">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-5791.29</w:t>
            </w:r>
          </w:p>
        </w:tc>
        <w:tc>
          <w:tcPr>
            <w:tcW w:w="1300" w:type="dxa"/>
          </w:tcPr>
          <w:p w14:paraId="5AE63FC0">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8</w:t>
            </w:r>
          </w:p>
        </w:tc>
        <w:tc>
          <w:tcPr>
            <w:tcW w:w="1134" w:type="dxa"/>
          </w:tcPr>
          <w:p w14:paraId="4E289911">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r>
      <w:tr w14:paraId="17C05F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3839A7A2">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S11A</w:t>
            </w:r>
          </w:p>
        </w:tc>
        <w:tc>
          <w:tcPr>
            <w:tcW w:w="788" w:type="dxa"/>
            <w:vAlign w:val="center"/>
          </w:tcPr>
          <w:p w14:paraId="16E0BD62">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0.67</w:t>
            </w:r>
          </w:p>
        </w:tc>
        <w:tc>
          <w:tcPr>
            <w:tcW w:w="1312" w:type="dxa"/>
            <w:vAlign w:val="center"/>
          </w:tcPr>
          <w:p w14:paraId="46CE0FAC">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0.73</w:t>
            </w:r>
          </w:p>
        </w:tc>
        <w:tc>
          <w:tcPr>
            <w:tcW w:w="1512" w:type="dxa"/>
            <w:vAlign w:val="center"/>
          </w:tcPr>
          <w:p w14:paraId="6A3C26BA">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-41.415</w:t>
            </w:r>
          </w:p>
        </w:tc>
        <w:tc>
          <w:tcPr>
            <w:tcW w:w="1138" w:type="dxa"/>
          </w:tcPr>
          <w:p w14:paraId="20A6A755">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-5808.80</w:t>
            </w:r>
          </w:p>
        </w:tc>
        <w:tc>
          <w:tcPr>
            <w:tcW w:w="1300" w:type="dxa"/>
          </w:tcPr>
          <w:p w14:paraId="346E21B9">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5</w:t>
            </w:r>
          </w:p>
        </w:tc>
        <w:tc>
          <w:tcPr>
            <w:tcW w:w="1134" w:type="dxa"/>
          </w:tcPr>
          <w:p w14:paraId="001098BE">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0</w:t>
            </w:r>
          </w:p>
        </w:tc>
      </w:tr>
      <w:tr w14:paraId="3CB5A9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08" w:type="dxa"/>
          </w:tcPr>
          <w:p w14:paraId="4A0A7D9D">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lang w:val="en-GB"/>
              </w:rPr>
              <w:t>G12A</w:t>
            </w:r>
          </w:p>
        </w:tc>
        <w:tc>
          <w:tcPr>
            <w:tcW w:w="788" w:type="dxa"/>
            <w:vAlign w:val="center"/>
          </w:tcPr>
          <w:p w14:paraId="0F81D104">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0.68</w:t>
            </w:r>
          </w:p>
        </w:tc>
        <w:tc>
          <w:tcPr>
            <w:tcW w:w="1312" w:type="dxa"/>
            <w:vAlign w:val="center"/>
          </w:tcPr>
          <w:p w14:paraId="023C33B7">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cs="Times New Roman"/>
                <w:color w:val="000000"/>
                <w:sz w:val="24"/>
                <w:szCs w:val="24"/>
              </w:rPr>
              <w:t>0.74</w:t>
            </w:r>
          </w:p>
        </w:tc>
        <w:tc>
          <w:tcPr>
            <w:tcW w:w="1512" w:type="dxa"/>
          </w:tcPr>
          <w:p w14:paraId="5A989BDE">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-48.277</w:t>
            </w:r>
          </w:p>
        </w:tc>
        <w:tc>
          <w:tcPr>
            <w:tcW w:w="1138" w:type="dxa"/>
          </w:tcPr>
          <w:p w14:paraId="2BA069D2">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lang w:val="en-GB"/>
              </w:rPr>
              <w:t>-5810.56</w:t>
            </w:r>
          </w:p>
        </w:tc>
        <w:tc>
          <w:tcPr>
            <w:tcW w:w="1300" w:type="dxa"/>
          </w:tcPr>
          <w:p w14:paraId="4408636C">
            <w:pPr>
              <w:widowControl/>
              <w:adjustRightInd w:val="0"/>
              <w:snapToGrid w:val="0"/>
              <w:contextualSpacing/>
              <w:jc w:val="center"/>
              <w:rPr>
                <w:rFonts w:ascii="Times New Roman" w:hAnsi="Times New Roman" w:eastAsia="等线" w:cs="Times New Roman"/>
                <w:color w:val="000000"/>
                <w:kern w:val="0"/>
                <w:sz w:val="24"/>
                <w:szCs w:val="24"/>
                <w:lang w:val="en-GB"/>
              </w:rPr>
            </w:pPr>
            <w:r>
              <w:rPr>
                <w:rFonts w:ascii="Times New Roman" w:hAnsi="Times New Roman" w:eastAsia="等线" w:cs="Times New Roman"/>
                <w:color w:val="000000"/>
                <w:kern w:val="0"/>
                <w:sz w:val="24"/>
                <w:szCs w:val="24"/>
              </w:rPr>
              <w:t>9</w:t>
            </w:r>
          </w:p>
        </w:tc>
        <w:tc>
          <w:tcPr>
            <w:tcW w:w="1134" w:type="dxa"/>
          </w:tcPr>
          <w:p w14:paraId="10DB00AD">
            <w:pPr>
              <w:widowControl/>
              <w:adjustRightInd w:val="0"/>
              <w:snapToGrid w:val="0"/>
              <w:contextualSpacing/>
              <w:jc w:val="center"/>
              <w:rPr>
                <w:rFonts w:ascii="Times New Roman" w:hAnsi="Times New Roman" w:eastAsia="等线" w:cs="Times New Roman"/>
                <w:color w:val="000000"/>
                <w:kern w:val="0"/>
                <w:sz w:val="24"/>
                <w:szCs w:val="24"/>
              </w:rPr>
            </w:pPr>
            <w:r>
              <w:rPr>
                <w:rFonts w:ascii="Times New Roman" w:hAnsi="Times New Roman" w:eastAsia="等线" w:cs="Times New Roman"/>
                <w:color w:val="000000"/>
                <w:kern w:val="0"/>
                <w:sz w:val="24"/>
                <w:szCs w:val="24"/>
              </w:rPr>
              <w:t>1</w:t>
            </w:r>
          </w:p>
        </w:tc>
      </w:tr>
    </w:tbl>
    <w:p w14:paraId="2035F1EB">
      <w:pPr>
        <w:adjustRightInd w:val="0"/>
        <w:snapToGrid w:val="0"/>
        <w:spacing w:after="78" w:afterLines="25"/>
        <w:contextualSpacing/>
        <w:jc w:val="left"/>
        <w:outlineLvl w:val="1"/>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508E9598">
      <w:pPr>
        <w:adjustRightInd w:val="0"/>
        <w:snapToGrid w:val="0"/>
        <w:spacing w:after="78" w:afterLines="25" w:line="360" w:lineRule="auto"/>
        <w:contextualSpacing/>
        <w:jc w:val="left"/>
        <w:outlineLvl w:val="1"/>
        <w:rPr>
          <w:rFonts w:ascii="Times New Roman" w:hAnsi="Times New Roman" w:cs="Times New Roman"/>
          <w:sz w:val="24"/>
        </w:rPr>
      </w:pPr>
      <w:r>
        <w:rPr>
          <w:rFonts w:hint="eastAsia" w:ascii="Times New Roman" w:hAnsi="Times New Roman" w:cs="Times New Roman"/>
          <w:b/>
          <w:bCs/>
          <w:color w:val="000000" w:themeColor="text1"/>
          <w:sz w:val="24"/>
          <w14:textFill>
            <w14:solidFill>
              <w14:schemeClr w14:val="tx1"/>
            </w14:solidFill>
          </w14:textFill>
        </w:rPr>
        <w:t>Supplementary Table 9∣</w:t>
      </w:r>
      <w:r>
        <w:rPr>
          <w:rFonts w:ascii="Times New Roman" w:hAnsi="Times New Roman" w:cs="Times New Roman"/>
          <w:b/>
          <w:bCs/>
          <w:sz w:val="24"/>
        </w:rPr>
        <w:t>Physiological and biochemical parameters change after the intervention in different groups.</w:t>
      </w:r>
    </w:p>
    <w:tbl>
      <w:tblPr>
        <w:tblStyle w:val="9"/>
        <w:tblW w:w="5129" w:type="pct"/>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11"/>
        <w:gridCol w:w="2162"/>
        <w:gridCol w:w="2303"/>
        <w:gridCol w:w="2303"/>
        <w:gridCol w:w="2303"/>
        <w:gridCol w:w="2158"/>
      </w:tblGrid>
      <w:tr w14:paraId="04B773E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1138" w:type="pct"/>
            <w:tcBorders>
              <w:top w:val="single" w:color="000000" w:sz="8" w:space="0"/>
              <w:left w:val="nil"/>
              <w:bottom w:val="single" w:color="000000" w:sz="8" w:space="0"/>
              <w:right w:val="nil"/>
            </w:tcBorders>
          </w:tcPr>
          <w:p w14:paraId="090DBE2A">
            <w:pPr>
              <w:widowControl/>
              <w:adjustRightInd w:val="0"/>
              <w:snapToGrid w:val="0"/>
              <w:contextualSpacing/>
              <w:rPr>
                <w:rFonts w:ascii="Times New Roman" w:hAnsi="Times New Roman" w:cs="Times New Roman"/>
                <w:b/>
                <w:color w:val="000000"/>
                <w:kern w:val="0"/>
                <w:sz w:val="24"/>
              </w:rPr>
            </w:pPr>
          </w:p>
        </w:tc>
        <w:tc>
          <w:tcPr>
            <w:tcW w:w="743" w:type="pct"/>
            <w:tcBorders>
              <w:top w:val="single" w:color="000000" w:sz="8" w:space="0"/>
              <w:left w:val="nil"/>
              <w:bottom w:val="single" w:color="000000" w:sz="8" w:space="0"/>
              <w:right w:val="nil"/>
            </w:tcBorders>
          </w:tcPr>
          <w:p w14:paraId="6F4511D8">
            <w:pPr>
              <w:widowControl/>
              <w:adjustRightInd w:val="0"/>
              <w:snapToGrid w:val="0"/>
              <w:contextualSpacing/>
              <w:rPr>
                <w:rFonts w:ascii="Times New Roman" w:hAnsi="Times New Roman" w:cs="Times New Roman"/>
                <w:b/>
                <w:color w:val="000000"/>
                <w:kern w:val="0"/>
                <w:sz w:val="24"/>
              </w:rPr>
            </w:pPr>
            <w:r>
              <w:rPr>
                <w:rFonts w:ascii="Times New Roman" w:hAnsi="Times New Roman" w:cs="Times New Roman"/>
                <w:b/>
                <w:color w:val="000000"/>
                <w:kern w:val="0"/>
                <w:sz w:val="24"/>
              </w:rPr>
              <w:t>NCD</w:t>
            </w:r>
          </w:p>
        </w:tc>
        <w:tc>
          <w:tcPr>
            <w:tcW w:w="792" w:type="pct"/>
            <w:tcBorders>
              <w:top w:val="single" w:color="000000" w:sz="8" w:space="0"/>
              <w:left w:val="nil"/>
              <w:bottom w:val="single" w:color="000000" w:sz="8" w:space="0"/>
              <w:right w:val="nil"/>
            </w:tcBorders>
          </w:tcPr>
          <w:p w14:paraId="47CA7B56">
            <w:pPr>
              <w:widowControl/>
              <w:adjustRightInd w:val="0"/>
              <w:snapToGrid w:val="0"/>
              <w:contextualSpacing/>
              <w:rPr>
                <w:rFonts w:ascii="Times New Roman" w:hAnsi="Times New Roman" w:cs="Times New Roman"/>
                <w:b/>
                <w:color w:val="000000"/>
                <w:kern w:val="0"/>
                <w:sz w:val="24"/>
              </w:rPr>
            </w:pPr>
            <w:r>
              <w:rPr>
                <w:rFonts w:ascii="Times New Roman" w:hAnsi="Times New Roman" w:cs="Times New Roman"/>
                <w:b/>
                <w:color w:val="000000"/>
                <w:kern w:val="0"/>
                <w:sz w:val="24"/>
              </w:rPr>
              <w:t>HFD</w:t>
            </w:r>
          </w:p>
        </w:tc>
        <w:tc>
          <w:tcPr>
            <w:tcW w:w="792" w:type="pct"/>
            <w:tcBorders>
              <w:top w:val="single" w:color="000000" w:sz="8" w:space="0"/>
              <w:left w:val="nil"/>
              <w:bottom w:val="single" w:color="000000" w:sz="8" w:space="0"/>
              <w:right w:val="nil"/>
            </w:tcBorders>
          </w:tcPr>
          <w:p w14:paraId="3DEA736D">
            <w:pPr>
              <w:widowControl/>
              <w:adjustRightInd w:val="0"/>
              <w:snapToGrid w:val="0"/>
              <w:contextualSpacing/>
              <w:rPr>
                <w:rFonts w:ascii="Times New Roman" w:hAnsi="Times New Roman" w:cs="Times New Roman"/>
                <w:b/>
                <w:color w:val="000000"/>
                <w:kern w:val="0"/>
                <w:sz w:val="24"/>
              </w:rPr>
            </w:pPr>
            <w:r>
              <w:rPr>
                <w:rFonts w:ascii="Times New Roman" w:hAnsi="Times New Roman" w:cs="Times New Roman"/>
                <w:b/>
                <w:color w:val="000000"/>
                <w:kern w:val="0"/>
                <w:sz w:val="24"/>
              </w:rPr>
              <w:t>HFD+LG</w:t>
            </w:r>
          </w:p>
        </w:tc>
        <w:tc>
          <w:tcPr>
            <w:tcW w:w="792" w:type="pct"/>
            <w:tcBorders>
              <w:top w:val="single" w:color="000000" w:sz="8" w:space="0"/>
              <w:left w:val="nil"/>
              <w:bottom w:val="single" w:color="000000" w:sz="8" w:space="0"/>
              <w:right w:val="nil"/>
            </w:tcBorders>
          </w:tcPr>
          <w:p w14:paraId="665AE6A0">
            <w:pPr>
              <w:widowControl/>
              <w:adjustRightInd w:val="0"/>
              <w:snapToGrid w:val="0"/>
              <w:contextualSpacing/>
              <w:rPr>
                <w:rFonts w:ascii="Times New Roman" w:hAnsi="Times New Roman" w:cs="Times New Roman"/>
                <w:b/>
                <w:color w:val="000000"/>
                <w:kern w:val="0"/>
                <w:sz w:val="24"/>
              </w:rPr>
            </w:pPr>
            <w:r>
              <w:rPr>
                <w:rFonts w:ascii="Times New Roman" w:hAnsi="Times New Roman" w:cs="Times New Roman"/>
                <w:b/>
                <w:color w:val="000000"/>
                <w:kern w:val="0"/>
                <w:sz w:val="24"/>
              </w:rPr>
              <w:t>HFD+HG</w:t>
            </w:r>
          </w:p>
        </w:tc>
        <w:tc>
          <w:tcPr>
            <w:tcW w:w="742" w:type="pct"/>
            <w:tcBorders>
              <w:top w:val="single" w:color="000000" w:sz="8" w:space="0"/>
              <w:left w:val="nil"/>
              <w:bottom w:val="single" w:color="000000" w:sz="8" w:space="0"/>
              <w:right w:val="nil"/>
            </w:tcBorders>
          </w:tcPr>
          <w:p w14:paraId="484E73A6">
            <w:pPr>
              <w:widowControl/>
              <w:adjustRightInd w:val="0"/>
              <w:snapToGrid w:val="0"/>
              <w:contextualSpacing/>
              <w:rPr>
                <w:rFonts w:ascii="Times New Roman" w:hAnsi="Times New Roman" w:cs="Times New Roman"/>
                <w:b/>
                <w:color w:val="000000"/>
                <w:kern w:val="0"/>
                <w:sz w:val="24"/>
              </w:rPr>
            </w:pPr>
            <w:r>
              <w:rPr>
                <w:rFonts w:ascii="Times New Roman" w:hAnsi="Times New Roman" w:cs="Times New Roman"/>
                <w:b/>
                <w:color w:val="000000"/>
                <w:kern w:val="0"/>
                <w:sz w:val="24"/>
              </w:rPr>
              <w:t>HFD+Acar</w:t>
            </w:r>
          </w:p>
        </w:tc>
      </w:tr>
      <w:tr w14:paraId="7781A10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0CE57102">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LPS (EU mL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592D0D47">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1.47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0.16</w:t>
            </w:r>
          </w:p>
        </w:tc>
        <w:tc>
          <w:tcPr>
            <w:tcW w:w="792" w:type="pct"/>
            <w:shd w:val="clear" w:color="auto" w:fill="FFFFFF"/>
          </w:tcPr>
          <w:p w14:paraId="3063356F">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2.08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0.16</w:t>
            </w:r>
          </w:p>
        </w:tc>
        <w:tc>
          <w:tcPr>
            <w:tcW w:w="792" w:type="pct"/>
            <w:shd w:val="clear" w:color="auto" w:fill="FFFFFF"/>
          </w:tcPr>
          <w:p w14:paraId="6905B897">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1.86 ± 0.38</w:t>
            </w:r>
          </w:p>
        </w:tc>
        <w:tc>
          <w:tcPr>
            <w:tcW w:w="792" w:type="pct"/>
            <w:shd w:val="clear" w:color="auto" w:fill="FFFFFF"/>
          </w:tcPr>
          <w:p w14:paraId="1B876DD2">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1.67 ± 0.06</w:t>
            </w:r>
          </w:p>
        </w:tc>
        <w:tc>
          <w:tcPr>
            <w:tcW w:w="742" w:type="pct"/>
            <w:shd w:val="clear" w:color="auto" w:fill="FFFFFF"/>
          </w:tcPr>
          <w:p w14:paraId="358CD985">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1.58 ± 0.16</w:t>
            </w:r>
          </w:p>
        </w:tc>
      </w:tr>
      <w:tr w14:paraId="767F2BC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430C527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 xml:space="preserve">Villus </w:t>
            </w:r>
            <w:r>
              <w:rPr>
                <w:rFonts w:hint="eastAsia" w:ascii="Times New Roman" w:hAnsi="Times New Roman" w:cs="Times New Roman"/>
                <w:bCs/>
                <w:color w:val="000000"/>
                <w:kern w:val="0"/>
                <w:sz w:val="24"/>
              </w:rPr>
              <w:t>h</w:t>
            </w:r>
            <w:r>
              <w:rPr>
                <w:rFonts w:ascii="Times New Roman" w:hAnsi="Times New Roman" w:cs="Times New Roman"/>
                <w:bCs/>
                <w:color w:val="000000"/>
                <w:kern w:val="0"/>
                <w:sz w:val="24"/>
              </w:rPr>
              <w:t>eight (μm)</w:t>
            </w:r>
          </w:p>
        </w:tc>
        <w:tc>
          <w:tcPr>
            <w:tcW w:w="743" w:type="pct"/>
            <w:shd w:val="clear" w:color="auto" w:fill="FFFFFF"/>
          </w:tcPr>
          <w:p w14:paraId="4AC4FBBE">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275.53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16.18</w:t>
            </w:r>
          </w:p>
        </w:tc>
        <w:tc>
          <w:tcPr>
            <w:tcW w:w="792" w:type="pct"/>
            <w:shd w:val="clear" w:color="auto" w:fill="FFFFFF"/>
          </w:tcPr>
          <w:p w14:paraId="01FA97AC">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158.32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38.64</w:t>
            </w:r>
          </w:p>
        </w:tc>
        <w:tc>
          <w:tcPr>
            <w:tcW w:w="792" w:type="pct"/>
            <w:shd w:val="clear" w:color="auto" w:fill="FFFFFF"/>
          </w:tcPr>
          <w:p w14:paraId="0599475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168.40 ± 28.03</w:t>
            </w:r>
          </w:p>
        </w:tc>
        <w:tc>
          <w:tcPr>
            <w:tcW w:w="792" w:type="pct"/>
            <w:shd w:val="clear" w:color="auto" w:fill="FFFFFF"/>
          </w:tcPr>
          <w:p w14:paraId="64520A9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245.68 ± 16.05</w:t>
            </w:r>
          </w:p>
        </w:tc>
        <w:tc>
          <w:tcPr>
            <w:tcW w:w="742" w:type="pct"/>
            <w:shd w:val="clear" w:color="auto" w:fill="FFFFFF"/>
          </w:tcPr>
          <w:p w14:paraId="3A6CAEE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212.15 ± 28.78</w:t>
            </w:r>
          </w:p>
        </w:tc>
      </w:tr>
      <w:tr w14:paraId="49F174F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1138" w:type="pct"/>
            <w:shd w:val="clear" w:color="auto" w:fill="FFFFFF"/>
          </w:tcPr>
          <w:p w14:paraId="07BFA3A0">
            <w:pPr>
              <w:widowControl/>
              <w:adjustRightInd w:val="0"/>
              <w:snapToGrid w:val="0"/>
              <w:contextualSpacing/>
              <w:rPr>
                <w:rFonts w:ascii="Times New Roman" w:hAnsi="Times New Roman" w:cs="Times New Roman"/>
                <w:b/>
                <w:color w:val="000000"/>
                <w:kern w:val="0"/>
                <w:sz w:val="24"/>
              </w:rPr>
            </w:pPr>
            <w:r>
              <w:rPr>
                <w:rFonts w:ascii="Times New Roman" w:hAnsi="Times New Roman" w:cs="Times New Roman"/>
                <w:bCs/>
                <w:color w:val="000000"/>
                <w:kern w:val="0"/>
                <w:sz w:val="24"/>
              </w:rPr>
              <w:t xml:space="preserve">Intestinal </w:t>
            </w:r>
            <w:r>
              <w:rPr>
                <w:rFonts w:hint="eastAsia" w:ascii="Times New Roman" w:hAnsi="Times New Roman" w:cs="Times New Roman"/>
                <w:bCs/>
                <w:color w:val="000000"/>
                <w:kern w:val="0"/>
                <w:sz w:val="24"/>
              </w:rPr>
              <w:t>w</w:t>
            </w:r>
            <w:r>
              <w:rPr>
                <w:rFonts w:ascii="Times New Roman" w:hAnsi="Times New Roman" w:cs="Times New Roman"/>
                <w:bCs/>
                <w:color w:val="000000"/>
                <w:kern w:val="0"/>
                <w:sz w:val="24"/>
              </w:rPr>
              <w:t xml:space="preserve">all </w:t>
            </w:r>
            <w:r>
              <w:rPr>
                <w:rFonts w:hint="eastAsia" w:ascii="Times New Roman" w:hAnsi="Times New Roman" w:cs="Times New Roman"/>
                <w:bCs/>
                <w:color w:val="000000"/>
                <w:kern w:val="0"/>
                <w:sz w:val="24"/>
              </w:rPr>
              <w:t>t</w:t>
            </w:r>
            <w:r>
              <w:rPr>
                <w:rFonts w:ascii="Times New Roman" w:hAnsi="Times New Roman" w:cs="Times New Roman"/>
                <w:bCs/>
                <w:color w:val="000000"/>
                <w:kern w:val="0"/>
                <w:sz w:val="24"/>
              </w:rPr>
              <w:t>hickness (μm)</w:t>
            </w:r>
          </w:p>
        </w:tc>
        <w:tc>
          <w:tcPr>
            <w:tcW w:w="743" w:type="pct"/>
            <w:shd w:val="clear" w:color="auto" w:fill="FFFFFF"/>
          </w:tcPr>
          <w:p w14:paraId="5DF4F04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81.07 ± 9.27</w:t>
            </w:r>
          </w:p>
        </w:tc>
        <w:tc>
          <w:tcPr>
            <w:tcW w:w="792" w:type="pct"/>
            <w:shd w:val="clear" w:color="auto" w:fill="FFFFFF"/>
          </w:tcPr>
          <w:p w14:paraId="18B32572">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35.35 ± 6.00</w:t>
            </w:r>
          </w:p>
        </w:tc>
        <w:tc>
          <w:tcPr>
            <w:tcW w:w="792" w:type="pct"/>
            <w:shd w:val="clear" w:color="auto" w:fill="FFFFFF"/>
          </w:tcPr>
          <w:p w14:paraId="2BB042BC">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51.48 ± 9.05</w:t>
            </w:r>
          </w:p>
        </w:tc>
        <w:tc>
          <w:tcPr>
            <w:tcW w:w="792" w:type="pct"/>
            <w:shd w:val="clear" w:color="auto" w:fill="FFFFFF"/>
          </w:tcPr>
          <w:p w14:paraId="23FCE23E">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62.30 ± 6.93</w:t>
            </w:r>
          </w:p>
        </w:tc>
        <w:tc>
          <w:tcPr>
            <w:tcW w:w="742" w:type="pct"/>
            <w:shd w:val="clear" w:color="auto" w:fill="FFFFFF"/>
          </w:tcPr>
          <w:p w14:paraId="378023FD">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67.62 ± 7.19</w:t>
            </w:r>
          </w:p>
        </w:tc>
      </w:tr>
      <w:tr w14:paraId="7BE97C1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4F219361">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 xml:space="preserve">Goblet </w:t>
            </w:r>
            <w:r>
              <w:rPr>
                <w:rFonts w:hint="eastAsia" w:ascii="Times New Roman" w:hAnsi="Times New Roman" w:cs="Times New Roman"/>
                <w:bCs/>
                <w:color w:val="000000"/>
                <w:kern w:val="0"/>
                <w:sz w:val="24"/>
              </w:rPr>
              <w:t>c</w:t>
            </w:r>
            <w:r>
              <w:rPr>
                <w:rFonts w:ascii="Times New Roman" w:hAnsi="Times New Roman" w:cs="Times New Roman"/>
                <w:bCs/>
                <w:color w:val="000000"/>
                <w:kern w:val="0"/>
                <w:sz w:val="24"/>
              </w:rPr>
              <w:t>ells (piece)</w:t>
            </w:r>
            <w:r>
              <w:rPr>
                <w:rFonts w:ascii="Times New Roman" w:hAnsi="Times New Roman" w:cs="Times New Roman"/>
                <w:b/>
                <w:color w:val="000000"/>
                <w:kern w:val="0"/>
                <w:sz w:val="24"/>
              </w:rPr>
              <w:t xml:space="preserve"> </w:t>
            </w:r>
          </w:p>
        </w:tc>
        <w:tc>
          <w:tcPr>
            <w:tcW w:w="743" w:type="pct"/>
            <w:shd w:val="clear" w:color="auto" w:fill="FFFFFF"/>
          </w:tcPr>
          <w:p w14:paraId="561FD40B">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12.67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2.25</w:t>
            </w:r>
          </w:p>
        </w:tc>
        <w:tc>
          <w:tcPr>
            <w:tcW w:w="792" w:type="pct"/>
            <w:shd w:val="clear" w:color="auto" w:fill="FFFFFF"/>
          </w:tcPr>
          <w:p w14:paraId="1E1681B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 xml:space="preserve">5.67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1.03</w:t>
            </w:r>
          </w:p>
        </w:tc>
        <w:tc>
          <w:tcPr>
            <w:tcW w:w="792" w:type="pct"/>
            <w:shd w:val="clear" w:color="auto" w:fill="FFFFFF"/>
          </w:tcPr>
          <w:p w14:paraId="607BFE09">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9.33 ± 2.16</w:t>
            </w:r>
          </w:p>
        </w:tc>
        <w:tc>
          <w:tcPr>
            <w:tcW w:w="792" w:type="pct"/>
            <w:shd w:val="clear" w:color="auto" w:fill="FFFFFF"/>
          </w:tcPr>
          <w:p w14:paraId="0FCD78F6">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10.17 ± 1.47</w:t>
            </w:r>
          </w:p>
        </w:tc>
        <w:tc>
          <w:tcPr>
            <w:tcW w:w="742" w:type="pct"/>
            <w:shd w:val="clear" w:color="auto" w:fill="FFFFFF"/>
          </w:tcPr>
          <w:p w14:paraId="58A6391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11.50 ± 1.64</w:t>
            </w:r>
          </w:p>
        </w:tc>
      </w:tr>
      <w:tr w14:paraId="7A3CA49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4749D8BE">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FBG (mmol 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770CC3F7">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4.20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0.99</w:t>
            </w:r>
          </w:p>
        </w:tc>
        <w:tc>
          <w:tcPr>
            <w:tcW w:w="792" w:type="pct"/>
            <w:shd w:val="clear" w:color="auto" w:fill="FFFFFF"/>
          </w:tcPr>
          <w:p w14:paraId="3FC6DDDB">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8.95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2.93</w:t>
            </w:r>
          </w:p>
        </w:tc>
        <w:tc>
          <w:tcPr>
            <w:tcW w:w="792" w:type="pct"/>
            <w:shd w:val="clear" w:color="auto" w:fill="FFFFFF"/>
          </w:tcPr>
          <w:p w14:paraId="4B39EF9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5.59 ± 0.72</w:t>
            </w:r>
          </w:p>
        </w:tc>
        <w:tc>
          <w:tcPr>
            <w:tcW w:w="792" w:type="pct"/>
            <w:shd w:val="clear" w:color="auto" w:fill="FFFFFF"/>
          </w:tcPr>
          <w:p w14:paraId="08A9C702">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4.60 ± 0.90</w:t>
            </w:r>
          </w:p>
        </w:tc>
        <w:tc>
          <w:tcPr>
            <w:tcW w:w="742" w:type="pct"/>
            <w:shd w:val="clear" w:color="auto" w:fill="FFFFFF"/>
          </w:tcPr>
          <w:p w14:paraId="744445F4">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6.45 ± 1.08</w:t>
            </w:r>
          </w:p>
        </w:tc>
      </w:tr>
      <w:tr w14:paraId="431DFD9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0384085C">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FINS (mIU 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7B41657E">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3.85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3.80</w:t>
            </w:r>
          </w:p>
        </w:tc>
        <w:tc>
          <w:tcPr>
            <w:tcW w:w="792" w:type="pct"/>
            <w:shd w:val="clear" w:color="auto" w:fill="FFFFFF"/>
          </w:tcPr>
          <w:p w14:paraId="16DF9C32">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 xml:space="preserve">12.21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6.67</w:t>
            </w:r>
          </w:p>
        </w:tc>
        <w:tc>
          <w:tcPr>
            <w:tcW w:w="792" w:type="pct"/>
            <w:shd w:val="clear" w:color="auto" w:fill="FFFFFF"/>
          </w:tcPr>
          <w:p w14:paraId="1B77E2B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 xml:space="preserve">7.73 ± </w:t>
            </w:r>
            <w:r>
              <w:rPr>
                <w:rFonts w:ascii="Times New Roman" w:hAnsi="Times New Roman" w:cs="Times New Roman"/>
                <w:color w:val="000000"/>
                <w:kern w:val="0"/>
                <w:sz w:val="24"/>
              </w:rPr>
              <w:t>2.37</w:t>
            </w:r>
          </w:p>
        </w:tc>
        <w:tc>
          <w:tcPr>
            <w:tcW w:w="792" w:type="pct"/>
            <w:shd w:val="clear" w:color="auto" w:fill="FFFFFF"/>
          </w:tcPr>
          <w:p w14:paraId="6142257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 xml:space="preserve">3.60 ± </w:t>
            </w:r>
            <w:r>
              <w:rPr>
                <w:rFonts w:ascii="Times New Roman" w:hAnsi="Times New Roman" w:cs="Times New Roman"/>
                <w:color w:val="000000"/>
                <w:kern w:val="0"/>
                <w:sz w:val="24"/>
              </w:rPr>
              <w:t>2.33</w:t>
            </w:r>
          </w:p>
        </w:tc>
        <w:tc>
          <w:tcPr>
            <w:tcW w:w="742" w:type="pct"/>
            <w:shd w:val="clear" w:color="auto" w:fill="FFFFFF"/>
          </w:tcPr>
          <w:p w14:paraId="41A3C734">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 xml:space="preserve">5.48 ± </w:t>
            </w:r>
            <w:r>
              <w:rPr>
                <w:rFonts w:ascii="Times New Roman" w:hAnsi="Times New Roman" w:cs="Times New Roman"/>
                <w:color w:val="000000"/>
                <w:kern w:val="0"/>
                <w:sz w:val="24"/>
              </w:rPr>
              <w:t>2.90</w:t>
            </w:r>
          </w:p>
        </w:tc>
      </w:tr>
      <w:tr w14:paraId="3475324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709672AD">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lang w:val="pt-BR"/>
              </w:rPr>
              <w:t xml:space="preserve">HOMA-IR </w:t>
            </w:r>
            <w:r>
              <w:rPr>
                <w:rFonts w:ascii="Times New Roman" w:hAnsi="Times New Roman" w:cs="Times New Roman"/>
                <w:bCs/>
                <w:iCs/>
                <w:color w:val="000000"/>
                <w:kern w:val="0"/>
                <w:sz w:val="24"/>
                <w:lang w:val="pt-BR"/>
              </w:rPr>
              <w:t>(</w:t>
            </w:r>
            <w:r>
              <w:rPr>
                <w:rFonts w:ascii="Times New Roman" w:hAnsi="Times New Roman" w:cs="Times New Roman"/>
                <w:bCs/>
                <w:iCs/>
                <w:color w:val="000000"/>
                <w:kern w:val="0"/>
                <w:sz w:val="24"/>
              </w:rPr>
              <w:t>m</w:t>
            </w:r>
            <w:r>
              <w:rPr>
                <w:rFonts w:ascii="Times New Roman" w:hAnsi="Times New Roman" w:cs="Times New Roman"/>
                <w:bCs/>
                <w:iCs/>
                <w:color w:val="000000"/>
                <w:kern w:val="0"/>
                <w:sz w:val="24"/>
                <w:lang w:val="pt-BR"/>
              </w:rPr>
              <w:t>IU·mol L</w:t>
            </w:r>
            <w:r>
              <w:rPr>
                <w:rFonts w:ascii="Times New Roman" w:hAnsi="Times New Roman" w:cs="Times New Roman"/>
                <w:bCs/>
                <w:iCs/>
                <w:color w:val="000000"/>
                <w:kern w:val="0"/>
                <w:sz w:val="24"/>
                <w:vertAlign w:val="superscript"/>
                <w:lang w:val="pt-BR"/>
              </w:rPr>
              <w:t>-2</w:t>
            </w:r>
            <w:r>
              <w:rPr>
                <w:rFonts w:ascii="Times New Roman" w:hAnsi="Times New Roman" w:cs="Times New Roman"/>
                <w:bCs/>
                <w:iCs/>
                <w:color w:val="000000"/>
                <w:kern w:val="0"/>
                <w:sz w:val="24"/>
                <w:lang w:val="pt-BR"/>
              </w:rPr>
              <w:t>)</w:t>
            </w:r>
          </w:p>
        </w:tc>
        <w:tc>
          <w:tcPr>
            <w:tcW w:w="743" w:type="pct"/>
            <w:shd w:val="clear" w:color="auto" w:fill="FFFFFF"/>
          </w:tcPr>
          <w:p w14:paraId="56BA5B78">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color w:val="000000"/>
                <w:kern w:val="0"/>
                <w:sz w:val="24"/>
              </w:rPr>
              <w:t>0.78</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0.93</w:t>
            </w:r>
          </w:p>
        </w:tc>
        <w:tc>
          <w:tcPr>
            <w:tcW w:w="792" w:type="pct"/>
            <w:shd w:val="clear" w:color="auto" w:fill="FFFFFF"/>
          </w:tcPr>
          <w:p w14:paraId="4653F7E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4.85 ± 2.85</w:t>
            </w:r>
          </w:p>
        </w:tc>
        <w:tc>
          <w:tcPr>
            <w:tcW w:w="792" w:type="pct"/>
            <w:shd w:val="clear" w:color="auto" w:fill="FFFFFF"/>
          </w:tcPr>
          <w:p w14:paraId="1E5AA660">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1.92 ± 0.63</w:t>
            </w:r>
          </w:p>
        </w:tc>
        <w:tc>
          <w:tcPr>
            <w:tcW w:w="792" w:type="pct"/>
            <w:shd w:val="clear" w:color="auto" w:fill="FFFFFF"/>
          </w:tcPr>
          <w:p w14:paraId="16AD669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0.81 ± 0.70</w:t>
            </w:r>
          </w:p>
        </w:tc>
        <w:tc>
          <w:tcPr>
            <w:tcW w:w="742" w:type="pct"/>
            <w:shd w:val="clear" w:color="auto" w:fill="FFFFFF"/>
          </w:tcPr>
          <w:p w14:paraId="1545DE7E">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1.50 ± 0.74</w:t>
            </w:r>
          </w:p>
        </w:tc>
      </w:tr>
      <w:tr w14:paraId="057DBAE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0F15E772">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OGTT_0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 xml:space="preserve">) </w:t>
            </w:r>
          </w:p>
        </w:tc>
        <w:tc>
          <w:tcPr>
            <w:tcW w:w="743" w:type="pct"/>
            <w:shd w:val="clear" w:color="auto" w:fill="FFFFFF"/>
          </w:tcPr>
          <w:p w14:paraId="565CAF3E">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4.26 ± 0.97</w:t>
            </w:r>
          </w:p>
        </w:tc>
        <w:tc>
          <w:tcPr>
            <w:tcW w:w="792" w:type="pct"/>
            <w:shd w:val="clear" w:color="auto" w:fill="FFFFFF"/>
          </w:tcPr>
          <w:p w14:paraId="3CBBCB85">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8.10 ± 3.29</w:t>
            </w:r>
          </w:p>
        </w:tc>
        <w:tc>
          <w:tcPr>
            <w:tcW w:w="792" w:type="pct"/>
            <w:shd w:val="clear" w:color="auto" w:fill="FFFFFF"/>
          </w:tcPr>
          <w:p w14:paraId="0B7B79AC">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5.41 ± 1.16</w:t>
            </w:r>
          </w:p>
        </w:tc>
        <w:tc>
          <w:tcPr>
            <w:tcW w:w="792" w:type="pct"/>
            <w:shd w:val="clear" w:color="auto" w:fill="FFFFFF"/>
          </w:tcPr>
          <w:p w14:paraId="1AF7727C">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4.28 ± 1.20</w:t>
            </w:r>
          </w:p>
        </w:tc>
        <w:tc>
          <w:tcPr>
            <w:tcW w:w="742" w:type="pct"/>
            <w:shd w:val="clear" w:color="auto" w:fill="FFFFFF"/>
          </w:tcPr>
          <w:p w14:paraId="21EFBEF6">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6.58 ± 2.26</w:t>
            </w:r>
          </w:p>
        </w:tc>
      </w:tr>
      <w:tr w14:paraId="1B3E1D2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43774FEF">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OGTT_0.5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534269E0">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11.79 ± 1.64</w:t>
            </w:r>
          </w:p>
        </w:tc>
        <w:tc>
          <w:tcPr>
            <w:tcW w:w="792" w:type="pct"/>
            <w:shd w:val="clear" w:color="auto" w:fill="FFFFFF"/>
          </w:tcPr>
          <w:p w14:paraId="35E49F5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33.10 ± 0.40</w:t>
            </w:r>
          </w:p>
        </w:tc>
        <w:tc>
          <w:tcPr>
            <w:tcW w:w="792" w:type="pct"/>
            <w:shd w:val="clear" w:color="auto" w:fill="FFFFFF"/>
          </w:tcPr>
          <w:p w14:paraId="1EC20588">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31.39 ± 2.15</w:t>
            </w:r>
          </w:p>
        </w:tc>
        <w:tc>
          <w:tcPr>
            <w:tcW w:w="792" w:type="pct"/>
            <w:shd w:val="clear" w:color="auto" w:fill="FFFFFF"/>
          </w:tcPr>
          <w:p w14:paraId="145AF0F9">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29.88 ± 2.17</w:t>
            </w:r>
          </w:p>
        </w:tc>
        <w:tc>
          <w:tcPr>
            <w:tcW w:w="742" w:type="pct"/>
            <w:shd w:val="clear" w:color="auto" w:fill="FFFFFF"/>
          </w:tcPr>
          <w:p w14:paraId="7FDB4DA1">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30.38 ± 3.15</w:t>
            </w:r>
          </w:p>
        </w:tc>
      </w:tr>
      <w:tr w14:paraId="27CCB6F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38F0A719">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OGTT_1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03474CB1">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7.53 ± 1.43</w:t>
            </w:r>
          </w:p>
        </w:tc>
        <w:tc>
          <w:tcPr>
            <w:tcW w:w="792" w:type="pct"/>
            <w:shd w:val="clear" w:color="auto" w:fill="FFFFFF"/>
          </w:tcPr>
          <w:p w14:paraId="6155D746">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30.85 ± 2.81</w:t>
            </w:r>
          </w:p>
        </w:tc>
        <w:tc>
          <w:tcPr>
            <w:tcW w:w="792" w:type="pct"/>
            <w:shd w:val="clear" w:color="auto" w:fill="FFFFFF"/>
          </w:tcPr>
          <w:p w14:paraId="35308262">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25.54 ± 1.83</w:t>
            </w:r>
          </w:p>
        </w:tc>
        <w:tc>
          <w:tcPr>
            <w:tcW w:w="792" w:type="pct"/>
            <w:shd w:val="clear" w:color="auto" w:fill="FFFFFF"/>
          </w:tcPr>
          <w:p w14:paraId="2106ADF0">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26.41 ± 1.97</w:t>
            </w:r>
          </w:p>
        </w:tc>
        <w:tc>
          <w:tcPr>
            <w:tcW w:w="742" w:type="pct"/>
            <w:shd w:val="clear" w:color="auto" w:fill="FFFFFF"/>
          </w:tcPr>
          <w:p w14:paraId="184B9CD8">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25.51 ± 3.71</w:t>
            </w:r>
          </w:p>
        </w:tc>
      </w:tr>
      <w:tr w14:paraId="42AA7E4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73946A9C">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OGTT_1.5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1FCAE20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6.59 ± 1.03</w:t>
            </w:r>
          </w:p>
        </w:tc>
        <w:tc>
          <w:tcPr>
            <w:tcW w:w="792" w:type="pct"/>
            <w:shd w:val="clear" w:color="auto" w:fill="FFFFFF"/>
          </w:tcPr>
          <w:p w14:paraId="454EDE78">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24.78 ± 3.18</w:t>
            </w:r>
          </w:p>
        </w:tc>
        <w:tc>
          <w:tcPr>
            <w:tcW w:w="792" w:type="pct"/>
            <w:shd w:val="clear" w:color="auto" w:fill="FFFFFF"/>
          </w:tcPr>
          <w:p w14:paraId="7DB981F3">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21.38± 2.52</w:t>
            </w:r>
          </w:p>
        </w:tc>
        <w:tc>
          <w:tcPr>
            <w:tcW w:w="792" w:type="pct"/>
            <w:shd w:val="clear" w:color="auto" w:fill="FFFFFF"/>
          </w:tcPr>
          <w:p w14:paraId="50BB37B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20.50 ± 2.63</w:t>
            </w:r>
          </w:p>
        </w:tc>
        <w:tc>
          <w:tcPr>
            <w:tcW w:w="742" w:type="pct"/>
            <w:shd w:val="clear" w:color="auto" w:fill="FFFFFF"/>
          </w:tcPr>
          <w:p w14:paraId="39566697">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19.73± 4.14</w:t>
            </w:r>
          </w:p>
        </w:tc>
      </w:tr>
      <w:tr w14:paraId="0B996DB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21BB5850">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OGTT_2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2B37CBD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5.60 ± 0.67</w:t>
            </w:r>
          </w:p>
        </w:tc>
        <w:tc>
          <w:tcPr>
            <w:tcW w:w="792" w:type="pct"/>
            <w:shd w:val="clear" w:color="auto" w:fill="FFFFFF"/>
          </w:tcPr>
          <w:p w14:paraId="16936AE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21.54 ± 3.19</w:t>
            </w:r>
          </w:p>
        </w:tc>
        <w:tc>
          <w:tcPr>
            <w:tcW w:w="792" w:type="pct"/>
            <w:shd w:val="clear" w:color="auto" w:fill="FFFFFF"/>
          </w:tcPr>
          <w:p w14:paraId="307895BB">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18.86 ± 2.88</w:t>
            </w:r>
          </w:p>
        </w:tc>
        <w:tc>
          <w:tcPr>
            <w:tcW w:w="792" w:type="pct"/>
            <w:shd w:val="clear" w:color="auto" w:fill="FFFFFF"/>
          </w:tcPr>
          <w:p w14:paraId="1D14E5C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15.09 ± 1.73</w:t>
            </w:r>
          </w:p>
        </w:tc>
        <w:tc>
          <w:tcPr>
            <w:tcW w:w="742" w:type="pct"/>
            <w:shd w:val="clear" w:color="auto" w:fill="FFFFFF"/>
          </w:tcPr>
          <w:p w14:paraId="45C0AC29">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14.64 ± 3.59</w:t>
            </w:r>
          </w:p>
        </w:tc>
      </w:tr>
      <w:tr w14:paraId="1FBFBA3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18122679">
            <w:pPr>
              <w:widowControl/>
              <w:adjustRightInd w:val="0"/>
              <w:snapToGrid w:val="0"/>
              <w:contextualSpacing/>
              <w:rPr>
                <w:rFonts w:ascii="Times New Roman" w:hAnsi="Times New Roman" w:cs="Times New Roman"/>
                <w:bCs/>
                <w:color w:val="000000"/>
                <w:kern w:val="0"/>
                <w:sz w:val="24"/>
                <w:lang w:val="de-DE"/>
              </w:rPr>
            </w:pPr>
            <w:r>
              <w:rPr>
                <w:rFonts w:ascii="Times New Roman" w:hAnsi="Times New Roman" w:cs="Times New Roman"/>
                <w:bCs/>
                <w:color w:val="000000"/>
                <w:kern w:val="0"/>
                <w:sz w:val="24"/>
                <w:lang w:val="de-DE"/>
              </w:rPr>
              <w:t>OGTT_Glucose_AUC (mmol·L</w:t>
            </w:r>
            <w:r>
              <w:rPr>
                <w:rFonts w:ascii="Times New Roman" w:hAnsi="Times New Roman" w:cs="Times New Roman"/>
                <w:bCs/>
                <w:color w:val="000000"/>
                <w:kern w:val="0"/>
                <w:sz w:val="24"/>
                <w:vertAlign w:val="superscript"/>
                <w:lang w:val="de-DE"/>
              </w:rPr>
              <w:t>-1</w:t>
            </w:r>
            <w:r>
              <w:rPr>
                <w:rFonts w:ascii="Times New Roman" w:hAnsi="Times New Roman" w:cs="Times New Roman"/>
                <w:bCs/>
                <w:color w:val="000000"/>
                <w:kern w:val="0"/>
                <w:sz w:val="24"/>
                <w:lang w:val="de-DE"/>
              </w:rPr>
              <w:t xml:space="preserve"> ·min</w:t>
            </w:r>
            <w:r>
              <w:rPr>
                <w:rFonts w:ascii="Times New Roman" w:hAnsi="Times New Roman" w:cs="Times New Roman"/>
                <w:bCs/>
                <w:color w:val="000000"/>
                <w:kern w:val="0"/>
                <w:sz w:val="24"/>
                <w:vertAlign w:val="superscript"/>
                <w:lang w:val="de-DE"/>
              </w:rPr>
              <w:t>-1</w:t>
            </w:r>
            <w:r>
              <w:rPr>
                <w:rFonts w:ascii="Times New Roman" w:hAnsi="Times New Roman" w:cs="Times New Roman"/>
                <w:bCs/>
                <w:color w:val="000000"/>
                <w:kern w:val="0"/>
                <w:sz w:val="24"/>
                <w:lang w:val="de-DE"/>
              </w:rPr>
              <w:t>)</w:t>
            </w:r>
          </w:p>
        </w:tc>
        <w:tc>
          <w:tcPr>
            <w:tcW w:w="743" w:type="pct"/>
            <w:shd w:val="clear" w:color="auto" w:fill="FFFFFF"/>
          </w:tcPr>
          <w:p w14:paraId="0B5ABD83">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924.94 ± 51.38</w:t>
            </w:r>
          </w:p>
        </w:tc>
        <w:tc>
          <w:tcPr>
            <w:tcW w:w="792" w:type="pct"/>
            <w:shd w:val="clear" w:color="auto" w:fill="FFFFFF"/>
          </w:tcPr>
          <w:p w14:paraId="3324FDF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3106.31 ± 220.46</w:t>
            </w:r>
          </w:p>
        </w:tc>
        <w:tc>
          <w:tcPr>
            <w:tcW w:w="792" w:type="pct"/>
            <w:shd w:val="clear" w:color="auto" w:fill="FFFFFF"/>
          </w:tcPr>
          <w:p w14:paraId="2D30C3F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2713.13 ± 191.88</w:t>
            </w:r>
          </w:p>
        </w:tc>
        <w:tc>
          <w:tcPr>
            <w:tcW w:w="792" w:type="pct"/>
            <w:shd w:val="clear" w:color="auto" w:fill="FFFFFF"/>
          </w:tcPr>
          <w:p w14:paraId="42DB2B5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2594.06 ± 96.92</w:t>
            </w:r>
          </w:p>
        </w:tc>
        <w:tc>
          <w:tcPr>
            <w:tcW w:w="742" w:type="pct"/>
            <w:shd w:val="clear" w:color="auto" w:fill="FFFFFF"/>
          </w:tcPr>
          <w:p w14:paraId="6D1A29B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2586.56 ±330.05</w:t>
            </w:r>
          </w:p>
        </w:tc>
      </w:tr>
      <w:tr w14:paraId="59EBADC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195763FD">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ITT_0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 xml:space="preserve">) </w:t>
            </w:r>
          </w:p>
        </w:tc>
        <w:tc>
          <w:tcPr>
            <w:tcW w:w="743" w:type="pct"/>
            <w:shd w:val="clear" w:color="auto" w:fill="FFFFFF"/>
          </w:tcPr>
          <w:p w14:paraId="48A3A77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 xml:space="preserve">7.58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1.10</w:t>
            </w:r>
          </w:p>
        </w:tc>
        <w:tc>
          <w:tcPr>
            <w:tcW w:w="792" w:type="pct"/>
            <w:shd w:val="clear" w:color="auto" w:fill="FFFFFF"/>
          </w:tcPr>
          <w:p w14:paraId="495D6AA9">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19.95 ± 4.63</w:t>
            </w:r>
          </w:p>
        </w:tc>
        <w:tc>
          <w:tcPr>
            <w:tcW w:w="792" w:type="pct"/>
            <w:shd w:val="clear" w:color="auto" w:fill="FFFFFF"/>
          </w:tcPr>
          <w:p w14:paraId="1FD19FB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14.13 ± 5.86</w:t>
            </w:r>
          </w:p>
        </w:tc>
        <w:tc>
          <w:tcPr>
            <w:tcW w:w="792" w:type="pct"/>
            <w:shd w:val="clear" w:color="auto" w:fill="FFFFFF"/>
          </w:tcPr>
          <w:p w14:paraId="47E95D3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11.13 ± 3.27</w:t>
            </w:r>
          </w:p>
        </w:tc>
        <w:tc>
          <w:tcPr>
            <w:tcW w:w="742" w:type="pct"/>
            <w:shd w:val="clear" w:color="auto" w:fill="FFFFFF"/>
          </w:tcPr>
          <w:p w14:paraId="5EAACF9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12.68 ± 4.65</w:t>
            </w:r>
          </w:p>
        </w:tc>
      </w:tr>
      <w:tr w14:paraId="1E5B901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41775D4D">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ITT_0.5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 xml:space="preserve">) </w:t>
            </w:r>
          </w:p>
        </w:tc>
        <w:tc>
          <w:tcPr>
            <w:tcW w:w="743" w:type="pct"/>
            <w:shd w:val="clear" w:color="auto" w:fill="FFFFFF"/>
          </w:tcPr>
          <w:p w14:paraId="1B4325EC">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 xml:space="preserve">6.25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1.10</w:t>
            </w:r>
          </w:p>
        </w:tc>
        <w:tc>
          <w:tcPr>
            <w:tcW w:w="792" w:type="pct"/>
            <w:shd w:val="clear" w:color="auto" w:fill="FFFFFF"/>
          </w:tcPr>
          <w:p w14:paraId="7A128521">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16.83 ± 5.76</w:t>
            </w:r>
          </w:p>
        </w:tc>
        <w:tc>
          <w:tcPr>
            <w:tcW w:w="792" w:type="pct"/>
            <w:shd w:val="clear" w:color="auto" w:fill="FFFFFF"/>
          </w:tcPr>
          <w:p w14:paraId="338A3E3F">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11.82 ± 6.08</w:t>
            </w:r>
          </w:p>
        </w:tc>
        <w:tc>
          <w:tcPr>
            <w:tcW w:w="792" w:type="pct"/>
            <w:shd w:val="clear" w:color="auto" w:fill="FFFFFF"/>
          </w:tcPr>
          <w:p w14:paraId="5982C91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8.83 ± 3.31</w:t>
            </w:r>
          </w:p>
        </w:tc>
        <w:tc>
          <w:tcPr>
            <w:tcW w:w="742" w:type="pct"/>
            <w:shd w:val="clear" w:color="auto" w:fill="FFFFFF"/>
          </w:tcPr>
          <w:p w14:paraId="09690E70">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10.97 ± 5.11</w:t>
            </w:r>
          </w:p>
        </w:tc>
      </w:tr>
      <w:tr w14:paraId="32D7370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39B2AA8D">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ITT_1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 xml:space="preserve">) </w:t>
            </w:r>
          </w:p>
        </w:tc>
        <w:tc>
          <w:tcPr>
            <w:tcW w:w="743" w:type="pct"/>
            <w:shd w:val="clear" w:color="auto" w:fill="FFFFFF"/>
          </w:tcPr>
          <w:p w14:paraId="1645BCE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 xml:space="preserve">6.37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1.00</w:t>
            </w:r>
          </w:p>
        </w:tc>
        <w:tc>
          <w:tcPr>
            <w:tcW w:w="792" w:type="pct"/>
            <w:shd w:val="clear" w:color="auto" w:fill="FFFFFF"/>
          </w:tcPr>
          <w:p w14:paraId="0C6D20BF">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15.87 ± 5.97</w:t>
            </w:r>
          </w:p>
        </w:tc>
        <w:tc>
          <w:tcPr>
            <w:tcW w:w="792" w:type="pct"/>
            <w:shd w:val="clear" w:color="auto" w:fill="FFFFFF"/>
          </w:tcPr>
          <w:p w14:paraId="518DFAA7">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10.30 ± 3.92</w:t>
            </w:r>
          </w:p>
        </w:tc>
        <w:tc>
          <w:tcPr>
            <w:tcW w:w="792" w:type="pct"/>
            <w:shd w:val="clear" w:color="auto" w:fill="FFFFFF"/>
          </w:tcPr>
          <w:p w14:paraId="4ED5CC82">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6.23 ± 1.89</w:t>
            </w:r>
          </w:p>
        </w:tc>
        <w:tc>
          <w:tcPr>
            <w:tcW w:w="742" w:type="pct"/>
            <w:shd w:val="clear" w:color="auto" w:fill="FFFFFF"/>
          </w:tcPr>
          <w:p w14:paraId="7B136A0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8.60 ± 4.59</w:t>
            </w:r>
          </w:p>
        </w:tc>
      </w:tr>
      <w:tr w14:paraId="2877D71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0565FE81">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ITT_1.5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 xml:space="preserve">) </w:t>
            </w:r>
          </w:p>
        </w:tc>
        <w:tc>
          <w:tcPr>
            <w:tcW w:w="743" w:type="pct"/>
            <w:shd w:val="clear" w:color="auto" w:fill="FFFFFF"/>
          </w:tcPr>
          <w:p w14:paraId="34E145E0">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 xml:space="preserve">7.03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1.25</w:t>
            </w:r>
          </w:p>
        </w:tc>
        <w:tc>
          <w:tcPr>
            <w:tcW w:w="792" w:type="pct"/>
            <w:shd w:val="clear" w:color="auto" w:fill="FFFFFF"/>
          </w:tcPr>
          <w:p w14:paraId="41425FE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18.82 ± 7.06</w:t>
            </w:r>
          </w:p>
        </w:tc>
        <w:tc>
          <w:tcPr>
            <w:tcW w:w="792" w:type="pct"/>
            <w:shd w:val="clear" w:color="auto" w:fill="FFFFFF"/>
          </w:tcPr>
          <w:p w14:paraId="2A658C8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11.98 ± 4.24</w:t>
            </w:r>
          </w:p>
        </w:tc>
        <w:tc>
          <w:tcPr>
            <w:tcW w:w="792" w:type="pct"/>
            <w:shd w:val="clear" w:color="auto" w:fill="FFFFFF"/>
          </w:tcPr>
          <w:p w14:paraId="14CD546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8.17 ± 3.64</w:t>
            </w:r>
          </w:p>
        </w:tc>
        <w:tc>
          <w:tcPr>
            <w:tcW w:w="742" w:type="pct"/>
            <w:shd w:val="clear" w:color="auto" w:fill="FFFFFF"/>
          </w:tcPr>
          <w:p w14:paraId="242B3408">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9.98 ± 5.82</w:t>
            </w:r>
          </w:p>
        </w:tc>
      </w:tr>
      <w:tr w14:paraId="5EA0DA5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18848D4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ITT_2 h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 xml:space="preserve">) </w:t>
            </w:r>
          </w:p>
        </w:tc>
        <w:tc>
          <w:tcPr>
            <w:tcW w:w="743" w:type="pct"/>
            <w:shd w:val="clear" w:color="auto" w:fill="FFFFFF"/>
          </w:tcPr>
          <w:p w14:paraId="302D1F3C">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 xml:space="preserve">7.58 </w:t>
            </w:r>
            <w:r>
              <w:rPr>
                <w:rFonts w:ascii="Times New Roman" w:hAnsi="Times New Roman" w:cs="Times New Roman"/>
                <w:bCs/>
                <w:color w:val="000000"/>
                <w:kern w:val="0"/>
                <w:sz w:val="24"/>
              </w:rPr>
              <w:t xml:space="preserve">± </w:t>
            </w:r>
            <w:r>
              <w:rPr>
                <w:rFonts w:ascii="Times New Roman" w:hAnsi="Times New Roman" w:cs="Times New Roman"/>
                <w:color w:val="000000"/>
                <w:kern w:val="0"/>
                <w:sz w:val="24"/>
              </w:rPr>
              <w:t>1.58</w:t>
            </w:r>
          </w:p>
        </w:tc>
        <w:tc>
          <w:tcPr>
            <w:tcW w:w="792" w:type="pct"/>
            <w:shd w:val="clear" w:color="auto" w:fill="FFFFFF"/>
          </w:tcPr>
          <w:p w14:paraId="4E1401FC">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20.53 ± 6.69</w:t>
            </w:r>
          </w:p>
        </w:tc>
        <w:tc>
          <w:tcPr>
            <w:tcW w:w="792" w:type="pct"/>
            <w:shd w:val="clear" w:color="auto" w:fill="FFFFFF"/>
          </w:tcPr>
          <w:p w14:paraId="709CFB6F">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13.97 ± 5.93</w:t>
            </w:r>
          </w:p>
        </w:tc>
        <w:tc>
          <w:tcPr>
            <w:tcW w:w="792" w:type="pct"/>
            <w:shd w:val="clear" w:color="auto" w:fill="FFFFFF"/>
          </w:tcPr>
          <w:p w14:paraId="5166B7D3">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8.93 ± 3.36</w:t>
            </w:r>
          </w:p>
        </w:tc>
        <w:tc>
          <w:tcPr>
            <w:tcW w:w="742" w:type="pct"/>
            <w:shd w:val="clear" w:color="auto" w:fill="FFFFFF"/>
          </w:tcPr>
          <w:p w14:paraId="6CA70612">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11.30 ± 6.18</w:t>
            </w:r>
          </w:p>
        </w:tc>
      </w:tr>
      <w:tr w14:paraId="522D790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5BE655D6">
            <w:pPr>
              <w:widowControl/>
              <w:adjustRightInd w:val="0"/>
              <w:snapToGrid w:val="0"/>
              <w:contextualSpacing/>
              <w:rPr>
                <w:rFonts w:ascii="Times New Roman" w:hAnsi="Times New Roman" w:cs="Times New Roman"/>
                <w:bCs/>
                <w:color w:val="000000"/>
                <w:kern w:val="0"/>
                <w:sz w:val="24"/>
                <w:lang w:val="pt-BR"/>
              </w:rPr>
            </w:pPr>
            <w:r>
              <w:rPr>
                <w:rFonts w:ascii="Times New Roman" w:hAnsi="Times New Roman" w:cs="Times New Roman"/>
                <w:bCs/>
                <w:color w:val="000000"/>
                <w:kern w:val="0"/>
                <w:sz w:val="24"/>
              </w:rPr>
              <w:t>ITT</w:t>
            </w:r>
            <w:r>
              <w:rPr>
                <w:rFonts w:ascii="Times New Roman" w:hAnsi="Times New Roman" w:cs="Times New Roman"/>
                <w:bCs/>
                <w:color w:val="000000"/>
                <w:kern w:val="0"/>
                <w:sz w:val="24"/>
                <w:lang w:val="pt-BR"/>
              </w:rPr>
              <w:t>_Insulin_AUC</w:t>
            </w:r>
          </w:p>
          <w:p w14:paraId="2E77DF17">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lang w:val="pt-BR"/>
              </w:rPr>
              <w:t xml:space="preserve"> (</w:t>
            </w:r>
            <w:r>
              <w:rPr>
                <w:rFonts w:ascii="Times New Roman" w:hAnsi="Times New Roman" w:cs="Times New Roman"/>
                <w:bCs/>
                <w:color w:val="000000"/>
                <w:kern w:val="0"/>
                <w:sz w:val="24"/>
              </w:rPr>
              <w:t>m</w:t>
            </w:r>
            <w:r>
              <w:rPr>
                <w:rFonts w:ascii="Times New Roman" w:hAnsi="Times New Roman" w:cs="Times New Roman"/>
                <w:bCs/>
                <w:color w:val="000000"/>
                <w:kern w:val="0"/>
                <w:sz w:val="24"/>
                <w:lang w:val="pt-BR"/>
              </w:rPr>
              <w:t>mol·L</w:t>
            </w:r>
            <w:r>
              <w:rPr>
                <w:rFonts w:ascii="Times New Roman" w:hAnsi="Times New Roman" w:cs="Times New Roman"/>
                <w:bCs/>
                <w:color w:val="000000"/>
                <w:kern w:val="0"/>
                <w:sz w:val="24"/>
                <w:vertAlign w:val="superscript"/>
                <w:lang w:val="pt-BR"/>
              </w:rPr>
              <w:t>-1</w:t>
            </w:r>
            <w:r>
              <w:rPr>
                <w:rFonts w:ascii="Times New Roman" w:hAnsi="Times New Roman" w:cs="Times New Roman"/>
                <w:bCs/>
                <w:color w:val="000000"/>
                <w:kern w:val="0"/>
                <w:sz w:val="24"/>
                <w:lang w:val="pt-BR"/>
              </w:rPr>
              <w:t xml:space="preserve"> ·min</w:t>
            </w:r>
            <w:r>
              <w:rPr>
                <w:rFonts w:ascii="Times New Roman" w:hAnsi="Times New Roman" w:cs="Times New Roman"/>
                <w:bCs/>
                <w:color w:val="000000"/>
                <w:kern w:val="0"/>
                <w:sz w:val="24"/>
                <w:vertAlign w:val="superscript"/>
                <w:lang w:val="pt-BR"/>
              </w:rPr>
              <w:t>-1</w:t>
            </w:r>
            <w:r>
              <w:rPr>
                <w:rFonts w:ascii="Times New Roman" w:hAnsi="Times New Roman" w:cs="Times New Roman"/>
                <w:bCs/>
                <w:color w:val="000000"/>
                <w:kern w:val="0"/>
                <w:sz w:val="24"/>
                <w:lang w:val="pt-BR"/>
              </w:rPr>
              <w:t xml:space="preserve"> )</w:t>
            </w:r>
          </w:p>
        </w:tc>
        <w:tc>
          <w:tcPr>
            <w:tcW w:w="743" w:type="pct"/>
            <w:shd w:val="clear" w:color="auto" w:fill="FFFFFF"/>
          </w:tcPr>
          <w:p w14:paraId="47B641DB">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817.00 ± 118.38</w:t>
            </w:r>
          </w:p>
        </w:tc>
        <w:tc>
          <w:tcPr>
            <w:tcW w:w="792" w:type="pct"/>
            <w:shd w:val="clear" w:color="auto" w:fill="FFFFFF"/>
          </w:tcPr>
          <w:p w14:paraId="360959DB">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2152.75 ± 677.83</w:t>
            </w:r>
          </w:p>
        </w:tc>
        <w:tc>
          <w:tcPr>
            <w:tcW w:w="792" w:type="pct"/>
            <w:shd w:val="clear" w:color="auto" w:fill="FFFFFF"/>
          </w:tcPr>
          <w:p w14:paraId="1FC90499">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1444.50 ± 570.34</w:t>
            </w:r>
          </w:p>
        </w:tc>
        <w:tc>
          <w:tcPr>
            <w:tcW w:w="792" w:type="pct"/>
            <w:shd w:val="clear" w:color="auto" w:fill="FFFFFF"/>
          </w:tcPr>
          <w:p w14:paraId="7DC2137B">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998.00 ± 356.27</w:t>
            </w:r>
          </w:p>
        </w:tc>
        <w:tc>
          <w:tcPr>
            <w:tcW w:w="742" w:type="pct"/>
            <w:shd w:val="clear" w:color="auto" w:fill="FFFFFF"/>
          </w:tcPr>
          <w:p w14:paraId="197254D7">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1246.25 ± 621.96</w:t>
            </w:r>
          </w:p>
        </w:tc>
      </w:tr>
      <w:tr w14:paraId="36506BF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3588A882">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 xml:space="preserve">ALT </w:t>
            </w:r>
            <w:r>
              <w:rPr>
                <w:rFonts w:ascii="Times New Roman" w:hAnsi="Times New Roman" w:cs="Times New Roman"/>
                <w:bCs/>
                <w:color w:val="000000"/>
                <w:kern w:val="0"/>
                <w:sz w:val="24"/>
                <w:lang w:val="pt-BR"/>
              </w:rPr>
              <w:t>(</w:t>
            </w:r>
            <w:r>
              <w:rPr>
                <w:rFonts w:ascii="Times New Roman" w:hAnsi="Times New Roman" w:cs="Times New Roman"/>
                <w:bCs/>
                <w:color w:val="000000"/>
                <w:kern w:val="0"/>
                <w:sz w:val="24"/>
              </w:rPr>
              <w:t xml:space="preserve">U </w:t>
            </w:r>
            <w:r>
              <w:rPr>
                <w:rFonts w:ascii="Times New Roman" w:hAnsi="Times New Roman" w:cs="Times New Roman"/>
                <w:bCs/>
                <w:color w:val="000000"/>
                <w:kern w:val="0"/>
                <w:sz w:val="24"/>
                <w:lang w:val="pt-BR"/>
              </w:rPr>
              <w:t>L</w:t>
            </w:r>
            <w:r>
              <w:rPr>
                <w:rFonts w:ascii="Times New Roman" w:hAnsi="Times New Roman" w:cs="Times New Roman"/>
                <w:bCs/>
                <w:color w:val="000000"/>
                <w:kern w:val="0"/>
                <w:sz w:val="24"/>
                <w:vertAlign w:val="superscript"/>
                <w:lang w:val="pt-BR"/>
              </w:rPr>
              <w:t>-1</w:t>
            </w:r>
            <w:r>
              <w:rPr>
                <w:rFonts w:ascii="Times New Roman" w:hAnsi="Times New Roman" w:cs="Times New Roman"/>
                <w:bCs/>
                <w:color w:val="000000"/>
                <w:kern w:val="0"/>
                <w:sz w:val="24"/>
                <w:lang w:val="pt-BR"/>
              </w:rPr>
              <w:t>)</w:t>
            </w:r>
          </w:p>
        </w:tc>
        <w:tc>
          <w:tcPr>
            <w:tcW w:w="743" w:type="pct"/>
            <w:shd w:val="clear" w:color="auto" w:fill="FFFFFF"/>
          </w:tcPr>
          <w:p w14:paraId="56B54816">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66.38 ± 19.73</w:t>
            </w:r>
          </w:p>
        </w:tc>
        <w:tc>
          <w:tcPr>
            <w:tcW w:w="792" w:type="pct"/>
            <w:shd w:val="clear" w:color="auto" w:fill="FFFFFF"/>
          </w:tcPr>
          <w:p w14:paraId="039B4B10">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119.58 ± 11.33</w:t>
            </w:r>
          </w:p>
        </w:tc>
        <w:tc>
          <w:tcPr>
            <w:tcW w:w="792" w:type="pct"/>
            <w:shd w:val="clear" w:color="auto" w:fill="FFFFFF"/>
          </w:tcPr>
          <w:p w14:paraId="779B5AD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92.95 ± 10.67</w:t>
            </w:r>
          </w:p>
        </w:tc>
        <w:tc>
          <w:tcPr>
            <w:tcW w:w="792" w:type="pct"/>
            <w:shd w:val="clear" w:color="auto" w:fill="FFFFFF"/>
          </w:tcPr>
          <w:p w14:paraId="1DF89C29">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85.46 ± 12.80</w:t>
            </w:r>
          </w:p>
        </w:tc>
        <w:tc>
          <w:tcPr>
            <w:tcW w:w="742" w:type="pct"/>
            <w:shd w:val="clear" w:color="auto" w:fill="FFFFFF"/>
          </w:tcPr>
          <w:p w14:paraId="658B9142">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77.52 ± 23.56</w:t>
            </w:r>
          </w:p>
        </w:tc>
      </w:tr>
      <w:tr w14:paraId="66EA916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4649C3A8">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 xml:space="preserve">AST </w:t>
            </w:r>
            <w:r>
              <w:rPr>
                <w:rFonts w:ascii="Times New Roman" w:hAnsi="Times New Roman" w:cs="Times New Roman"/>
                <w:bCs/>
                <w:color w:val="000000"/>
                <w:kern w:val="0"/>
                <w:sz w:val="24"/>
                <w:lang w:val="pt-BR"/>
              </w:rPr>
              <w:t>(</w:t>
            </w:r>
            <w:r>
              <w:rPr>
                <w:rFonts w:ascii="Times New Roman" w:hAnsi="Times New Roman" w:cs="Times New Roman"/>
                <w:bCs/>
                <w:color w:val="000000"/>
                <w:kern w:val="0"/>
                <w:sz w:val="24"/>
              </w:rPr>
              <w:t xml:space="preserve">U </w:t>
            </w:r>
            <w:r>
              <w:rPr>
                <w:rFonts w:ascii="Times New Roman" w:hAnsi="Times New Roman" w:cs="Times New Roman"/>
                <w:bCs/>
                <w:color w:val="000000"/>
                <w:kern w:val="0"/>
                <w:sz w:val="24"/>
                <w:lang w:val="pt-BR"/>
              </w:rPr>
              <w:t>L</w:t>
            </w:r>
            <w:r>
              <w:rPr>
                <w:rFonts w:ascii="Times New Roman" w:hAnsi="Times New Roman" w:cs="Times New Roman"/>
                <w:bCs/>
                <w:color w:val="000000"/>
                <w:kern w:val="0"/>
                <w:sz w:val="24"/>
                <w:vertAlign w:val="superscript"/>
                <w:lang w:val="pt-BR"/>
              </w:rPr>
              <w:t>-1</w:t>
            </w:r>
            <w:r>
              <w:rPr>
                <w:rFonts w:ascii="Times New Roman" w:hAnsi="Times New Roman" w:cs="Times New Roman"/>
                <w:bCs/>
                <w:color w:val="000000"/>
                <w:kern w:val="0"/>
                <w:sz w:val="24"/>
                <w:lang w:val="pt-BR"/>
              </w:rPr>
              <w:t>)</w:t>
            </w:r>
          </w:p>
        </w:tc>
        <w:tc>
          <w:tcPr>
            <w:tcW w:w="743" w:type="pct"/>
            <w:shd w:val="clear" w:color="auto" w:fill="FFFFFF"/>
          </w:tcPr>
          <w:p w14:paraId="16E3EC56">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137.19 ± 16.03</w:t>
            </w:r>
          </w:p>
        </w:tc>
        <w:tc>
          <w:tcPr>
            <w:tcW w:w="792" w:type="pct"/>
            <w:shd w:val="clear" w:color="auto" w:fill="FFFFFF"/>
          </w:tcPr>
          <w:p w14:paraId="40EE4CB9">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189.14 ± 6.73</w:t>
            </w:r>
          </w:p>
        </w:tc>
        <w:tc>
          <w:tcPr>
            <w:tcW w:w="792" w:type="pct"/>
            <w:shd w:val="clear" w:color="auto" w:fill="FFFFFF"/>
          </w:tcPr>
          <w:p w14:paraId="110238D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156.60 ± 5.93</w:t>
            </w:r>
          </w:p>
        </w:tc>
        <w:tc>
          <w:tcPr>
            <w:tcW w:w="792" w:type="pct"/>
            <w:shd w:val="clear" w:color="auto" w:fill="FFFFFF"/>
          </w:tcPr>
          <w:p w14:paraId="1D4C4018">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153.78 ± 15.32</w:t>
            </w:r>
          </w:p>
        </w:tc>
        <w:tc>
          <w:tcPr>
            <w:tcW w:w="742" w:type="pct"/>
            <w:shd w:val="clear" w:color="auto" w:fill="FFFFFF"/>
          </w:tcPr>
          <w:p w14:paraId="114388F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153.89 ± 15.67</w:t>
            </w:r>
          </w:p>
        </w:tc>
      </w:tr>
      <w:tr w14:paraId="7B97868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4FD8C0D5">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GLP-1(pmol 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496A8FDC">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3.02 ± 1.61</w:t>
            </w:r>
          </w:p>
        </w:tc>
        <w:tc>
          <w:tcPr>
            <w:tcW w:w="792" w:type="pct"/>
            <w:shd w:val="clear" w:color="auto" w:fill="FFFFFF"/>
          </w:tcPr>
          <w:p w14:paraId="181DB4A7">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0.48 ± 0.39</w:t>
            </w:r>
          </w:p>
        </w:tc>
        <w:tc>
          <w:tcPr>
            <w:tcW w:w="792" w:type="pct"/>
            <w:shd w:val="clear" w:color="auto" w:fill="FFFFFF"/>
          </w:tcPr>
          <w:p w14:paraId="46A83A51">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1.09 ± 0.46</w:t>
            </w:r>
          </w:p>
        </w:tc>
        <w:tc>
          <w:tcPr>
            <w:tcW w:w="792" w:type="pct"/>
            <w:shd w:val="clear" w:color="auto" w:fill="FFFFFF"/>
          </w:tcPr>
          <w:p w14:paraId="3ED2127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2.32 ± 1.72</w:t>
            </w:r>
          </w:p>
        </w:tc>
        <w:tc>
          <w:tcPr>
            <w:tcW w:w="742" w:type="pct"/>
            <w:shd w:val="clear" w:color="auto" w:fill="FFFFFF"/>
          </w:tcPr>
          <w:p w14:paraId="1C1C0FD1">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1.56 ± 1.45</w:t>
            </w:r>
          </w:p>
        </w:tc>
      </w:tr>
      <w:tr w14:paraId="2AEAEBC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7F1220A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bCs/>
                <w:color w:val="000000"/>
                <w:kern w:val="0"/>
                <w:sz w:val="24"/>
              </w:rPr>
              <w:t>IL-6 (pg mL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757B4E27">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28.03 ± 5.84</w:t>
            </w:r>
          </w:p>
        </w:tc>
        <w:tc>
          <w:tcPr>
            <w:tcW w:w="792" w:type="pct"/>
            <w:shd w:val="clear" w:color="auto" w:fill="FFFFFF"/>
          </w:tcPr>
          <w:p w14:paraId="167223E2">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91.79 ± 35.47</w:t>
            </w:r>
          </w:p>
        </w:tc>
        <w:tc>
          <w:tcPr>
            <w:tcW w:w="792" w:type="pct"/>
            <w:shd w:val="clear" w:color="auto" w:fill="FFFFFF"/>
          </w:tcPr>
          <w:p w14:paraId="33D7565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55.88 ± 35.78</w:t>
            </w:r>
          </w:p>
        </w:tc>
        <w:tc>
          <w:tcPr>
            <w:tcW w:w="792" w:type="pct"/>
            <w:shd w:val="clear" w:color="auto" w:fill="FFFFFF"/>
          </w:tcPr>
          <w:p w14:paraId="67190FA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28.69 ± 11.53</w:t>
            </w:r>
          </w:p>
        </w:tc>
        <w:tc>
          <w:tcPr>
            <w:tcW w:w="742" w:type="pct"/>
            <w:shd w:val="clear" w:color="auto" w:fill="FFFFFF"/>
          </w:tcPr>
          <w:p w14:paraId="4779E8F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38.42 ± 22.82</w:t>
            </w:r>
          </w:p>
        </w:tc>
      </w:tr>
      <w:tr w14:paraId="0A9F648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1164E76D">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LDLC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670EECC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0.12 ± 0.07</w:t>
            </w:r>
          </w:p>
        </w:tc>
        <w:tc>
          <w:tcPr>
            <w:tcW w:w="792" w:type="pct"/>
            <w:shd w:val="clear" w:color="auto" w:fill="FFFFFF"/>
          </w:tcPr>
          <w:p w14:paraId="429F7B1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0.42 ± 0.32</w:t>
            </w:r>
          </w:p>
        </w:tc>
        <w:tc>
          <w:tcPr>
            <w:tcW w:w="792" w:type="pct"/>
            <w:shd w:val="clear" w:color="auto" w:fill="FFFFFF"/>
          </w:tcPr>
          <w:p w14:paraId="7B431765">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0.26 ± 0.18</w:t>
            </w:r>
          </w:p>
        </w:tc>
        <w:tc>
          <w:tcPr>
            <w:tcW w:w="792" w:type="pct"/>
            <w:shd w:val="clear" w:color="auto" w:fill="FFFFFF"/>
          </w:tcPr>
          <w:p w14:paraId="57E5744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0.14± 0.06</w:t>
            </w:r>
          </w:p>
        </w:tc>
        <w:tc>
          <w:tcPr>
            <w:tcW w:w="742" w:type="pct"/>
            <w:shd w:val="clear" w:color="auto" w:fill="FFFFFF"/>
          </w:tcPr>
          <w:p w14:paraId="18AB9C7F">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0.24 ± 0.19</w:t>
            </w:r>
          </w:p>
        </w:tc>
      </w:tr>
      <w:tr w14:paraId="57FA6E7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1FE0E903">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HDLC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1257DAA1">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5.31 ± 1.20</w:t>
            </w:r>
          </w:p>
        </w:tc>
        <w:tc>
          <w:tcPr>
            <w:tcW w:w="792" w:type="pct"/>
            <w:shd w:val="clear" w:color="auto" w:fill="FFFFFF"/>
          </w:tcPr>
          <w:p w14:paraId="4F6B115A">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2.27 ± 0.54</w:t>
            </w:r>
          </w:p>
        </w:tc>
        <w:tc>
          <w:tcPr>
            <w:tcW w:w="792" w:type="pct"/>
            <w:shd w:val="clear" w:color="auto" w:fill="FFFFFF"/>
          </w:tcPr>
          <w:p w14:paraId="598592B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4.99 ± 0.42</w:t>
            </w:r>
          </w:p>
        </w:tc>
        <w:tc>
          <w:tcPr>
            <w:tcW w:w="792" w:type="pct"/>
            <w:shd w:val="clear" w:color="auto" w:fill="FFFFFF"/>
          </w:tcPr>
          <w:p w14:paraId="745B762F">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5.58 ± 0.88</w:t>
            </w:r>
          </w:p>
        </w:tc>
        <w:tc>
          <w:tcPr>
            <w:tcW w:w="742" w:type="pct"/>
            <w:shd w:val="clear" w:color="auto" w:fill="FFFFFF"/>
          </w:tcPr>
          <w:p w14:paraId="73D1F03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4.35 ± 1.72</w:t>
            </w:r>
          </w:p>
        </w:tc>
      </w:tr>
      <w:tr w14:paraId="69659D6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3D6B9887">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TG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63C744B7">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1.07 ± 0.24</w:t>
            </w:r>
          </w:p>
        </w:tc>
        <w:tc>
          <w:tcPr>
            <w:tcW w:w="792" w:type="pct"/>
            <w:shd w:val="clear" w:color="auto" w:fill="FFFFFF"/>
          </w:tcPr>
          <w:p w14:paraId="6EA3F9DE">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1.68 ± 0.49</w:t>
            </w:r>
          </w:p>
        </w:tc>
        <w:tc>
          <w:tcPr>
            <w:tcW w:w="792" w:type="pct"/>
            <w:shd w:val="clear" w:color="auto" w:fill="FFFFFF"/>
          </w:tcPr>
          <w:p w14:paraId="23B5AE3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1.29 ± 0.24</w:t>
            </w:r>
          </w:p>
        </w:tc>
        <w:tc>
          <w:tcPr>
            <w:tcW w:w="792" w:type="pct"/>
            <w:shd w:val="clear" w:color="auto" w:fill="FFFFFF"/>
          </w:tcPr>
          <w:p w14:paraId="0BEA25EB">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1.06± 0.24</w:t>
            </w:r>
          </w:p>
        </w:tc>
        <w:tc>
          <w:tcPr>
            <w:tcW w:w="742" w:type="pct"/>
            <w:shd w:val="clear" w:color="auto" w:fill="FFFFFF"/>
          </w:tcPr>
          <w:p w14:paraId="30BD4DFD">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1.13 ± 0.27</w:t>
            </w:r>
          </w:p>
        </w:tc>
      </w:tr>
      <w:tr w14:paraId="7B9066A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1138" w:type="pct"/>
            <w:shd w:val="clear" w:color="auto" w:fill="FFFFFF"/>
          </w:tcPr>
          <w:p w14:paraId="7A55597A">
            <w:pPr>
              <w:widowControl/>
              <w:adjustRightInd w:val="0"/>
              <w:snapToGrid w:val="0"/>
              <w:contextualSpacing/>
              <w:rPr>
                <w:rFonts w:ascii="Times New Roman" w:hAnsi="Times New Roman" w:cs="Times New Roman"/>
                <w:bCs/>
                <w:color w:val="000000"/>
                <w:kern w:val="0"/>
                <w:sz w:val="24"/>
              </w:rPr>
            </w:pPr>
            <w:r>
              <w:rPr>
                <w:rFonts w:ascii="Times New Roman" w:hAnsi="Times New Roman" w:cs="Times New Roman"/>
                <w:bCs/>
                <w:color w:val="000000"/>
                <w:kern w:val="0"/>
                <w:sz w:val="24"/>
              </w:rPr>
              <w:t>TC (mmol·L</w:t>
            </w:r>
            <w:r>
              <w:rPr>
                <w:rFonts w:ascii="Times New Roman" w:hAnsi="Times New Roman" w:cs="Times New Roman"/>
                <w:bCs/>
                <w:color w:val="000000"/>
                <w:kern w:val="0"/>
                <w:sz w:val="24"/>
                <w:vertAlign w:val="superscript"/>
              </w:rPr>
              <w:t>-1</w:t>
            </w:r>
            <w:r>
              <w:rPr>
                <w:rFonts w:ascii="Times New Roman" w:hAnsi="Times New Roman" w:cs="Times New Roman"/>
                <w:bCs/>
                <w:color w:val="000000"/>
                <w:kern w:val="0"/>
                <w:sz w:val="24"/>
              </w:rPr>
              <w:t>)</w:t>
            </w:r>
          </w:p>
        </w:tc>
        <w:tc>
          <w:tcPr>
            <w:tcW w:w="743" w:type="pct"/>
            <w:shd w:val="clear" w:color="auto" w:fill="FFFFFF"/>
          </w:tcPr>
          <w:p w14:paraId="3756995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2.10 ± 0.32</w:t>
            </w:r>
          </w:p>
        </w:tc>
        <w:tc>
          <w:tcPr>
            <w:tcW w:w="792" w:type="pct"/>
            <w:shd w:val="clear" w:color="auto" w:fill="FFFFFF"/>
          </w:tcPr>
          <w:p w14:paraId="1044F6AC">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5.08 ± 1.03</w:t>
            </w:r>
          </w:p>
        </w:tc>
        <w:tc>
          <w:tcPr>
            <w:tcW w:w="792" w:type="pct"/>
            <w:shd w:val="clear" w:color="auto" w:fill="FFFFFF"/>
          </w:tcPr>
          <w:p w14:paraId="40B7DF14">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4.90 ± 1.05</w:t>
            </w:r>
          </w:p>
        </w:tc>
        <w:tc>
          <w:tcPr>
            <w:tcW w:w="792" w:type="pct"/>
            <w:shd w:val="clear" w:color="auto" w:fill="FFFFFF"/>
          </w:tcPr>
          <w:p w14:paraId="68F5DDC0">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4.03 ± 0.91</w:t>
            </w:r>
          </w:p>
        </w:tc>
        <w:tc>
          <w:tcPr>
            <w:tcW w:w="742" w:type="pct"/>
            <w:shd w:val="clear" w:color="auto" w:fill="FFFFFF"/>
          </w:tcPr>
          <w:p w14:paraId="3B4906A3">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3.99 ± 1.07</w:t>
            </w:r>
          </w:p>
        </w:tc>
      </w:tr>
    </w:tbl>
    <w:p w14:paraId="6DBF8496">
      <w:pPr>
        <w:widowControl/>
        <w:adjustRightInd w:val="0"/>
        <w:snapToGrid w:val="0"/>
        <w:contextualSpacing/>
        <w:rPr>
          <w:rFonts w:ascii="Times New Roman" w:hAnsi="Times New Roman" w:cs="Times New Roman"/>
          <w:color w:val="000000"/>
          <w:kern w:val="0"/>
          <w:sz w:val="24"/>
        </w:rPr>
      </w:pPr>
      <w:r>
        <w:rPr>
          <w:rFonts w:ascii="Times New Roman" w:hAnsi="Times New Roman" w:cs="Times New Roman"/>
          <w:color w:val="000000"/>
          <w:kern w:val="0"/>
          <w:sz w:val="24"/>
        </w:rPr>
        <w:t xml:space="preserve">The data are shown as the mean ± S.E.M. NCD, Normal mice treated with normal chow diet; HFD, T2D mice treated with 0.5% CMC-Na; HFD+LG, T2D mice treated with 50 mg/kg GIVL; HFD+HG, T2D mice treated with 200 mg/kg GIVL; HFD+Acar, T2D mice treated with 20 mg/kg acarbose. LPS, Lipopolysaccharide; FBG, Fasting blood glucose; FINS, Fasting insulin; </w:t>
      </w:r>
      <w:r>
        <w:rPr>
          <w:rFonts w:ascii="Times New Roman" w:hAnsi="Times New Roman" w:cs="Times New Roman"/>
          <w:color w:val="000000"/>
          <w:kern w:val="0"/>
          <w:sz w:val="24"/>
          <w:lang w:val="pt-BR"/>
        </w:rPr>
        <w:t>HOMA-IR</w:t>
      </w:r>
      <w:r>
        <w:rPr>
          <w:rFonts w:ascii="Times New Roman" w:hAnsi="Times New Roman" w:cs="Times New Roman"/>
          <w:color w:val="111111"/>
          <w:sz w:val="24"/>
          <w:shd w:val="clear" w:color="auto" w:fill="FFFFFF"/>
        </w:rPr>
        <w:t xml:space="preserve">= </w:t>
      </w:r>
      <w:r>
        <w:rPr>
          <w:rFonts w:ascii="Times New Roman" w:hAnsi="Times New Roman" w:cs="Times New Roman"/>
          <w:color w:val="000000"/>
          <w:kern w:val="0"/>
          <w:sz w:val="24"/>
        </w:rPr>
        <w:t xml:space="preserve">(Fasting insulin × Fasting glucose)/22.5, homeostasis model assessment index for assessing insulin resistance; LDL, low-density lipoprotein; HDL, high-density lipoprotein; ALT, Alanine aminotransferase; AST, Aspartate aminotransferase; GLP-1, Glucagon-like peptide-1; </w:t>
      </w:r>
      <w:r>
        <w:rPr>
          <w:rFonts w:ascii="Times New Roman" w:hAnsi="Times New Roman" w:cs="Times New Roman"/>
          <w:color w:val="000000"/>
          <w:kern w:val="0"/>
          <w:sz w:val="24"/>
          <w:lang w:val="pt-BR"/>
        </w:rPr>
        <w:t>TG</w:t>
      </w:r>
      <w:r>
        <w:rPr>
          <w:rFonts w:ascii="Times New Roman" w:hAnsi="Times New Roman" w:cs="Times New Roman"/>
          <w:color w:val="000000"/>
          <w:kern w:val="0"/>
          <w:sz w:val="24"/>
        </w:rPr>
        <w:t>, Triglyceride; TC, Total cholesterol; IL-6, Interleukin-6</w:t>
      </w:r>
      <w:r>
        <w:rPr>
          <w:rFonts w:hint="eastAsia" w:ascii="Times New Roman" w:hAnsi="Times New Roman" w:cs="Times New Roman"/>
          <w:color w:val="000000"/>
          <w:kern w:val="0"/>
          <w:sz w:val="24"/>
        </w:rPr>
        <w:t>.</w:t>
      </w:r>
    </w:p>
    <w:p w14:paraId="674E6002">
      <w:pPr>
        <w:widowControl/>
        <w:adjustRightInd w:val="0"/>
        <w:snapToGrid w:val="0"/>
        <w:contextualSpacing/>
        <w:rPr>
          <w:rFonts w:ascii="Times New Roman" w:hAnsi="Times New Roman" w:cs="Times New Roman"/>
          <w:color w:val="000000"/>
          <w:kern w:val="0"/>
          <w:sz w:val="24"/>
        </w:rPr>
      </w:pPr>
    </w:p>
    <w:p w14:paraId="44C60DC2">
      <w:pPr>
        <w:widowControl/>
        <w:adjustRightInd w:val="0"/>
        <w:snapToGrid w:val="0"/>
        <w:contextualSpacing/>
        <w:rPr>
          <w:rFonts w:ascii="Times New Roman" w:hAnsi="Times New Roman" w:cs="Times New Roman"/>
          <w:color w:val="000000"/>
          <w:kern w:val="0"/>
          <w:sz w:val="24"/>
          <w:szCs w:val="24"/>
        </w:rPr>
        <w:sectPr>
          <w:pgSz w:w="16838" w:h="11906" w:orient="landscape"/>
          <w:pgMar w:top="1800" w:right="1440" w:bottom="1800" w:left="1440" w:header="851" w:footer="992" w:gutter="0"/>
          <w:lnNumType w:countBy="1" w:restart="continuous"/>
          <w:cols w:space="425" w:num="1"/>
          <w:docGrid w:type="lines" w:linePitch="312" w:charSpace="0"/>
        </w:sectPr>
      </w:pPr>
    </w:p>
    <w:p w14:paraId="7D0AADEE">
      <w:pPr>
        <w:adjustRightInd w:val="0"/>
        <w:snapToGrid w:val="0"/>
        <w:spacing w:after="78" w:afterLines="25"/>
        <w:jc w:val="left"/>
        <w:outlineLvl w:val="1"/>
        <w:rPr>
          <w:rFonts w:ascii="Times New Roman" w:hAnsi="Times New Roman" w:cs="Times New Roman"/>
          <w:sz w:val="24"/>
        </w:rPr>
      </w:pPr>
      <w:r>
        <w:rPr>
          <w:rFonts w:hint="eastAsia" w:ascii="Times New Roman" w:hAnsi="Times New Roman" w:cs="Times New Roman"/>
          <w:b/>
          <w:bCs/>
          <w:color w:val="000000" w:themeColor="text1"/>
          <w:sz w:val="24"/>
          <w14:textFill>
            <w14:solidFill>
              <w14:schemeClr w14:val="tx1"/>
            </w14:solidFill>
          </w14:textFill>
        </w:rPr>
        <w:t>Supplementary Table 10∣</w:t>
      </w:r>
      <w:r>
        <w:rPr>
          <w:rFonts w:ascii="Times New Roman" w:hAnsi="Times New Roman" w:cs="Times New Roman"/>
          <w:b/>
          <w:bCs/>
          <w:color w:val="000000"/>
          <w:kern w:val="0"/>
          <w:sz w:val="24"/>
          <w:szCs w:val="24"/>
        </w:rPr>
        <w:t xml:space="preserve">Quality control statistics of metagenomic sequencing data </w:t>
      </w:r>
      <w:r>
        <w:rPr>
          <w:rFonts w:ascii="Times New Roman" w:hAnsi="Times New Roman" w:cs="Times New Roman"/>
          <w:b/>
          <w:bCs/>
          <w:sz w:val="24"/>
        </w:rPr>
        <w:t>of</w:t>
      </w:r>
      <w:r>
        <w:rPr>
          <w:rFonts w:ascii="Times New Roman" w:hAnsi="Times New Roman" w:cs="Times New Roman"/>
          <w:b/>
          <w:bCs/>
          <w:color w:val="000000"/>
          <w:kern w:val="0"/>
          <w:sz w:val="24"/>
          <w:szCs w:val="24"/>
        </w:rPr>
        <w:t xml:space="preserve"> samples in this study</w:t>
      </w:r>
      <w:r>
        <w:rPr>
          <w:rFonts w:ascii="Times New Roman" w:hAnsi="Times New Roman" w:cs="Times New Roman"/>
          <w:b/>
          <w:bCs/>
          <w:sz w:val="24"/>
        </w:rPr>
        <w:t>.</w:t>
      </w:r>
    </w:p>
    <w:tbl>
      <w:tblPr>
        <w:tblStyle w:val="9"/>
        <w:tblW w:w="8382" w:type="dxa"/>
        <w:jc w:val="center"/>
        <w:tblLayout w:type="fixed"/>
        <w:tblCellMar>
          <w:top w:w="0" w:type="dxa"/>
          <w:left w:w="108" w:type="dxa"/>
          <w:bottom w:w="0" w:type="dxa"/>
          <w:right w:w="108" w:type="dxa"/>
        </w:tblCellMar>
      </w:tblPr>
      <w:tblGrid>
        <w:gridCol w:w="982"/>
        <w:gridCol w:w="988"/>
        <w:gridCol w:w="1045"/>
        <w:gridCol w:w="1105"/>
        <w:gridCol w:w="1225"/>
        <w:gridCol w:w="195"/>
        <w:gridCol w:w="1005"/>
        <w:gridCol w:w="975"/>
        <w:gridCol w:w="862"/>
      </w:tblGrid>
      <w:tr w14:paraId="1580ACD3">
        <w:tblPrEx>
          <w:tblCellMar>
            <w:top w:w="0" w:type="dxa"/>
            <w:left w:w="108" w:type="dxa"/>
            <w:bottom w:w="0" w:type="dxa"/>
            <w:right w:w="108" w:type="dxa"/>
          </w:tblCellMar>
        </w:tblPrEx>
        <w:trPr>
          <w:trHeight w:val="398" w:hRule="atLeast"/>
          <w:jc w:val="center"/>
        </w:trPr>
        <w:tc>
          <w:tcPr>
            <w:tcW w:w="982" w:type="dxa"/>
            <w:tcBorders>
              <w:top w:val="single" w:color="auto" w:sz="4" w:space="0"/>
              <w:left w:val="nil"/>
              <w:bottom w:val="single" w:color="auto" w:sz="4" w:space="0"/>
              <w:right w:val="nil"/>
            </w:tcBorders>
            <w:noWrap/>
            <w:vAlign w:val="center"/>
          </w:tcPr>
          <w:p w14:paraId="1DBF773A">
            <w:pPr>
              <w:widowControl/>
              <w:adjustRightInd w:val="0"/>
              <w:snapToGrid w:val="0"/>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Sample</w:t>
            </w:r>
          </w:p>
        </w:tc>
        <w:tc>
          <w:tcPr>
            <w:tcW w:w="988" w:type="dxa"/>
            <w:tcBorders>
              <w:top w:val="single" w:color="auto" w:sz="4" w:space="0"/>
              <w:left w:val="nil"/>
              <w:bottom w:val="single" w:color="auto" w:sz="4" w:space="0"/>
              <w:right w:val="nil"/>
            </w:tcBorders>
            <w:noWrap/>
            <w:vAlign w:val="center"/>
          </w:tcPr>
          <w:p w14:paraId="554DB7F9">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Group</w:t>
            </w:r>
          </w:p>
        </w:tc>
        <w:tc>
          <w:tcPr>
            <w:tcW w:w="1045" w:type="dxa"/>
            <w:tcBorders>
              <w:top w:val="single" w:color="auto" w:sz="4" w:space="0"/>
              <w:left w:val="nil"/>
              <w:bottom w:val="single" w:color="auto" w:sz="4" w:space="0"/>
              <w:right w:val="nil"/>
            </w:tcBorders>
            <w:noWrap/>
            <w:vAlign w:val="center"/>
          </w:tcPr>
          <w:p w14:paraId="2197A560">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Total Raw Reads (M)</w:t>
            </w:r>
          </w:p>
        </w:tc>
        <w:tc>
          <w:tcPr>
            <w:tcW w:w="1105" w:type="dxa"/>
            <w:tcBorders>
              <w:top w:val="single" w:color="auto" w:sz="4" w:space="0"/>
              <w:left w:val="nil"/>
              <w:bottom w:val="single" w:color="auto" w:sz="4" w:space="0"/>
              <w:right w:val="nil"/>
            </w:tcBorders>
            <w:noWrap/>
            <w:vAlign w:val="center"/>
          </w:tcPr>
          <w:p w14:paraId="51B00627">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Total Clean Reads (M)</w:t>
            </w:r>
          </w:p>
        </w:tc>
        <w:tc>
          <w:tcPr>
            <w:tcW w:w="1225" w:type="dxa"/>
            <w:tcBorders>
              <w:top w:val="single" w:color="auto" w:sz="4" w:space="0"/>
              <w:left w:val="nil"/>
              <w:bottom w:val="single" w:color="auto" w:sz="4" w:space="0"/>
              <w:right w:val="nil"/>
            </w:tcBorders>
            <w:noWrap/>
            <w:vAlign w:val="center"/>
          </w:tcPr>
          <w:p w14:paraId="68E8DB6F">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Total Clean Bases (Gb)</w:t>
            </w:r>
          </w:p>
        </w:tc>
        <w:tc>
          <w:tcPr>
            <w:tcW w:w="1200" w:type="dxa"/>
            <w:gridSpan w:val="2"/>
            <w:tcBorders>
              <w:top w:val="single" w:color="auto" w:sz="4" w:space="0"/>
              <w:left w:val="nil"/>
              <w:bottom w:val="single" w:color="auto" w:sz="4" w:space="0"/>
              <w:right w:val="nil"/>
            </w:tcBorders>
            <w:noWrap/>
            <w:vAlign w:val="center"/>
          </w:tcPr>
          <w:p w14:paraId="48372649">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Clean Reads Q20 (%)</w:t>
            </w:r>
          </w:p>
        </w:tc>
        <w:tc>
          <w:tcPr>
            <w:tcW w:w="975" w:type="dxa"/>
            <w:tcBorders>
              <w:top w:val="single" w:color="auto" w:sz="4" w:space="0"/>
              <w:left w:val="nil"/>
              <w:bottom w:val="single" w:color="auto" w:sz="4" w:space="0"/>
              <w:right w:val="nil"/>
            </w:tcBorders>
            <w:noWrap/>
            <w:vAlign w:val="center"/>
          </w:tcPr>
          <w:p w14:paraId="06C4AD1E">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Clean Reads Q30 (%)</w:t>
            </w:r>
          </w:p>
        </w:tc>
        <w:tc>
          <w:tcPr>
            <w:tcW w:w="862" w:type="dxa"/>
            <w:tcBorders>
              <w:top w:val="single" w:color="auto" w:sz="4" w:space="0"/>
              <w:left w:val="nil"/>
              <w:bottom w:val="single" w:color="auto" w:sz="4" w:space="0"/>
              <w:right w:val="nil"/>
            </w:tcBorders>
            <w:noWrap/>
            <w:vAlign w:val="center"/>
          </w:tcPr>
          <w:p w14:paraId="42320F45">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Clean Reads Ratio (%)</w:t>
            </w:r>
          </w:p>
        </w:tc>
      </w:tr>
      <w:tr w14:paraId="5B642988">
        <w:tblPrEx>
          <w:tblCellMar>
            <w:top w:w="0" w:type="dxa"/>
            <w:left w:w="108" w:type="dxa"/>
            <w:bottom w:w="0" w:type="dxa"/>
            <w:right w:w="108" w:type="dxa"/>
          </w:tblCellMar>
        </w:tblPrEx>
        <w:trPr>
          <w:trHeight w:val="202" w:hRule="atLeast"/>
          <w:jc w:val="center"/>
        </w:trPr>
        <w:tc>
          <w:tcPr>
            <w:tcW w:w="982" w:type="dxa"/>
            <w:tcBorders>
              <w:top w:val="single" w:color="auto" w:sz="4" w:space="0"/>
              <w:left w:val="nil"/>
              <w:bottom w:val="nil"/>
              <w:right w:val="nil"/>
            </w:tcBorders>
            <w:noWrap/>
            <w:vAlign w:val="center"/>
          </w:tcPr>
          <w:p w14:paraId="0472DD91">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B66</w:t>
            </w:r>
          </w:p>
        </w:tc>
        <w:tc>
          <w:tcPr>
            <w:tcW w:w="988" w:type="dxa"/>
            <w:tcBorders>
              <w:top w:val="single" w:color="auto" w:sz="4" w:space="0"/>
              <w:left w:val="nil"/>
              <w:bottom w:val="nil"/>
              <w:right w:val="nil"/>
            </w:tcBorders>
            <w:noWrap/>
            <w:vAlign w:val="center"/>
          </w:tcPr>
          <w:p w14:paraId="45AABF05">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HFD+Acar</w:t>
            </w:r>
          </w:p>
        </w:tc>
        <w:tc>
          <w:tcPr>
            <w:tcW w:w="1045" w:type="dxa"/>
            <w:tcBorders>
              <w:top w:val="single" w:color="auto" w:sz="4" w:space="0"/>
              <w:left w:val="nil"/>
              <w:bottom w:val="nil"/>
              <w:right w:val="nil"/>
            </w:tcBorders>
            <w:noWrap/>
            <w:vAlign w:val="center"/>
          </w:tcPr>
          <w:p w14:paraId="426EF74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41.93</w:t>
            </w:r>
          </w:p>
        </w:tc>
        <w:tc>
          <w:tcPr>
            <w:tcW w:w="1105" w:type="dxa"/>
            <w:tcBorders>
              <w:top w:val="single" w:color="auto" w:sz="4" w:space="0"/>
              <w:left w:val="nil"/>
              <w:bottom w:val="nil"/>
              <w:right w:val="nil"/>
            </w:tcBorders>
            <w:noWrap/>
            <w:vAlign w:val="center"/>
          </w:tcPr>
          <w:p w14:paraId="3610940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32.7</w:t>
            </w:r>
          </w:p>
        </w:tc>
        <w:tc>
          <w:tcPr>
            <w:tcW w:w="1420" w:type="dxa"/>
            <w:gridSpan w:val="2"/>
            <w:tcBorders>
              <w:top w:val="single" w:color="auto" w:sz="4" w:space="0"/>
              <w:left w:val="nil"/>
              <w:bottom w:val="nil"/>
              <w:right w:val="nil"/>
            </w:tcBorders>
            <w:noWrap/>
            <w:vAlign w:val="center"/>
          </w:tcPr>
          <w:p w14:paraId="350B2CA7">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4.9</w:t>
            </w:r>
          </w:p>
        </w:tc>
        <w:tc>
          <w:tcPr>
            <w:tcW w:w="1005" w:type="dxa"/>
            <w:tcBorders>
              <w:top w:val="single" w:color="auto" w:sz="4" w:space="0"/>
              <w:left w:val="nil"/>
              <w:bottom w:val="nil"/>
              <w:right w:val="nil"/>
            </w:tcBorders>
            <w:noWrap/>
            <w:vAlign w:val="center"/>
          </w:tcPr>
          <w:p w14:paraId="08BCDC4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98.78</w:t>
            </w:r>
          </w:p>
        </w:tc>
        <w:tc>
          <w:tcPr>
            <w:tcW w:w="975" w:type="dxa"/>
            <w:tcBorders>
              <w:top w:val="single" w:color="auto" w:sz="4" w:space="0"/>
              <w:left w:val="nil"/>
              <w:bottom w:val="nil"/>
              <w:right w:val="nil"/>
            </w:tcBorders>
            <w:noWrap/>
            <w:vAlign w:val="center"/>
          </w:tcPr>
          <w:p w14:paraId="505B994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95.72</w:t>
            </w:r>
          </w:p>
        </w:tc>
        <w:tc>
          <w:tcPr>
            <w:tcW w:w="862" w:type="dxa"/>
            <w:tcBorders>
              <w:top w:val="single" w:color="auto" w:sz="4" w:space="0"/>
              <w:left w:val="nil"/>
              <w:bottom w:val="nil"/>
              <w:right w:val="nil"/>
            </w:tcBorders>
            <w:noWrap/>
            <w:vAlign w:val="center"/>
          </w:tcPr>
          <w:p w14:paraId="65146B45">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77.99</w:t>
            </w:r>
          </w:p>
        </w:tc>
      </w:tr>
      <w:tr w14:paraId="640CC349">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2C9A1CBA">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B95</w:t>
            </w:r>
          </w:p>
        </w:tc>
        <w:tc>
          <w:tcPr>
            <w:tcW w:w="988" w:type="dxa"/>
            <w:tcBorders>
              <w:top w:val="nil"/>
              <w:left w:val="nil"/>
              <w:bottom w:val="nil"/>
              <w:right w:val="nil"/>
            </w:tcBorders>
            <w:noWrap/>
            <w:vAlign w:val="center"/>
          </w:tcPr>
          <w:p w14:paraId="2F4CC8A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HFD+Acar</w:t>
            </w:r>
          </w:p>
        </w:tc>
        <w:tc>
          <w:tcPr>
            <w:tcW w:w="1045" w:type="dxa"/>
            <w:tcBorders>
              <w:top w:val="nil"/>
              <w:left w:val="nil"/>
              <w:bottom w:val="nil"/>
              <w:right w:val="nil"/>
            </w:tcBorders>
            <w:noWrap/>
            <w:vAlign w:val="center"/>
          </w:tcPr>
          <w:p w14:paraId="2FB9F07B">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46.5</w:t>
            </w:r>
          </w:p>
        </w:tc>
        <w:tc>
          <w:tcPr>
            <w:tcW w:w="1105" w:type="dxa"/>
            <w:tcBorders>
              <w:top w:val="nil"/>
              <w:left w:val="nil"/>
              <w:bottom w:val="nil"/>
              <w:right w:val="nil"/>
            </w:tcBorders>
            <w:noWrap/>
            <w:vAlign w:val="center"/>
          </w:tcPr>
          <w:p w14:paraId="0B4B5B4E">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36.42</w:t>
            </w:r>
          </w:p>
        </w:tc>
        <w:tc>
          <w:tcPr>
            <w:tcW w:w="1420" w:type="dxa"/>
            <w:gridSpan w:val="2"/>
            <w:tcBorders>
              <w:top w:val="nil"/>
              <w:left w:val="nil"/>
              <w:bottom w:val="nil"/>
              <w:right w:val="nil"/>
            </w:tcBorders>
            <w:noWrap/>
            <w:vAlign w:val="center"/>
          </w:tcPr>
          <w:p w14:paraId="64FA70C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5.46</w:t>
            </w:r>
          </w:p>
        </w:tc>
        <w:tc>
          <w:tcPr>
            <w:tcW w:w="1005" w:type="dxa"/>
            <w:tcBorders>
              <w:top w:val="nil"/>
              <w:left w:val="nil"/>
              <w:bottom w:val="nil"/>
              <w:right w:val="nil"/>
            </w:tcBorders>
            <w:noWrap/>
            <w:vAlign w:val="center"/>
          </w:tcPr>
          <w:p w14:paraId="76C5CAB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98.59</w:t>
            </w:r>
          </w:p>
        </w:tc>
        <w:tc>
          <w:tcPr>
            <w:tcW w:w="975" w:type="dxa"/>
            <w:tcBorders>
              <w:top w:val="nil"/>
              <w:left w:val="nil"/>
              <w:bottom w:val="nil"/>
              <w:right w:val="nil"/>
            </w:tcBorders>
            <w:noWrap/>
            <w:vAlign w:val="center"/>
          </w:tcPr>
          <w:p w14:paraId="1CFF172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95.12</w:t>
            </w:r>
          </w:p>
        </w:tc>
        <w:tc>
          <w:tcPr>
            <w:tcW w:w="862" w:type="dxa"/>
            <w:tcBorders>
              <w:top w:val="nil"/>
              <w:left w:val="nil"/>
              <w:bottom w:val="nil"/>
              <w:right w:val="nil"/>
            </w:tcBorders>
            <w:noWrap/>
            <w:vAlign w:val="center"/>
          </w:tcPr>
          <w:p w14:paraId="01278458">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78.34</w:t>
            </w:r>
          </w:p>
        </w:tc>
      </w:tr>
      <w:tr w14:paraId="101DB4B1">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58ACC4E0">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B99</w:t>
            </w:r>
          </w:p>
        </w:tc>
        <w:tc>
          <w:tcPr>
            <w:tcW w:w="988" w:type="dxa"/>
            <w:tcBorders>
              <w:top w:val="nil"/>
              <w:left w:val="nil"/>
              <w:bottom w:val="nil"/>
              <w:right w:val="nil"/>
            </w:tcBorders>
            <w:noWrap/>
            <w:vAlign w:val="center"/>
          </w:tcPr>
          <w:p w14:paraId="7709A641">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HFD+Acar</w:t>
            </w:r>
          </w:p>
        </w:tc>
        <w:tc>
          <w:tcPr>
            <w:tcW w:w="1045" w:type="dxa"/>
            <w:tcBorders>
              <w:top w:val="nil"/>
              <w:left w:val="nil"/>
              <w:bottom w:val="nil"/>
              <w:right w:val="nil"/>
            </w:tcBorders>
            <w:noWrap/>
            <w:vAlign w:val="center"/>
          </w:tcPr>
          <w:p w14:paraId="483C067F">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44.52</w:t>
            </w:r>
          </w:p>
        </w:tc>
        <w:tc>
          <w:tcPr>
            <w:tcW w:w="1105" w:type="dxa"/>
            <w:tcBorders>
              <w:top w:val="nil"/>
              <w:left w:val="nil"/>
              <w:bottom w:val="nil"/>
              <w:right w:val="nil"/>
            </w:tcBorders>
            <w:noWrap/>
            <w:vAlign w:val="center"/>
          </w:tcPr>
          <w:p w14:paraId="41D20BC8">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34.74</w:t>
            </w:r>
          </w:p>
        </w:tc>
        <w:tc>
          <w:tcPr>
            <w:tcW w:w="1420" w:type="dxa"/>
            <w:gridSpan w:val="2"/>
            <w:tcBorders>
              <w:top w:val="nil"/>
              <w:left w:val="nil"/>
              <w:bottom w:val="nil"/>
              <w:right w:val="nil"/>
            </w:tcBorders>
            <w:noWrap/>
            <w:vAlign w:val="center"/>
          </w:tcPr>
          <w:p w14:paraId="321AC2BC">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5.21</w:t>
            </w:r>
          </w:p>
        </w:tc>
        <w:tc>
          <w:tcPr>
            <w:tcW w:w="1005" w:type="dxa"/>
            <w:tcBorders>
              <w:top w:val="nil"/>
              <w:left w:val="nil"/>
              <w:bottom w:val="nil"/>
              <w:right w:val="nil"/>
            </w:tcBorders>
            <w:noWrap/>
            <w:vAlign w:val="center"/>
          </w:tcPr>
          <w:p w14:paraId="47AD804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98.72</w:t>
            </w:r>
          </w:p>
        </w:tc>
        <w:tc>
          <w:tcPr>
            <w:tcW w:w="975" w:type="dxa"/>
            <w:tcBorders>
              <w:top w:val="nil"/>
              <w:left w:val="nil"/>
              <w:bottom w:val="nil"/>
              <w:right w:val="nil"/>
            </w:tcBorders>
            <w:noWrap/>
            <w:vAlign w:val="center"/>
          </w:tcPr>
          <w:p w14:paraId="661F5020">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95.56</w:t>
            </w:r>
          </w:p>
        </w:tc>
        <w:tc>
          <w:tcPr>
            <w:tcW w:w="862" w:type="dxa"/>
            <w:tcBorders>
              <w:top w:val="nil"/>
              <w:left w:val="nil"/>
              <w:bottom w:val="nil"/>
              <w:right w:val="nil"/>
            </w:tcBorders>
            <w:noWrap/>
            <w:vAlign w:val="center"/>
          </w:tcPr>
          <w:p w14:paraId="5A51D322">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78.03</w:t>
            </w:r>
          </w:p>
        </w:tc>
      </w:tr>
      <w:tr w14:paraId="6A7C5C13">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5EA9AF02">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B71</w:t>
            </w:r>
          </w:p>
        </w:tc>
        <w:tc>
          <w:tcPr>
            <w:tcW w:w="988" w:type="dxa"/>
            <w:tcBorders>
              <w:top w:val="nil"/>
              <w:left w:val="nil"/>
              <w:bottom w:val="nil"/>
              <w:right w:val="nil"/>
            </w:tcBorders>
            <w:noWrap/>
            <w:vAlign w:val="center"/>
          </w:tcPr>
          <w:p w14:paraId="2EABCF3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HFD+HG</w:t>
            </w:r>
          </w:p>
        </w:tc>
        <w:tc>
          <w:tcPr>
            <w:tcW w:w="1045" w:type="dxa"/>
            <w:tcBorders>
              <w:top w:val="nil"/>
              <w:left w:val="nil"/>
              <w:bottom w:val="nil"/>
              <w:right w:val="nil"/>
            </w:tcBorders>
            <w:noWrap/>
            <w:vAlign w:val="center"/>
          </w:tcPr>
          <w:p w14:paraId="10397BFA">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43.81</w:t>
            </w:r>
          </w:p>
        </w:tc>
        <w:tc>
          <w:tcPr>
            <w:tcW w:w="1105" w:type="dxa"/>
            <w:tcBorders>
              <w:top w:val="nil"/>
              <w:left w:val="nil"/>
              <w:bottom w:val="nil"/>
              <w:right w:val="nil"/>
            </w:tcBorders>
            <w:noWrap/>
            <w:vAlign w:val="center"/>
          </w:tcPr>
          <w:p w14:paraId="0855D720">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34.81</w:t>
            </w:r>
          </w:p>
        </w:tc>
        <w:tc>
          <w:tcPr>
            <w:tcW w:w="1420" w:type="dxa"/>
            <w:gridSpan w:val="2"/>
            <w:tcBorders>
              <w:top w:val="nil"/>
              <w:left w:val="nil"/>
              <w:bottom w:val="nil"/>
              <w:right w:val="nil"/>
            </w:tcBorders>
            <w:noWrap/>
            <w:vAlign w:val="center"/>
          </w:tcPr>
          <w:p w14:paraId="602AAE08">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5.22</w:t>
            </w:r>
          </w:p>
        </w:tc>
        <w:tc>
          <w:tcPr>
            <w:tcW w:w="1005" w:type="dxa"/>
            <w:tcBorders>
              <w:top w:val="nil"/>
              <w:left w:val="nil"/>
              <w:bottom w:val="nil"/>
              <w:right w:val="nil"/>
            </w:tcBorders>
            <w:noWrap/>
            <w:vAlign w:val="center"/>
          </w:tcPr>
          <w:p w14:paraId="606346B7">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98.59</w:t>
            </w:r>
          </w:p>
        </w:tc>
        <w:tc>
          <w:tcPr>
            <w:tcW w:w="975" w:type="dxa"/>
            <w:tcBorders>
              <w:top w:val="nil"/>
              <w:left w:val="nil"/>
              <w:bottom w:val="nil"/>
              <w:right w:val="nil"/>
            </w:tcBorders>
            <w:noWrap/>
            <w:vAlign w:val="center"/>
          </w:tcPr>
          <w:p w14:paraId="5B9CC43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95.12</w:t>
            </w:r>
          </w:p>
        </w:tc>
        <w:tc>
          <w:tcPr>
            <w:tcW w:w="862" w:type="dxa"/>
            <w:tcBorders>
              <w:top w:val="nil"/>
              <w:left w:val="nil"/>
              <w:bottom w:val="nil"/>
              <w:right w:val="nil"/>
            </w:tcBorders>
            <w:noWrap/>
            <w:vAlign w:val="center"/>
          </w:tcPr>
          <w:p w14:paraId="281FE40C">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79.45</w:t>
            </w:r>
          </w:p>
        </w:tc>
      </w:tr>
      <w:tr w14:paraId="07BE3078">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3FE53C30">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B72</w:t>
            </w:r>
          </w:p>
        </w:tc>
        <w:tc>
          <w:tcPr>
            <w:tcW w:w="988" w:type="dxa"/>
            <w:tcBorders>
              <w:top w:val="nil"/>
              <w:left w:val="nil"/>
              <w:bottom w:val="nil"/>
              <w:right w:val="nil"/>
            </w:tcBorders>
            <w:noWrap/>
            <w:vAlign w:val="center"/>
          </w:tcPr>
          <w:p w14:paraId="5842DDDE">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HFD+HG</w:t>
            </w:r>
          </w:p>
        </w:tc>
        <w:tc>
          <w:tcPr>
            <w:tcW w:w="1045" w:type="dxa"/>
            <w:tcBorders>
              <w:top w:val="nil"/>
              <w:left w:val="nil"/>
              <w:bottom w:val="nil"/>
              <w:right w:val="nil"/>
            </w:tcBorders>
            <w:noWrap/>
            <w:vAlign w:val="center"/>
          </w:tcPr>
          <w:p w14:paraId="18468516">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44.16</w:t>
            </w:r>
          </w:p>
        </w:tc>
        <w:tc>
          <w:tcPr>
            <w:tcW w:w="1105" w:type="dxa"/>
            <w:tcBorders>
              <w:top w:val="nil"/>
              <w:left w:val="nil"/>
              <w:bottom w:val="nil"/>
              <w:right w:val="nil"/>
            </w:tcBorders>
            <w:noWrap/>
            <w:vAlign w:val="center"/>
          </w:tcPr>
          <w:p w14:paraId="646C64FF">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32.8</w:t>
            </w:r>
          </w:p>
        </w:tc>
        <w:tc>
          <w:tcPr>
            <w:tcW w:w="1420" w:type="dxa"/>
            <w:gridSpan w:val="2"/>
            <w:tcBorders>
              <w:top w:val="nil"/>
              <w:left w:val="nil"/>
              <w:bottom w:val="nil"/>
              <w:right w:val="nil"/>
            </w:tcBorders>
            <w:noWrap/>
            <w:vAlign w:val="center"/>
          </w:tcPr>
          <w:p w14:paraId="2D6B79D5">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4.92</w:t>
            </w:r>
          </w:p>
        </w:tc>
        <w:tc>
          <w:tcPr>
            <w:tcW w:w="1005" w:type="dxa"/>
            <w:tcBorders>
              <w:top w:val="nil"/>
              <w:left w:val="nil"/>
              <w:bottom w:val="nil"/>
              <w:right w:val="nil"/>
            </w:tcBorders>
            <w:noWrap/>
            <w:vAlign w:val="center"/>
          </w:tcPr>
          <w:p w14:paraId="0F2DA92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98.72</w:t>
            </w:r>
          </w:p>
        </w:tc>
        <w:tc>
          <w:tcPr>
            <w:tcW w:w="975" w:type="dxa"/>
            <w:tcBorders>
              <w:top w:val="nil"/>
              <w:left w:val="nil"/>
              <w:bottom w:val="nil"/>
              <w:right w:val="nil"/>
            </w:tcBorders>
            <w:noWrap/>
            <w:vAlign w:val="center"/>
          </w:tcPr>
          <w:p w14:paraId="65BE6580">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95.52</w:t>
            </w:r>
          </w:p>
        </w:tc>
        <w:tc>
          <w:tcPr>
            <w:tcW w:w="862" w:type="dxa"/>
            <w:tcBorders>
              <w:top w:val="nil"/>
              <w:left w:val="nil"/>
              <w:bottom w:val="nil"/>
              <w:right w:val="nil"/>
            </w:tcBorders>
            <w:noWrap/>
            <w:vAlign w:val="center"/>
          </w:tcPr>
          <w:p w14:paraId="5448CBC5">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74.27</w:t>
            </w:r>
          </w:p>
        </w:tc>
      </w:tr>
      <w:tr w14:paraId="61B67BF9">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26560E4A">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B98</w:t>
            </w:r>
          </w:p>
        </w:tc>
        <w:tc>
          <w:tcPr>
            <w:tcW w:w="988" w:type="dxa"/>
            <w:tcBorders>
              <w:top w:val="nil"/>
              <w:left w:val="nil"/>
              <w:bottom w:val="nil"/>
              <w:right w:val="nil"/>
            </w:tcBorders>
            <w:noWrap/>
            <w:vAlign w:val="center"/>
          </w:tcPr>
          <w:p w14:paraId="4E6EE42E">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HFD+HG</w:t>
            </w:r>
          </w:p>
        </w:tc>
        <w:tc>
          <w:tcPr>
            <w:tcW w:w="1045" w:type="dxa"/>
            <w:tcBorders>
              <w:top w:val="nil"/>
              <w:left w:val="nil"/>
              <w:bottom w:val="nil"/>
              <w:right w:val="nil"/>
            </w:tcBorders>
            <w:noWrap/>
            <w:vAlign w:val="center"/>
          </w:tcPr>
          <w:p w14:paraId="0F349480">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42.76</w:t>
            </w:r>
          </w:p>
        </w:tc>
        <w:tc>
          <w:tcPr>
            <w:tcW w:w="1105" w:type="dxa"/>
            <w:tcBorders>
              <w:top w:val="nil"/>
              <w:left w:val="nil"/>
              <w:bottom w:val="nil"/>
              <w:right w:val="nil"/>
            </w:tcBorders>
            <w:noWrap/>
            <w:vAlign w:val="center"/>
          </w:tcPr>
          <w:p w14:paraId="6F31B988">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34.32</w:t>
            </w:r>
          </w:p>
        </w:tc>
        <w:tc>
          <w:tcPr>
            <w:tcW w:w="1420" w:type="dxa"/>
            <w:gridSpan w:val="2"/>
            <w:tcBorders>
              <w:top w:val="nil"/>
              <w:left w:val="nil"/>
              <w:bottom w:val="nil"/>
              <w:right w:val="nil"/>
            </w:tcBorders>
            <w:noWrap/>
            <w:vAlign w:val="center"/>
          </w:tcPr>
          <w:p w14:paraId="61A777BD">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5.15</w:t>
            </w:r>
          </w:p>
        </w:tc>
        <w:tc>
          <w:tcPr>
            <w:tcW w:w="1005" w:type="dxa"/>
            <w:tcBorders>
              <w:top w:val="nil"/>
              <w:left w:val="nil"/>
              <w:bottom w:val="nil"/>
              <w:right w:val="nil"/>
            </w:tcBorders>
            <w:noWrap/>
            <w:vAlign w:val="center"/>
          </w:tcPr>
          <w:p w14:paraId="70A965B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98.51</w:t>
            </w:r>
          </w:p>
        </w:tc>
        <w:tc>
          <w:tcPr>
            <w:tcW w:w="975" w:type="dxa"/>
            <w:tcBorders>
              <w:top w:val="nil"/>
              <w:left w:val="nil"/>
              <w:bottom w:val="nil"/>
              <w:right w:val="nil"/>
            </w:tcBorders>
            <w:noWrap/>
            <w:vAlign w:val="center"/>
          </w:tcPr>
          <w:p w14:paraId="2DAF6E47">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94.89</w:t>
            </w:r>
          </w:p>
        </w:tc>
        <w:tc>
          <w:tcPr>
            <w:tcW w:w="862" w:type="dxa"/>
            <w:tcBorders>
              <w:top w:val="nil"/>
              <w:left w:val="nil"/>
              <w:bottom w:val="nil"/>
              <w:right w:val="nil"/>
            </w:tcBorders>
            <w:noWrap/>
            <w:vAlign w:val="center"/>
          </w:tcPr>
          <w:p w14:paraId="3E266326">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80.25</w:t>
            </w:r>
          </w:p>
        </w:tc>
      </w:tr>
      <w:tr w14:paraId="203B00EF">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30BEF120">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A35</w:t>
            </w:r>
          </w:p>
        </w:tc>
        <w:tc>
          <w:tcPr>
            <w:tcW w:w="988" w:type="dxa"/>
            <w:tcBorders>
              <w:top w:val="nil"/>
              <w:left w:val="nil"/>
              <w:bottom w:val="nil"/>
              <w:right w:val="nil"/>
            </w:tcBorders>
            <w:noWrap/>
            <w:vAlign w:val="center"/>
          </w:tcPr>
          <w:p w14:paraId="28352128">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w:t>
            </w:r>
          </w:p>
        </w:tc>
        <w:tc>
          <w:tcPr>
            <w:tcW w:w="1045" w:type="dxa"/>
            <w:tcBorders>
              <w:top w:val="nil"/>
              <w:left w:val="nil"/>
              <w:bottom w:val="nil"/>
              <w:right w:val="nil"/>
            </w:tcBorders>
            <w:noWrap/>
            <w:vAlign w:val="center"/>
          </w:tcPr>
          <w:p w14:paraId="1945CEC7">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44</w:t>
            </w:r>
          </w:p>
        </w:tc>
        <w:tc>
          <w:tcPr>
            <w:tcW w:w="1105" w:type="dxa"/>
            <w:tcBorders>
              <w:top w:val="nil"/>
              <w:left w:val="nil"/>
              <w:bottom w:val="nil"/>
              <w:right w:val="nil"/>
            </w:tcBorders>
            <w:noWrap/>
            <w:vAlign w:val="center"/>
          </w:tcPr>
          <w:p w14:paraId="261A7A91">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35.05</w:t>
            </w:r>
          </w:p>
        </w:tc>
        <w:tc>
          <w:tcPr>
            <w:tcW w:w="1420" w:type="dxa"/>
            <w:gridSpan w:val="2"/>
            <w:tcBorders>
              <w:top w:val="nil"/>
              <w:left w:val="nil"/>
              <w:bottom w:val="nil"/>
              <w:right w:val="nil"/>
            </w:tcBorders>
            <w:noWrap/>
            <w:vAlign w:val="center"/>
          </w:tcPr>
          <w:p w14:paraId="60DCD115">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5.26</w:t>
            </w:r>
          </w:p>
        </w:tc>
        <w:tc>
          <w:tcPr>
            <w:tcW w:w="1005" w:type="dxa"/>
            <w:tcBorders>
              <w:top w:val="nil"/>
              <w:left w:val="nil"/>
              <w:bottom w:val="nil"/>
              <w:right w:val="nil"/>
            </w:tcBorders>
            <w:noWrap/>
            <w:vAlign w:val="center"/>
          </w:tcPr>
          <w:p w14:paraId="124E0C9E">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98.58</w:t>
            </w:r>
          </w:p>
        </w:tc>
        <w:tc>
          <w:tcPr>
            <w:tcW w:w="975" w:type="dxa"/>
            <w:tcBorders>
              <w:top w:val="nil"/>
              <w:left w:val="nil"/>
              <w:bottom w:val="nil"/>
              <w:right w:val="nil"/>
            </w:tcBorders>
            <w:noWrap/>
            <w:vAlign w:val="center"/>
          </w:tcPr>
          <w:p w14:paraId="5746B1C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95.09</w:t>
            </w:r>
          </w:p>
        </w:tc>
        <w:tc>
          <w:tcPr>
            <w:tcW w:w="862" w:type="dxa"/>
            <w:tcBorders>
              <w:top w:val="nil"/>
              <w:left w:val="nil"/>
              <w:bottom w:val="nil"/>
              <w:right w:val="nil"/>
            </w:tcBorders>
            <w:noWrap/>
            <w:vAlign w:val="center"/>
          </w:tcPr>
          <w:p w14:paraId="4E1F4230">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79.65</w:t>
            </w:r>
          </w:p>
        </w:tc>
      </w:tr>
      <w:tr w14:paraId="4916EB05">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129F8DF8">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A61</w:t>
            </w:r>
          </w:p>
        </w:tc>
        <w:tc>
          <w:tcPr>
            <w:tcW w:w="988" w:type="dxa"/>
            <w:tcBorders>
              <w:top w:val="nil"/>
              <w:left w:val="nil"/>
              <w:bottom w:val="nil"/>
              <w:right w:val="nil"/>
            </w:tcBorders>
            <w:noWrap/>
            <w:vAlign w:val="center"/>
          </w:tcPr>
          <w:p w14:paraId="0E161EF7">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w:t>
            </w:r>
          </w:p>
        </w:tc>
        <w:tc>
          <w:tcPr>
            <w:tcW w:w="1045" w:type="dxa"/>
            <w:tcBorders>
              <w:top w:val="nil"/>
              <w:left w:val="nil"/>
              <w:bottom w:val="nil"/>
              <w:right w:val="nil"/>
            </w:tcBorders>
            <w:noWrap/>
            <w:vAlign w:val="center"/>
          </w:tcPr>
          <w:p w14:paraId="01AEA23B">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42.82</w:t>
            </w:r>
          </w:p>
        </w:tc>
        <w:tc>
          <w:tcPr>
            <w:tcW w:w="1105" w:type="dxa"/>
            <w:tcBorders>
              <w:top w:val="nil"/>
              <w:left w:val="nil"/>
              <w:bottom w:val="nil"/>
              <w:right w:val="nil"/>
            </w:tcBorders>
            <w:noWrap/>
            <w:vAlign w:val="center"/>
          </w:tcPr>
          <w:p w14:paraId="2392634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33.58</w:t>
            </w:r>
          </w:p>
        </w:tc>
        <w:tc>
          <w:tcPr>
            <w:tcW w:w="1420" w:type="dxa"/>
            <w:gridSpan w:val="2"/>
            <w:tcBorders>
              <w:top w:val="nil"/>
              <w:left w:val="nil"/>
              <w:bottom w:val="nil"/>
              <w:right w:val="nil"/>
            </w:tcBorders>
            <w:noWrap/>
            <w:vAlign w:val="center"/>
          </w:tcPr>
          <w:p w14:paraId="41F6D32A">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5.04</w:t>
            </w:r>
          </w:p>
        </w:tc>
        <w:tc>
          <w:tcPr>
            <w:tcW w:w="1005" w:type="dxa"/>
            <w:tcBorders>
              <w:top w:val="nil"/>
              <w:left w:val="nil"/>
              <w:bottom w:val="nil"/>
              <w:right w:val="nil"/>
            </w:tcBorders>
            <w:noWrap/>
            <w:vAlign w:val="center"/>
          </w:tcPr>
          <w:p w14:paraId="350FCA3A">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98.78</w:t>
            </w:r>
          </w:p>
        </w:tc>
        <w:tc>
          <w:tcPr>
            <w:tcW w:w="975" w:type="dxa"/>
            <w:tcBorders>
              <w:top w:val="nil"/>
              <w:left w:val="nil"/>
              <w:bottom w:val="nil"/>
              <w:right w:val="nil"/>
            </w:tcBorders>
            <w:noWrap/>
            <w:vAlign w:val="center"/>
          </w:tcPr>
          <w:p w14:paraId="39CDCFFD">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95.66</w:t>
            </w:r>
          </w:p>
        </w:tc>
        <w:tc>
          <w:tcPr>
            <w:tcW w:w="862" w:type="dxa"/>
            <w:tcBorders>
              <w:top w:val="nil"/>
              <w:left w:val="nil"/>
              <w:bottom w:val="nil"/>
              <w:right w:val="nil"/>
            </w:tcBorders>
            <w:noWrap/>
            <w:vAlign w:val="center"/>
          </w:tcPr>
          <w:p w14:paraId="27B0EA3D">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78.41</w:t>
            </w:r>
          </w:p>
        </w:tc>
      </w:tr>
      <w:tr w14:paraId="4DF1AF8F">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0F42F5E3">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B75</w:t>
            </w:r>
          </w:p>
        </w:tc>
        <w:tc>
          <w:tcPr>
            <w:tcW w:w="988" w:type="dxa"/>
            <w:tcBorders>
              <w:top w:val="nil"/>
              <w:left w:val="nil"/>
              <w:bottom w:val="nil"/>
              <w:right w:val="nil"/>
            </w:tcBorders>
            <w:noWrap/>
            <w:vAlign w:val="center"/>
          </w:tcPr>
          <w:p w14:paraId="16DFBB7E">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HFD</w:t>
            </w:r>
          </w:p>
        </w:tc>
        <w:tc>
          <w:tcPr>
            <w:tcW w:w="1045" w:type="dxa"/>
            <w:tcBorders>
              <w:top w:val="nil"/>
              <w:left w:val="nil"/>
              <w:bottom w:val="nil"/>
              <w:right w:val="nil"/>
            </w:tcBorders>
            <w:noWrap/>
            <w:vAlign w:val="center"/>
          </w:tcPr>
          <w:p w14:paraId="202882D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45.68</w:t>
            </w:r>
          </w:p>
        </w:tc>
        <w:tc>
          <w:tcPr>
            <w:tcW w:w="1105" w:type="dxa"/>
            <w:tcBorders>
              <w:top w:val="nil"/>
              <w:left w:val="nil"/>
              <w:bottom w:val="nil"/>
              <w:right w:val="nil"/>
            </w:tcBorders>
            <w:noWrap/>
            <w:vAlign w:val="center"/>
          </w:tcPr>
          <w:p w14:paraId="4D2FBF61">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36.05</w:t>
            </w:r>
          </w:p>
        </w:tc>
        <w:tc>
          <w:tcPr>
            <w:tcW w:w="1420" w:type="dxa"/>
            <w:gridSpan w:val="2"/>
            <w:tcBorders>
              <w:top w:val="nil"/>
              <w:left w:val="nil"/>
              <w:bottom w:val="nil"/>
              <w:right w:val="nil"/>
            </w:tcBorders>
            <w:noWrap/>
            <w:vAlign w:val="center"/>
          </w:tcPr>
          <w:p w14:paraId="3BCDC73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5.41</w:t>
            </w:r>
          </w:p>
        </w:tc>
        <w:tc>
          <w:tcPr>
            <w:tcW w:w="1005" w:type="dxa"/>
            <w:tcBorders>
              <w:top w:val="nil"/>
              <w:left w:val="nil"/>
              <w:bottom w:val="nil"/>
              <w:right w:val="nil"/>
            </w:tcBorders>
            <w:noWrap/>
            <w:vAlign w:val="center"/>
          </w:tcPr>
          <w:p w14:paraId="605FDCFF">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98.53</w:t>
            </w:r>
          </w:p>
        </w:tc>
        <w:tc>
          <w:tcPr>
            <w:tcW w:w="975" w:type="dxa"/>
            <w:tcBorders>
              <w:top w:val="nil"/>
              <w:left w:val="nil"/>
              <w:bottom w:val="nil"/>
              <w:right w:val="nil"/>
            </w:tcBorders>
            <w:noWrap/>
            <w:vAlign w:val="center"/>
          </w:tcPr>
          <w:p w14:paraId="58AE0AF0">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94.94</w:t>
            </w:r>
          </w:p>
        </w:tc>
        <w:tc>
          <w:tcPr>
            <w:tcW w:w="862" w:type="dxa"/>
            <w:tcBorders>
              <w:top w:val="nil"/>
              <w:left w:val="nil"/>
              <w:bottom w:val="nil"/>
              <w:right w:val="nil"/>
            </w:tcBorders>
            <w:noWrap/>
            <w:vAlign w:val="center"/>
          </w:tcPr>
          <w:p w14:paraId="27E66D0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78.92</w:t>
            </w:r>
          </w:p>
        </w:tc>
      </w:tr>
      <w:tr w14:paraId="06772D17">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4BE8F11E">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A56</w:t>
            </w:r>
          </w:p>
        </w:tc>
        <w:tc>
          <w:tcPr>
            <w:tcW w:w="988" w:type="dxa"/>
            <w:tcBorders>
              <w:top w:val="nil"/>
              <w:left w:val="nil"/>
              <w:bottom w:val="nil"/>
              <w:right w:val="nil"/>
            </w:tcBorders>
            <w:noWrap/>
            <w:vAlign w:val="center"/>
          </w:tcPr>
          <w:p w14:paraId="4276E28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NCD</w:t>
            </w:r>
          </w:p>
        </w:tc>
        <w:tc>
          <w:tcPr>
            <w:tcW w:w="1045" w:type="dxa"/>
            <w:tcBorders>
              <w:top w:val="nil"/>
              <w:left w:val="nil"/>
              <w:bottom w:val="nil"/>
              <w:right w:val="nil"/>
            </w:tcBorders>
            <w:noWrap/>
            <w:vAlign w:val="center"/>
          </w:tcPr>
          <w:p w14:paraId="65DCBAE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44.38</w:t>
            </w:r>
          </w:p>
        </w:tc>
        <w:tc>
          <w:tcPr>
            <w:tcW w:w="1105" w:type="dxa"/>
            <w:tcBorders>
              <w:top w:val="nil"/>
              <w:left w:val="nil"/>
              <w:bottom w:val="nil"/>
              <w:right w:val="nil"/>
            </w:tcBorders>
            <w:noWrap/>
            <w:vAlign w:val="center"/>
          </w:tcPr>
          <w:p w14:paraId="5FFAADF8">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35.67</w:t>
            </w:r>
          </w:p>
        </w:tc>
        <w:tc>
          <w:tcPr>
            <w:tcW w:w="1420" w:type="dxa"/>
            <w:gridSpan w:val="2"/>
            <w:tcBorders>
              <w:top w:val="nil"/>
              <w:left w:val="nil"/>
              <w:bottom w:val="nil"/>
              <w:right w:val="nil"/>
            </w:tcBorders>
            <w:noWrap/>
            <w:vAlign w:val="center"/>
          </w:tcPr>
          <w:p w14:paraId="2EF0E79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5.35</w:t>
            </w:r>
          </w:p>
        </w:tc>
        <w:tc>
          <w:tcPr>
            <w:tcW w:w="1005" w:type="dxa"/>
            <w:tcBorders>
              <w:top w:val="nil"/>
              <w:left w:val="nil"/>
              <w:bottom w:val="nil"/>
              <w:right w:val="nil"/>
            </w:tcBorders>
            <w:noWrap/>
            <w:vAlign w:val="center"/>
          </w:tcPr>
          <w:p w14:paraId="6AF0BC21">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98.33</w:t>
            </w:r>
          </w:p>
        </w:tc>
        <w:tc>
          <w:tcPr>
            <w:tcW w:w="975" w:type="dxa"/>
            <w:tcBorders>
              <w:top w:val="nil"/>
              <w:left w:val="nil"/>
              <w:bottom w:val="nil"/>
              <w:right w:val="nil"/>
            </w:tcBorders>
            <w:noWrap/>
            <w:vAlign w:val="center"/>
          </w:tcPr>
          <w:p w14:paraId="306E3400">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94.33</w:t>
            </w:r>
          </w:p>
        </w:tc>
        <w:tc>
          <w:tcPr>
            <w:tcW w:w="862" w:type="dxa"/>
            <w:tcBorders>
              <w:top w:val="nil"/>
              <w:left w:val="nil"/>
              <w:bottom w:val="nil"/>
              <w:right w:val="nil"/>
            </w:tcBorders>
            <w:noWrap/>
            <w:vAlign w:val="center"/>
          </w:tcPr>
          <w:p w14:paraId="0ECDC124">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80.37</w:t>
            </w:r>
          </w:p>
        </w:tc>
      </w:tr>
      <w:tr w14:paraId="2EBBA391">
        <w:tblPrEx>
          <w:tblCellMar>
            <w:top w:w="0" w:type="dxa"/>
            <w:left w:w="108" w:type="dxa"/>
            <w:bottom w:w="0" w:type="dxa"/>
            <w:right w:w="108" w:type="dxa"/>
          </w:tblCellMar>
        </w:tblPrEx>
        <w:trPr>
          <w:trHeight w:val="196" w:hRule="atLeast"/>
          <w:jc w:val="center"/>
        </w:trPr>
        <w:tc>
          <w:tcPr>
            <w:tcW w:w="982" w:type="dxa"/>
            <w:tcBorders>
              <w:top w:val="nil"/>
              <w:left w:val="nil"/>
              <w:bottom w:val="nil"/>
              <w:right w:val="nil"/>
            </w:tcBorders>
            <w:noWrap/>
            <w:vAlign w:val="center"/>
          </w:tcPr>
          <w:p w14:paraId="250988E0">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B3</w:t>
            </w:r>
          </w:p>
        </w:tc>
        <w:tc>
          <w:tcPr>
            <w:tcW w:w="988" w:type="dxa"/>
            <w:tcBorders>
              <w:top w:val="nil"/>
              <w:left w:val="nil"/>
              <w:bottom w:val="nil"/>
              <w:right w:val="nil"/>
            </w:tcBorders>
            <w:noWrap/>
            <w:vAlign w:val="center"/>
          </w:tcPr>
          <w:p w14:paraId="79D4B1B8">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NCD</w:t>
            </w:r>
          </w:p>
        </w:tc>
        <w:tc>
          <w:tcPr>
            <w:tcW w:w="1045" w:type="dxa"/>
            <w:tcBorders>
              <w:top w:val="nil"/>
              <w:left w:val="nil"/>
              <w:bottom w:val="nil"/>
              <w:right w:val="nil"/>
            </w:tcBorders>
            <w:noWrap/>
            <w:vAlign w:val="center"/>
          </w:tcPr>
          <w:p w14:paraId="6FB2D075">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44.58</w:t>
            </w:r>
          </w:p>
        </w:tc>
        <w:tc>
          <w:tcPr>
            <w:tcW w:w="1105" w:type="dxa"/>
            <w:tcBorders>
              <w:top w:val="nil"/>
              <w:left w:val="nil"/>
              <w:bottom w:val="nil"/>
              <w:right w:val="nil"/>
            </w:tcBorders>
            <w:noWrap/>
            <w:vAlign w:val="center"/>
          </w:tcPr>
          <w:p w14:paraId="39F41902">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34.51</w:t>
            </w:r>
          </w:p>
        </w:tc>
        <w:tc>
          <w:tcPr>
            <w:tcW w:w="1420" w:type="dxa"/>
            <w:gridSpan w:val="2"/>
            <w:tcBorders>
              <w:top w:val="nil"/>
              <w:left w:val="nil"/>
              <w:bottom w:val="nil"/>
              <w:right w:val="nil"/>
            </w:tcBorders>
            <w:noWrap/>
            <w:vAlign w:val="center"/>
          </w:tcPr>
          <w:p w14:paraId="647028FB">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5.18</w:t>
            </w:r>
          </w:p>
        </w:tc>
        <w:tc>
          <w:tcPr>
            <w:tcW w:w="1005" w:type="dxa"/>
            <w:tcBorders>
              <w:top w:val="nil"/>
              <w:left w:val="nil"/>
              <w:bottom w:val="nil"/>
              <w:right w:val="nil"/>
            </w:tcBorders>
            <w:noWrap/>
            <w:vAlign w:val="center"/>
          </w:tcPr>
          <w:p w14:paraId="3DE11B6C">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98.64</w:t>
            </w:r>
          </w:p>
        </w:tc>
        <w:tc>
          <w:tcPr>
            <w:tcW w:w="975" w:type="dxa"/>
            <w:tcBorders>
              <w:top w:val="nil"/>
              <w:left w:val="nil"/>
              <w:bottom w:val="nil"/>
              <w:right w:val="nil"/>
            </w:tcBorders>
            <w:noWrap/>
            <w:vAlign w:val="center"/>
          </w:tcPr>
          <w:p w14:paraId="7FE5C9D5">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95.22</w:t>
            </w:r>
          </w:p>
        </w:tc>
        <w:tc>
          <w:tcPr>
            <w:tcW w:w="862" w:type="dxa"/>
            <w:tcBorders>
              <w:top w:val="nil"/>
              <w:left w:val="nil"/>
              <w:bottom w:val="nil"/>
              <w:right w:val="nil"/>
            </w:tcBorders>
            <w:noWrap/>
            <w:vAlign w:val="center"/>
          </w:tcPr>
          <w:p w14:paraId="2D7CFB26">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77.4</w:t>
            </w:r>
          </w:p>
        </w:tc>
      </w:tr>
      <w:tr w14:paraId="537A6FE0">
        <w:tblPrEx>
          <w:tblCellMar>
            <w:top w:w="0" w:type="dxa"/>
            <w:left w:w="108" w:type="dxa"/>
            <w:bottom w:w="0" w:type="dxa"/>
            <w:right w:w="108" w:type="dxa"/>
          </w:tblCellMar>
        </w:tblPrEx>
        <w:trPr>
          <w:trHeight w:val="202" w:hRule="atLeast"/>
          <w:jc w:val="center"/>
        </w:trPr>
        <w:tc>
          <w:tcPr>
            <w:tcW w:w="982" w:type="dxa"/>
            <w:tcBorders>
              <w:top w:val="nil"/>
              <w:left w:val="nil"/>
              <w:bottom w:val="single" w:color="auto" w:sz="4" w:space="0"/>
              <w:right w:val="nil"/>
            </w:tcBorders>
            <w:noWrap/>
            <w:vAlign w:val="center"/>
          </w:tcPr>
          <w:p w14:paraId="6F7EC571">
            <w:pPr>
              <w:widowControl/>
              <w:adjustRightInd w:val="0"/>
              <w:snapToGrid w:val="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B7</w:t>
            </w:r>
          </w:p>
        </w:tc>
        <w:tc>
          <w:tcPr>
            <w:tcW w:w="988" w:type="dxa"/>
            <w:tcBorders>
              <w:top w:val="nil"/>
              <w:left w:val="nil"/>
              <w:bottom w:val="single" w:color="auto" w:sz="4" w:space="0"/>
              <w:right w:val="nil"/>
            </w:tcBorders>
            <w:noWrap/>
            <w:vAlign w:val="center"/>
          </w:tcPr>
          <w:p w14:paraId="6D698319">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NCD</w:t>
            </w:r>
          </w:p>
        </w:tc>
        <w:tc>
          <w:tcPr>
            <w:tcW w:w="1045" w:type="dxa"/>
            <w:tcBorders>
              <w:top w:val="nil"/>
              <w:left w:val="nil"/>
              <w:bottom w:val="single" w:color="auto" w:sz="4" w:space="0"/>
              <w:right w:val="nil"/>
            </w:tcBorders>
            <w:noWrap/>
            <w:vAlign w:val="center"/>
          </w:tcPr>
          <w:p w14:paraId="03D74A7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41.69</w:t>
            </w:r>
          </w:p>
        </w:tc>
        <w:tc>
          <w:tcPr>
            <w:tcW w:w="1105" w:type="dxa"/>
            <w:tcBorders>
              <w:top w:val="nil"/>
              <w:left w:val="nil"/>
              <w:bottom w:val="single" w:color="auto" w:sz="4" w:space="0"/>
              <w:right w:val="nil"/>
            </w:tcBorders>
            <w:noWrap/>
            <w:vAlign w:val="center"/>
          </w:tcPr>
          <w:p w14:paraId="754FD4B2">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33.07</w:t>
            </w:r>
          </w:p>
        </w:tc>
        <w:tc>
          <w:tcPr>
            <w:tcW w:w="1420" w:type="dxa"/>
            <w:gridSpan w:val="2"/>
            <w:tcBorders>
              <w:top w:val="nil"/>
              <w:left w:val="nil"/>
              <w:bottom w:val="single" w:color="auto" w:sz="4" w:space="0"/>
              <w:right w:val="nil"/>
            </w:tcBorders>
            <w:noWrap/>
            <w:vAlign w:val="center"/>
          </w:tcPr>
          <w:p w14:paraId="129FB657">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4.96</w:t>
            </w:r>
          </w:p>
        </w:tc>
        <w:tc>
          <w:tcPr>
            <w:tcW w:w="1005" w:type="dxa"/>
            <w:tcBorders>
              <w:top w:val="nil"/>
              <w:left w:val="nil"/>
              <w:bottom w:val="single" w:color="auto" w:sz="4" w:space="0"/>
              <w:right w:val="nil"/>
            </w:tcBorders>
            <w:noWrap/>
            <w:vAlign w:val="center"/>
          </w:tcPr>
          <w:p w14:paraId="1422DCE2">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98.66</w:t>
            </w:r>
          </w:p>
        </w:tc>
        <w:tc>
          <w:tcPr>
            <w:tcW w:w="975" w:type="dxa"/>
            <w:tcBorders>
              <w:top w:val="nil"/>
              <w:left w:val="nil"/>
              <w:bottom w:val="single" w:color="auto" w:sz="4" w:space="0"/>
              <w:right w:val="nil"/>
            </w:tcBorders>
            <w:noWrap/>
            <w:vAlign w:val="center"/>
          </w:tcPr>
          <w:p w14:paraId="18808333">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95.23</w:t>
            </w:r>
          </w:p>
        </w:tc>
        <w:tc>
          <w:tcPr>
            <w:tcW w:w="862" w:type="dxa"/>
            <w:tcBorders>
              <w:top w:val="nil"/>
              <w:left w:val="nil"/>
              <w:bottom w:val="single" w:color="auto" w:sz="4" w:space="0"/>
              <w:right w:val="nil"/>
            </w:tcBorders>
            <w:noWrap/>
            <w:vAlign w:val="center"/>
          </w:tcPr>
          <w:p w14:paraId="1535FEBE">
            <w:pPr>
              <w:widowControl/>
              <w:adjustRightInd w:val="0"/>
              <w:snapToGrid w:val="0"/>
              <w:jc w:val="center"/>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79.31</w:t>
            </w:r>
          </w:p>
        </w:tc>
      </w:tr>
    </w:tbl>
    <w:p w14:paraId="1B22CEB3">
      <w:pPr>
        <w:widowControl/>
        <w:adjustRightInd w:val="0"/>
        <w:snapToGrid w:val="0"/>
        <w:rPr>
          <w:rFonts w:ascii="Times New Roman" w:hAnsi="Times New Roman" w:cs="Times New Roman"/>
          <w:b/>
          <w:sz w:val="24"/>
          <w:szCs w:val="24"/>
        </w:rPr>
        <w:sectPr>
          <w:pgSz w:w="11906" w:h="16838"/>
          <w:pgMar w:top="1440" w:right="1800" w:bottom="1440" w:left="1800" w:header="851" w:footer="992" w:gutter="0"/>
          <w:lnNumType w:countBy="1" w:restart="continuous"/>
          <w:cols w:space="425" w:num="1"/>
          <w:docGrid w:type="lines" w:linePitch="312" w:charSpace="0"/>
        </w:sectPr>
      </w:pPr>
    </w:p>
    <w:p w14:paraId="21607934">
      <w:pPr>
        <w:adjustRightInd w:val="0"/>
        <w:snapToGrid w:val="0"/>
        <w:spacing w:after="78" w:afterLines="25"/>
        <w:jc w:val="left"/>
        <w:outlineLvl w:val="1"/>
        <w:rPr>
          <w:rFonts w:ascii="Times New Roman" w:hAnsi="Times New Roman" w:cs="Times New Roman"/>
          <w:sz w:val="24"/>
        </w:rPr>
      </w:pPr>
      <w:r>
        <w:rPr>
          <w:rFonts w:hint="eastAsia" w:ascii="Times New Roman" w:hAnsi="Times New Roman" w:cs="Times New Roman"/>
          <w:b/>
          <w:bCs/>
          <w:color w:val="000000" w:themeColor="text1"/>
          <w:sz w:val="24"/>
          <w14:textFill>
            <w14:solidFill>
              <w14:schemeClr w14:val="tx1"/>
            </w14:solidFill>
          </w14:textFill>
        </w:rPr>
        <w:t>Supplementary Table 11∣</w:t>
      </w:r>
      <w:r>
        <w:rPr>
          <w:rFonts w:hint="eastAsia" w:ascii="Times New Roman" w:hAnsi="Times New Roman" w:cs="Times New Roman"/>
          <w:b/>
          <w:bCs/>
          <w:color w:val="000000"/>
          <w:kern w:val="0"/>
          <w:sz w:val="24"/>
          <w:szCs w:val="24"/>
        </w:rPr>
        <w:t>Relative abundance of SCFA-producing bacterial taxa enriched in GIVL-treated mice compared with HFD-fed mice</w:t>
      </w:r>
      <w:r>
        <w:rPr>
          <w:rFonts w:ascii="Times New Roman" w:hAnsi="Times New Roman" w:cs="Times New Roman"/>
          <w:b/>
          <w:bCs/>
          <w:sz w:val="24"/>
        </w:rPr>
        <w:t>.</w:t>
      </w:r>
    </w:p>
    <w:tbl>
      <w:tblPr>
        <w:tblStyle w:val="9"/>
        <w:tblW w:w="8330" w:type="dxa"/>
        <w:jc w:val="center"/>
        <w:tblLayout w:type="fixed"/>
        <w:tblCellMar>
          <w:top w:w="0" w:type="dxa"/>
          <w:left w:w="108" w:type="dxa"/>
          <w:bottom w:w="0" w:type="dxa"/>
          <w:right w:w="108" w:type="dxa"/>
        </w:tblCellMar>
      </w:tblPr>
      <w:tblGrid>
        <w:gridCol w:w="3828"/>
        <w:gridCol w:w="1559"/>
        <w:gridCol w:w="1276"/>
        <w:gridCol w:w="1667"/>
      </w:tblGrid>
      <w:tr w14:paraId="792C6DBE">
        <w:tblPrEx>
          <w:tblCellMar>
            <w:top w:w="0" w:type="dxa"/>
            <w:left w:w="108" w:type="dxa"/>
            <w:bottom w:w="0" w:type="dxa"/>
            <w:right w:w="108" w:type="dxa"/>
          </w:tblCellMar>
        </w:tblPrEx>
        <w:trPr>
          <w:trHeight w:val="398" w:hRule="atLeast"/>
          <w:jc w:val="center"/>
        </w:trPr>
        <w:tc>
          <w:tcPr>
            <w:tcW w:w="3828" w:type="dxa"/>
            <w:tcBorders>
              <w:top w:val="single" w:color="auto" w:sz="4" w:space="0"/>
              <w:left w:val="nil"/>
              <w:bottom w:val="single" w:color="auto" w:sz="4" w:space="0"/>
              <w:right w:val="nil"/>
            </w:tcBorders>
            <w:noWrap/>
            <w:vAlign w:val="center"/>
          </w:tcPr>
          <w:p w14:paraId="0D168102">
            <w:pPr>
              <w:widowControl/>
              <w:adjustRightInd w:val="0"/>
              <w:snapToGrid w:val="0"/>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Taxon</w:t>
            </w:r>
          </w:p>
        </w:tc>
        <w:tc>
          <w:tcPr>
            <w:tcW w:w="1559" w:type="dxa"/>
            <w:tcBorders>
              <w:top w:val="single" w:color="auto" w:sz="4" w:space="0"/>
              <w:left w:val="nil"/>
              <w:bottom w:val="single" w:color="auto" w:sz="4" w:space="0"/>
              <w:right w:val="nil"/>
            </w:tcBorders>
            <w:noWrap/>
            <w:vAlign w:val="center"/>
          </w:tcPr>
          <w:p w14:paraId="335FD749">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HFD (%)</w:t>
            </w:r>
          </w:p>
        </w:tc>
        <w:tc>
          <w:tcPr>
            <w:tcW w:w="1276" w:type="dxa"/>
            <w:tcBorders>
              <w:top w:val="single" w:color="auto" w:sz="4" w:space="0"/>
              <w:left w:val="nil"/>
              <w:bottom w:val="single" w:color="auto" w:sz="4" w:space="0"/>
              <w:right w:val="nil"/>
            </w:tcBorders>
            <w:noWrap/>
            <w:vAlign w:val="center"/>
          </w:tcPr>
          <w:p w14:paraId="7ED2CFC7">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HFD+LG (%)</w:t>
            </w:r>
          </w:p>
        </w:tc>
        <w:tc>
          <w:tcPr>
            <w:tcW w:w="1667" w:type="dxa"/>
            <w:tcBorders>
              <w:top w:val="single" w:color="auto" w:sz="4" w:space="0"/>
              <w:left w:val="nil"/>
              <w:bottom w:val="single" w:color="auto" w:sz="4" w:space="0"/>
              <w:right w:val="nil"/>
            </w:tcBorders>
            <w:noWrap/>
            <w:vAlign w:val="center"/>
          </w:tcPr>
          <w:p w14:paraId="7879F156">
            <w:pPr>
              <w:widowControl/>
              <w:adjustRightInd w:val="0"/>
              <w:snapToGrid w:val="0"/>
              <w:jc w:val="center"/>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HFD+HG (%)</w:t>
            </w:r>
          </w:p>
        </w:tc>
      </w:tr>
      <w:tr w14:paraId="691B857B">
        <w:tblPrEx>
          <w:tblCellMar>
            <w:top w:w="0" w:type="dxa"/>
            <w:left w:w="108" w:type="dxa"/>
            <w:bottom w:w="0" w:type="dxa"/>
            <w:right w:w="108" w:type="dxa"/>
          </w:tblCellMar>
        </w:tblPrEx>
        <w:trPr>
          <w:trHeight w:val="202" w:hRule="atLeast"/>
          <w:jc w:val="center"/>
        </w:trPr>
        <w:tc>
          <w:tcPr>
            <w:tcW w:w="3828" w:type="dxa"/>
            <w:tcBorders>
              <w:top w:val="single" w:color="auto" w:sz="4" w:space="0"/>
              <w:left w:val="nil"/>
              <w:bottom w:val="nil"/>
              <w:right w:val="nil"/>
            </w:tcBorders>
            <w:noWrap/>
            <w:vAlign w:val="center"/>
          </w:tcPr>
          <w:p w14:paraId="387B1BD1">
            <w:pPr>
              <w:widowControl/>
              <w:adjustRightInd w:val="0"/>
              <w:snapToGrid w:val="0"/>
              <w:jc w:val="left"/>
              <w:textAlignment w:val="center"/>
              <w:rPr>
                <w:rFonts w:ascii="Times New Roman" w:hAnsi="Times New Roman" w:eastAsia="宋体" w:cs="Times New Roman"/>
                <w:color w:val="000000"/>
                <w:sz w:val="24"/>
                <w:szCs w:val="24"/>
              </w:rPr>
            </w:pPr>
            <w:r>
              <w:rPr>
                <w:rStyle w:val="12"/>
                <w:rFonts w:hint="eastAsia" w:ascii="Times New Roman" w:hAnsi="Times New Roman" w:eastAsia="Segoe UI" w:cs="Times New Roman"/>
                <w:b w:val="0"/>
                <w:color w:val="000000" w:themeColor="text1"/>
                <w:kern w:val="0"/>
                <w:sz w:val="24"/>
                <w:szCs w:val="24"/>
                <w:lang w:bidi="ar"/>
                <w14:textFill>
                  <w14:solidFill>
                    <w14:schemeClr w14:val="tx1"/>
                  </w14:solidFill>
                </w14:textFill>
              </w:rPr>
              <w:t>Lachnospiraceae</w:t>
            </w:r>
            <w:r>
              <w:rPr>
                <w:rStyle w:val="12"/>
                <w:rFonts w:hint="eastAsia" w:ascii="Times New Roman" w:hAnsi="Times New Roman" w:eastAsia="宋体" w:cs="Times New Roman"/>
                <w:b w:val="0"/>
                <w:color w:val="000000" w:themeColor="text1"/>
                <w:kern w:val="0"/>
                <w:sz w:val="24"/>
                <w:szCs w:val="24"/>
                <w:lang w:bidi="ar"/>
                <w14:textFill>
                  <w14:solidFill>
                    <w14:schemeClr w14:val="tx1"/>
                  </w14:solidFill>
                </w14:textFill>
              </w:rPr>
              <w:t xml:space="preserve"> </w:t>
            </w:r>
            <w:r>
              <w:rPr>
                <w:rStyle w:val="12"/>
                <w:rFonts w:hint="eastAsia" w:ascii="Times New Roman" w:hAnsi="Times New Roman" w:eastAsia="Segoe UI" w:cs="Times New Roman"/>
                <w:b w:val="0"/>
                <w:color w:val="000000" w:themeColor="text1"/>
                <w:kern w:val="0"/>
                <w:sz w:val="24"/>
                <w:szCs w:val="24"/>
                <w:lang w:bidi="ar"/>
                <w14:textFill>
                  <w14:solidFill>
                    <w14:schemeClr w14:val="tx1"/>
                  </w14:solidFill>
                </w14:textFill>
              </w:rPr>
              <w:t>bacterium</w:t>
            </w:r>
          </w:p>
        </w:tc>
        <w:tc>
          <w:tcPr>
            <w:tcW w:w="1559" w:type="dxa"/>
            <w:tcBorders>
              <w:top w:val="single" w:color="auto" w:sz="4" w:space="0"/>
              <w:left w:val="nil"/>
              <w:bottom w:val="nil"/>
              <w:right w:val="nil"/>
            </w:tcBorders>
            <w:noWrap/>
            <w:vAlign w:val="center"/>
          </w:tcPr>
          <w:p w14:paraId="65E6FC43">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0.44</w:t>
            </w:r>
          </w:p>
        </w:tc>
        <w:tc>
          <w:tcPr>
            <w:tcW w:w="1276" w:type="dxa"/>
            <w:tcBorders>
              <w:top w:val="single" w:color="auto" w:sz="4" w:space="0"/>
              <w:left w:val="nil"/>
              <w:bottom w:val="nil"/>
              <w:right w:val="nil"/>
            </w:tcBorders>
            <w:noWrap/>
            <w:vAlign w:val="center"/>
          </w:tcPr>
          <w:p w14:paraId="69688049">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0.94</w:t>
            </w:r>
          </w:p>
        </w:tc>
        <w:tc>
          <w:tcPr>
            <w:tcW w:w="1667" w:type="dxa"/>
            <w:tcBorders>
              <w:top w:val="single" w:color="auto" w:sz="4" w:space="0"/>
              <w:left w:val="nil"/>
              <w:bottom w:val="nil"/>
              <w:right w:val="nil"/>
            </w:tcBorders>
            <w:noWrap/>
            <w:vAlign w:val="center"/>
          </w:tcPr>
          <w:p w14:paraId="690E6A93">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2.24</w:t>
            </w:r>
          </w:p>
        </w:tc>
      </w:tr>
      <w:tr w14:paraId="3949CDA6">
        <w:tblPrEx>
          <w:tblCellMar>
            <w:top w:w="0" w:type="dxa"/>
            <w:left w:w="108" w:type="dxa"/>
            <w:bottom w:w="0" w:type="dxa"/>
            <w:right w:w="108" w:type="dxa"/>
          </w:tblCellMar>
        </w:tblPrEx>
        <w:trPr>
          <w:trHeight w:val="196" w:hRule="atLeast"/>
          <w:jc w:val="center"/>
        </w:trPr>
        <w:tc>
          <w:tcPr>
            <w:tcW w:w="3828" w:type="dxa"/>
            <w:tcBorders>
              <w:top w:val="nil"/>
              <w:left w:val="nil"/>
              <w:bottom w:val="nil"/>
              <w:right w:val="nil"/>
            </w:tcBorders>
            <w:noWrap/>
            <w:vAlign w:val="center"/>
          </w:tcPr>
          <w:p w14:paraId="5FDCB817">
            <w:pPr>
              <w:widowControl/>
              <w:adjustRightInd w:val="0"/>
              <w:snapToGrid w:val="0"/>
              <w:jc w:val="left"/>
              <w:textAlignment w:val="center"/>
              <w:rPr>
                <w:rFonts w:ascii="Times New Roman" w:hAnsi="Times New Roman" w:eastAsia="宋体" w:cs="Times New Roman"/>
                <w:color w:val="000000"/>
                <w:sz w:val="24"/>
                <w:szCs w:val="24"/>
              </w:rPr>
            </w:pPr>
            <w:r>
              <w:rPr>
                <w:rStyle w:val="12"/>
                <w:rFonts w:ascii="Times New Roman" w:hAnsi="Times New Roman" w:eastAsia="Segoe UI" w:cs="Times New Roman"/>
                <w:b w:val="0"/>
                <w:i/>
                <w:iCs/>
                <w:color w:val="000000" w:themeColor="text1"/>
                <w:kern w:val="0"/>
                <w:sz w:val="24"/>
                <w:szCs w:val="24"/>
                <w:lang w:bidi="ar"/>
                <w14:textFill>
                  <w14:solidFill>
                    <w14:schemeClr w14:val="tx1"/>
                  </w14:solidFill>
                </w14:textFill>
              </w:rPr>
              <w:t>Bifidobacterium pseudolongum</w:t>
            </w:r>
          </w:p>
        </w:tc>
        <w:tc>
          <w:tcPr>
            <w:tcW w:w="1559" w:type="dxa"/>
            <w:tcBorders>
              <w:top w:val="nil"/>
              <w:left w:val="nil"/>
              <w:bottom w:val="nil"/>
              <w:right w:val="nil"/>
            </w:tcBorders>
            <w:noWrap/>
            <w:vAlign w:val="center"/>
          </w:tcPr>
          <w:p w14:paraId="318F4696">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5.97</w:t>
            </w:r>
          </w:p>
        </w:tc>
        <w:tc>
          <w:tcPr>
            <w:tcW w:w="1276" w:type="dxa"/>
            <w:tcBorders>
              <w:top w:val="nil"/>
              <w:left w:val="nil"/>
              <w:bottom w:val="nil"/>
              <w:right w:val="nil"/>
            </w:tcBorders>
            <w:noWrap/>
            <w:vAlign w:val="center"/>
          </w:tcPr>
          <w:p w14:paraId="6093C879">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5.84</w:t>
            </w:r>
          </w:p>
        </w:tc>
        <w:tc>
          <w:tcPr>
            <w:tcW w:w="1667" w:type="dxa"/>
            <w:tcBorders>
              <w:top w:val="nil"/>
              <w:left w:val="nil"/>
              <w:bottom w:val="nil"/>
              <w:right w:val="nil"/>
            </w:tcBorders>
            <w:noWrap/>
            <w:vAlign w:val="center"/>
          </w:tcPr>
          <w:p w14:paraId="207EBDF3">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8.96</w:t>
            </w:r>
          </w:p>
        </w:tc>
      </w:tr>
      <w:tr w14:paraId="318CBD13">
        <w:tblPrEx>
          <w:tblCellMar>
            <w:top w:w="0" w:type="dxa"/>
            <w:left w:w="108" w:type="dxa"/>
            <w:bottom w:w="0" w:type="dxa"/>
            <w:right w:w="108" w:type="dxa"/>
          </w:tblCellMar>
        </w:tblPrEx>
        <w:trPr>
          <w:trHeight w:val="196" w:hRule="atLeast"/>
          <w:jc w:val="center"/>
        </w:trPr>
        <w:tc>
          <w:tcPr>
            <w:tcW w:w="3828" w:type="dxa"/>
            <w:tcBorders>
              <w:top w:val="nil"/>
              <w:left w:val="nil"/>
              <w:bottom w:val="nil"/>
              <w:right w:val="nil"/>
            </w:tcBorders>
            <w:noWrap/>
            <w:vAlign w:val="center"/>
          </w:tcPr>
          <w:p w14:paraId="5F631FE3">
            <w:pPr>
              <w:widowControl/>
              <w:adjustRightInd w:val="0"/>
              <w:snapToGrid w:val="0"/>
              <w:jc w:val="left"/>
              <w:textAlignment w:val="center"/>
              <w:rPr>
                <w:rFonts w:ascii="Times New Roman" w:hAnsi="Times New Roman" w:eastAsia="宋体" w:cs="Times New Roman"/>
                <w:color w:val="000000"/>
                <w:sz w:val="24"/>
                <w:szCs w:val="24"/>
              </w:rPr>
            </w:pPr>
            <w:r>
              <w:rPr>
                <w:rStyle w:val="12"/>
                <w:rFonts w:ascii="Times New Roman" w:hAnsi="Times New Roman" w:eastAsia="Segoe UI" w:cs="Times New Roman"/>
                <w:b w:val="0"/>
                <w:i/>
                <w:iCs/>
                <w:color w:val="000000" w:themeColor="text1"/>
                <w:kern w:val="0"/>
                <w:sz w:val="24"/>
                <w:szCs w:val="24"/>
                <w:lang w:bidi="ar"/>
                <w14:textFill>
                  <w14:solidFill>
                    <w14:schemeClr w14:val="tx1"/>
                  </w14:solidFill>
                </w14:textFill>
              </w:rPr>
              <w:t>Limosilactobacillus reuteri</w:t>
            </w:r>
          </w:p>
        </w:tc>
        <w:tc>
          <w:tcPr>
            <w:tcW w:w="1559" w:type="dxa"/>
            <w:tcBorders>
              <w:top w:val="nil"/>
              <w:left w:val="nil"/>
              <w:bottom w:val="nil"/>
              <w:right w:val="nil"/>
            </w:tcBorders>
            <w:noWrap/>
            <w:vAlign w:val="center"/>
          </w:tcPr>
          <w:p w14:paraId="78CB2559">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0.08</w:t>
            </w:r>
          </w:p>
        </w:tc>
        <w:tc>
          <w:tcPr>
            <w:tcW w:w="1276" w:type="dxa"/>
            <w:tcBorders>
              <w:top w:val="nil"/>
              <w:left w:val="nil"/>
              <w:bottom w:val="nil"/>
              <w:right w:val="nil"/>
            </w:tcBorders>
            <w:noWrap/>
            <w:vAlign w:val="center"/>
          </w:tcPr>
          <w:p w14:paraId="2464B807">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0.08</w:t>
            </w:r>
          </w:p>
        </w:tc>
        <w:tc>
          <w:tcPr>
            <w:tcW w:w="1667" w:type="dxa"/>
            <w:tcBorders>
              <w:top w:val="nil"/>
              <w:left w:val="nil"/>
              <w:bottom w:val="nil"/>
              <w:right w:val="nil"/>
            </w:tcBorders>
            <w:noWrap/>
            <w:vAlign w:val="center"/>
          </w:tcPr>
          <w:p w14:paraId="46F49F36">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0.48</w:t>
            </w:r>
          </w:p>
        </w:tc>
      </w:tr>
      <w:tr w14:paraId="739AFFB5">
        <w:tblPrEx>
          <w:tblCellMar>
            <w:top w:w="0" w:type="dxa"/>
            <w:left w:w="108" w:type="dxa"/>
            <w:bottom w:w="0" w:type="dxa"/>
            <w:right w:w="108" w:type="dxa"/>
          </w:tblCellMar>
        </w:tblPrEx>
        <w:trPr>
          <w:trHeight w:val="196" w:hRule="atLeast"/>
          <w:jc w:val="center"/>
        </w:trPr>
        <w:tc>
          <w:tcPr>
            <w:tcW w:w="3828" w:type="dxa"/>
            <w:tcBorders>
              <w:top w:val="nil"/>
              <w:left w:val="nil"/>
              <w:bottom w:val="nil"/>
              <w:right w:val="nil"/>
            </w:tcBorders>
            <w:noWrap/>
            <w:vAlign w:val="center"/>
          </w:tcPr>
          <w:p w14:paraId="7F3E4F4D">
            <w:pPr>
              <w:widowControl/>
              <w:adjustRightInd w:val="0"/>
              <w:snapToGrid w:val="0"/>
              <w:jc w:val="left"/>
              <w:textAlignment w:val="center"/>
              <w:rPr>
                <w:rFonts w:ascii="Times New Roman" w:hAnsi="Times New Roman" w:eastAsia="宋体" w:cs="Times New Roman"/>
                <w:color w:val="000000"/>
                <w:sz w:val="24"/>
                <w:szCs w:val="24"/>
              </w:rPr>
            </w:pPr>
            <w:r>
              <w:rPr>
                <w:rStyle w:val="12"/>
                <w:rFonts w:ascii="Times New Roman" w:hAnsi="Times New Roman" w:eastAsia="Segoe UI" w:cs="Times New Roman"/>
                <w:b w:val="0"/>
                <w:i/>
                <w:iCs/>
                <w:color w:val="000000" w:themeColor="text1"/>
                <w:kern w:val="0"/>
                <w:sz w:val="24"/>
                <w:szCs w:val="24"/>
                <w:lang w:bidi="ar"/>
                <w14:textFill>
                  <w14:solidFill>
                    <w14:schemeClr w14:val="tx1"/>
                  </w14:solidFill>
                </w14:textFill>
              </w:rPr>
              <w:t>Lactobacillus johnsonii</w:t>
            </w:r>
          </w:p>
        </w:tc>
        <w:tc>
          <w:tcPr>
            <w:tcW w:w="1559" w:type="dxa"/>
            <w:tcBorders>
              <w:top w:val="nil"/>
              <w:left w:val="nil"/>
              <w:bottom w:val="nil"/>
              <w:right w:val="nil"/>
            </w:tcBorders>
            <w:noWrap/>
            <w:vAlign w:val="center"/>
          </w:tcPr>
          <w:p w14:paraId="14752F2B">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0.17</w:t>
            </w:r>
          </w:p>
        </w:tc>
        <w:tc>
          <w:tcPr>
            <w:tcW w:w="1276" w:type="dxa"/>
            <w:tcBorders>
              <w:top w:val="nil"/>
              <w:left w:val="nil"/>
              <w:bottom w:val="nil"/>
              <w:right w:val="nil"/>
            </w:tcBorders>
            <w:noWrap/>
            <w:vAlign w:val="center"/>
          </w:tcPr>
          <w:p w14:paraId="6E9F3133">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0.19</w:t>
            </w:r>
          </w:p>
        </w:tc>
        <w:tc>
          <w:tcPr>
            <w:tcW w:w="1667" w:type="dxa"/>
            <w:tcBorders>
              <w:top w:val="nil"/>
              <w:left w:val="nil"/>
              <w:bottom w:val="nil"/>
              <w:right w:val="nil"/>
            </w:tcBorders>
            <w:noWrap/>
            <w:vAlign w:val="center"/>
          </w:tcPr>
          <w:p w14:paraId="6C2F74A6">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0.43</w:t>
            </w:r>
          </w:p>
        </w:tc>
      </w:tr>
      <w:tr w14:paraId="3DE706EB">
        <w:tblPrEx>
          <w:tblCellMar>
            <w:top w:w="0" w:type="dxa"/>
            <w:left w:w="108" w:type="dxa"/>
            <w:bottom w:w="0" w:type="dxa"/>
            <w:right w:w="108" w:type="dxa"/>
          </w:tblCellMar>
        </w:tblPrEx>
        <w:trPr>
          <w:trHeight w:val="202" w:hRule="atLeast"/>
          <w:jc w:val="center"/>
        </w:trPr>
        <w:tc>
          <w:tcPr>
            <w:tcW w:w="3828" w:type="dxa"/>
            <w:tcBorders>
              <w:top w:val="nil"/>
              <w:left w:val="nil"/>
              <w:bottom w:val="single" w:color="auto" w:sz="4" w:space="0"/>
              <w:right w:val="nil"/>
            </w:tcBorders>
            <w:noWrap/>
            <w:vAlign w:val="center"/>
          </w:tcPr>
          <w:p w14:paraId="1C50C941">
            <w:pPr>
              <w:widowControl/>
              <w:adjustRightInd w:val="0"/>
              <w:snapToGrid w:val="0"/>
              <w:jc w:val="left"/>
              <w:textAlignment w:val="center"/>
              <w:rPr>
                <w:rFonts w:ascii="Times New Roman" w:hAnsi="Times New Roman" w:eastAsia="宋体" w:cs="Times New Roman"/>
                <w:color w:val="000000"/>
                <w:sz w:val="24"/>
                <w:szCs w:val="24"/>
              </w:rPr>
            </w:pPr>
            <w:r>
              <w:rPr>
                <w:rStyle w:val="12"/>
                <w:rFonts w:ascii="Times New Roman" w:hAnsi="Times New Roman" w:eastAsia="Segoe UI" w:cs="Times New Roman"/>
                <w:b w:val="0"/>
                <w:i/>
                <w:iCs/>
                <w:color w:val="000000" w:themeColor="text1"/>
                <w:kern w:val="0"/>
                <w:sz w:val="24"/>
                <w:szCs w:val="24"/>
                <w:lang w:bidi="ar"/>
                <w14:textFill>
                  <w14:solidFill>
                    <w14:schemeClr w14:val="tx1"/>
                  </w14:solidFill>
                </w14:textFill>
              </w:rPr>
              <w:t>Lactobacillus taiwanensis</w:t>
            </w:r>
          </w:p>
        </w:tc>
        <w:tc>
          <w:tcPr>
            <w:tcW w:w="1559" w:type="dxa"/>
            <w:tcBorders>
              <w:top w:val="nil"/>
              <w:left w:val="nil"/>
              <w:bottom w:val="single" w:color="auto" w:sz="4" w:space="0"/>
              <w:right w:val="nil"/>
            </w:tcBorders>
            <w:noWrap/>
            <w:vAlign w:val="center"/>
          </w:tcPr>
          <w:p w14:paraId="624577E3">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0.04</w:t>
            </w:r>
          </w:p>
        </w:tc>
        <w:tc>
          <w:tcPr>
            <w:tcW w:w="1276" w:type="dxa"/>
            <w:tcBorders>
              <w:top w:val="nil"/>
              <w:left w:val="nil"/>
              <w:bottom w:val="single" w:color="auto" w:sz="4" w:space="0"/>
              <w:right w:val="nil"/>
            </w:tcBorders>
            <w:noWrap/>
            <w:vAlign w:val="center"/>
          </w:tcPr>
          <w:p w14:paraId="1E151EED">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0.04</w:t>
            </w:r>
          </w:p>
        </w:tc>
        <w:tc>
          <w:tcPr>
            <w:tcW w:w="1667" w:type="dxa"/>
            <w:tcBorders>
              <w:top w:val="nil"/>
              <w:left w:val="nil"/>
              <w:bottom w:val="single" w:color="auto" w:sz="4" w:space="0"/>
              <w:right w:val="nil"/>
            </w:tcBorders>
            <w:noWrap/>
            <w:vAlign w:val="center"/>
          </w:tcPr>
          <w:p w14:paraId="2B502D4F">
            <w:pPr>
              <w:widowControl/>
              <w:adjustRightInd w:val="0"/>
              <w:snapToGrid w:val="0"/>
              <w:jc w:val="center"/>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kern w:val="0"/>
                <w:sz w:val="24"/>
                <w:szCs w:val="24"/>
                <w:lang w:bidi="ar"/>
              </w:rPr>
              <w:t>0.22</w:t>
            </w:r>
          </w:p>
        </w:tc>
      </w:tr>
    </w:tbl>
    <w:p w14:paraId="63012954">
      <w:pPr>
        <w:adjustRightInd w:val="0"/>
        <w:snapToGrid w:val="0"/>
        <w:spacing w:after="78" w:afterLines="25"/>
        <w:contextualSpacing/>
        <w:jc w:val="left"/>
        <w:outlineLvl w:val="1"/>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3E9B720D">
      <w:pPr>
        <w:adjustRightInd w:val="0"/>
        <w:snapToGrid w:val="0"/>
        <w:spacing w:after="78" w:afterLines="25"/>
        <w:contextualSpacing/>
        <w:jc w:val="left"/>
        <w:outlineLvl w:val="1"/>
        <w:rPr>
          <w:rFonts w:ascii="Times New Roman" w:hAnsi="Times New Roman" w:cs="Times New Roman"/>
          <w:b/>
          <w:bCs/>
          <w:i/>
          <w:iCs/>
          <w:sz w:val="24"/>
        </w:rPr>
      </w:pPr>
      <w:r>
        <w:rPr>
          <w:rFonts w:hint="eastAsia" w:ascii="Times New Roman" w:hAnsi="Times New Roman" w:cs="Times New Roman"/>
          <w:b/>
          <w:bCs/>
          <w:color w:val="000000" w:themeColor="text1"/>
          <w:sz w:val="24"/>
          <w14:textFill>
            <w14:solidFill>
              <w14:schemeClr w14:val="tx1"/>
            </w14:solidFill>
          </w14:textFill>
        </w:rPr>
        <w:t>Supplementary Table 12∣</w:t>
      </w:r>
      <w:r>
        <w:rPr>
          <w:rFonts w:ascii="Times New Roman" w:hAnsi="Times New Roman" w:cs="Times New Roman"/>
          <w:b/>
          <w:bCs/>
          <w:sz w:val="24"/>
        </w:rPr>
        <w:t xml:space="preserve">The gene encoding for </w:t>
      </w:r>
      <w:r>
        <w:rPr>
          <w:rFonts w:ascii="Times New Roman" w:hAnsi="Times New Roman" w:cs="Times New Roman"/>
          <w:b/>
          <w:bCs/>
          <w:i/>
          <w:iCs/>
          <w:sz w:val="24"/>
        </w:rPr>
        <w:t>agrBD</w:t>
      </w:r>
      <w:r>
        <w:rPr>
          <w:rFonts w:ascii="Times New Roman" w:hAnsi="Times New Roman" w:cs="Times New Roman"/>
          <w:b/>
          <w:bCs/>
          <w:sz w:val="24"/>
        </w:rPr>
        <w:t xml:space="preserve"> in </w:t>
      </w:r>
      <w:r>
        <w:rPr>
          <w:rFonts w:ascii="Times New Roman" w:hAnsi="Times New Roman" w:cs="Times New Roman"/>
          <w:b/>
          <w:bCs/>
          <w:i/>
          <w:iCs/>
          <w:sz w:val="24"/>
        </w:rPr>
        <w:t>C. tyrobutyricum</w:t>
      </w:r>
      <w:r>
        <w:rPr>
          <w:rFonts w:ascii="Times New Roman" w:hAnsi="Times New Roman" w:cs="Times New Roman"/>
          <w:b/>
          <w:bCs/>
          <w:sz w:val="24"/>
        </w:rPr>
        <w:t>.</w:t>
      </w:r>
    </w:p>
    <w:tbl>
      <w:tblPr>
        <w:tblStyle w:val="9"/>
        <w:tblW w:w="4883" w:type="pct"/>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36"/>
        <w:gridCol w:w="1746"/>
        <w:gridCol w:w="4541"/>
      </w:tblGrid>
      <w:tr w14:paraId="07FED15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23" w:type="pct"/>
            <w:tcBorders>
              <w:top w:val="single" w:color="000000" w:sz="8" w:space="0"/>
              <w:left w:val="nil"/>
              <w:bottom w:val="single" w:color="000000" w:sz="8" w:space="0"/>
              <w:right w:val="nil"/>
            </w:tcBorders>
          </w:tcPr>
          <w:p w14:paraId="6C734432">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Strains/Plasmids</w:t>
            </w:r>
          </w:p>
        </w:tc>
        <w:tc>
          <w:tcPr>
            <w:tcW w:w="1049" w:type="pct"/>
            <w:tcBorders>
              <w:top w:val="single" w:color="000000" w:sz="8" w:space="0"/>
              <w:bottom w:val="single" w:color="000000" w:sz="8" w:space="0"/>
              <w:right w:val="nil"/>
            </w:tcBorders>
          </w:tcPr>
          <w:p w14:paraId="1D0C2C73">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Genes</w:t>
            </w:r>
          </w:p>
        </w:tc>
        <w:tc>
          <w:tcPr>
            <w:tcW w:w="2728" w:type="pct"/>
            <w:tcBorders>
              <w:top w:val="single" w:color="000000" w:sz="8" w:space="0"/>
              <w:bottom w:val="single" w:color="000000" w:sz="8" w:space="0"/>
              <w:right w:val="nil"/>
            </w:tcBorders>
          </w:tcPr>
          <w:p w14:paraId="7711FC09">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Proteins</w:t>
            </w:r>
          </w:p>
        </w:tc>
      </w:tr>
      <w:tr w14:paraId="08F7A7B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jc w:val="center"/>
        </w:trPr>
        <w:tc>
          <w:tcPr>
            <w:tcW w:w="1223" w:type="pct"/>
            <w:vMerge w:val="restart"/>
            <w:shd w:val="clear" w:color="auto" w:fill="FFFFFF"/>
          </w:tcPr>
          <w:p w14:paraId="55B0E791">
            <w:pPr>
              <w:adjustRightInd w:val="0"/>
              <w:snapToGrid w:val="0"/>
              <w:contextualSpacing/>
              <w:rPr>
                <w:rFonts w:ascii="Times New Roman" w:hAnsi="Times New Roman" w:cs="Times New Roman"/>
                <w:bCs/>
                <w:color w:val="000000"/>
                <w:sz w:val="24"/>
                <w:szCs w:val="21"/>
              </w:rPr>
            </w:pPr>
            <w:r>
              <w:rPr>
                <w:rFonts w:ascii="Times New Roman" w:hAnsi="Times New Roman" w:cs="Times New Roman"/>
                <w:i/>
                <w:iCs/>
                <w:color w:val="000000"/>
                <w:sz w:val="24"/>
              </w:rPr>
              <w:t>C. tyrobutyricum</w:t>
            </w:r>
          </w:p>
        </w:tc>
        <w:tc>
          <w:tcPr>
            <w:tcW w:w="1049" w:type="pct"/>
            <w:tcBorders>
              <w:bottom w:val="single" w:color="auto" w:sz="4" w:space="0"/>
            </w:tcBorders>
            <w:shd w:val="clear" w:color="auto" w:fill="FFFFFF"/>
          </w:tcPr>
          <w:p w14:paraId="7EB08907">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CTK_C12140</w:t>
            </w:r>
          </w:p>
        </w:tc>
        <w:tc>
          <w:tcPr>
            <w:tcW w:w="2728" w:type="pct"/>
            <w:tcBorders>
              <w:bottom w:val="single" w:color="auto" w:sz="4" w:space="0"/>
            </w:tcBorders>
            <w:shd w:val="clear" w:color="auto" w:fill="FFFFFF"/>
          </w:tcPr>
          <w:p w14:paraId="5585CC33">
            <w:pPr>
              <w:adjustRightInd w:val="0"/>
              <w:snapToGrid w:val="0"/>
              <w:contextualSpacing/>
              <w:rPr>
                <w:rFonts w:ascii="Times New Roman" w:hAnsi="Times New Roman" w:cs="Times New Roman"/>
                <w:bCs/>
                <w:color w:val="000000"/>
                <w:sz w:val="24"/>
                <w:szCs w:val="21"/>
              </w:rPr>
            </w:pPr>
            <w:r>
              <w:rPr>
                <w:rFonts w:ascii="Times New Roman" w:hAnsi="Times New Roman" w:cs="Times New Roman"/>
                <w:bCs/>
                <w:color w:val="000000"/>
                <w:sz w:val="24"/>
                <w:szCs w:val="21"/>
              </w:rPr>
              <w:t>Cyclic lactone autoinducer peptide</w:t>
            </w:r>
          </w:p>
        </w:tc>
      </w:tr>
      <w:tr w14:paraId="782AE71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1223" w:type="pct"/>
            <w:vMerge w:val="continue"/>
            <w:shd w:val="clear" w:color="auto" w:fill="FFFFFF"/>
          </w:tcPr>
          <w:p w14:paraId="1FE982CD">
            <w:pPr>
              <w:adjustRightInd w:val="0"/>
              <w:snapToGrid w:val="0"/>
              <w:ind w:left="29" w:leftChars="14"/>
              <w:contextualSpacing/>
              <w:rPr>
                <w:rFonts w:ascii="Times New Roman" w:hAnsi="Times New Roman" w:cs="Times New Roman"/>
                <w:b/>
                <w:bCs/>
                <w:color w:val="000000"/>
                <w:sz w:val="24"/>
                <w:szCs w:val="21"/>
              </w:rPr>
            </w:pPr>
          </w:p>
        </w:tc>
        <w:tc>
          <w:tcPr>
            <w:tcW w:w="1049" w:type="pct"/>
            <w:tcBorders>
              <w:top w:val="single" w:color="auto" w:sz="4" w:space="0"/>
              <w:bottom w:val="single" w:color="auto" w:sz="4" w:space="0"/>
            </w:tcBorders>
            <w:shd w:val="clear" w:color="auto" w:fill="FFFFFF"/>
          </w:tcPr>
          <w:p w14:paraId="5C4BC737">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CTK_C12160</w:t>
            </w:r>
          </w:p>
        </w:tc>
        <w:tc>
          <w:tcPr>
            <w:tcW w:w="2728" w:type="pct"/>
            <w:tcBorders>
              <w:top w:val="single" w:color="auto" w:sz="4" w:space="0"/>
              <w:bottom w:val="single" w:color="auto" w:sz="4" w:space="0"/>
            </w:tcBorders>
            <w:shd w:val="clear" w:color="auto" w:fill="FFFFFF"/>
          </w:tcPr>
          <w:p w14:paraId="62267387">
            <w:pPr>
              <w:adjustRightInd w:val="0"/>
              <w:snapToGrid w:val="0"/>
              <w:contextualSpacing/>
              <w:rPr>
                <w:rFonts w:ascii="Times New Roman" w:hAnsi="Times New Roman" w:cs="Times New Roman"/>
                <w:bCs/>
                <w:color w:val="000000"/>
                <w:sz w:val="24"/>
                <w:szCs w:val="21"/>
              </w:rPr>
            </w:pPr>
            <w:r>
              <w:rPr>
                <w:rFonts w:ascii="Times New Roman" w:hAnsi="Times New Roman" w:cs="Times New Roman"/>
                <w:bCs/>
                <w:color w:val="000000"/>
                <w:sz w:val="24"/>
                <w:szCs w:val="21"/>
              </w:rPr>
              <w:t>Accessory gene regulator B family protein</w:t>
            </w:r>
          </w:p>
        </w:tc>
      </w:tr>
    </w:tbl>
    <w:p w14:paraId="20F16B60">
      <w:pPr>
        <w:adjustRightInd w:val="0"/>
        <w:snapToGrid w:val="0"/>
        <w:contextualSpacing/>
        <w:rPr>
          <w:rFonts w:ascii="Times New Roman" w:hAnsi="Times New Roman" w:cs="Times New Roman"/>
          <w:b/>
          <w:bCs/>
          <w:sz w:val="24"/>
        </w:rPr>
      </w:pPr>
      <w:r>
        <w:rPr>
          <w:rFonts w:ascii="Times New Roman" w:hAnsi="Times New Roman" w:cs="Times New Roman"/>
          <w:sz w:val="24"/>
        </w:rPr>
        <w:t xml:space="preserve">The responsible </w:t>
      </w:r>
      <w:r>
        <w:rPr>
          <w:rFonts w:ascii="Times New Roman" w:hAnsi="Times New Roman" w:cs="Times New Roman"/>
          <w:i/>
          <w:iCs/>
          <w:sz w:val="24"/>
        </w:rPr>
        <w:t>agrBD</w:t>
      </w:r>
      <w:r>
        <w:rPr>
          <w:rFonts w:ascii="Times New Roman" w:hAnsi="Times New Roman" w:cs="Times New Roman"/>
          <w:sz w:val="24"/>
        </w:rPr>
        <w:t xml:space="preserve"> genes were predicted from the </w:t>
      </w:r>
      <w:r>
        <w:rPr>
          <w:rFonts w:ascii="Times New Roman" w:hAnsi="Times New Roman" w:cs="Times New Roman"/>
          <w:i/>
          <w:iCs/>
          <w:sz w:val="24"/>
        </w:rPr>
        <w:t>C. tyrobutyricum</w:t>
      </w:r>
      <w:r>
        <w:rPr>
          <w:rFonts w:ascii="Times New Roman" w:hAnsi="Times New Roman" w:cs="Times New Roman"/>
          <w:sz w:val="24"/>
        </w:rPr>
        <w:t xml:space="preserve"> genome by comparing other gram-positive bacteria's </w:t>
      </w:r>
      <w:r>
        <w:rPr>
          <w:rFonts w:ascii="Times New Roman" w:hAnsi="Times New Roman" w:cs="Times New Roman"/>
          <w:i/>
          <w:iCs/>
          <w:sz w:val="24"/>
        </w:rPr>
        <w:t>agrBD</w:t>
      </w:r>
      <w:r>
        <w:rPr>
          <w:rFonts w:ascii="Times New Roman" w:hAnsi="Times New Roman" w:cs="Times New Roman"/>
          <w:sz w:val="24"/>
        </w:rPr>
        <w:t xml:space="preserve"> genes. </w:t>
      </w:r>
    </w:p>
    <w:p w14:paraId="68B116EB">
      <w:pPr>
        <w:adjustRightInd w:val="0"/>
        <w:snapToGrid w:val="0"/>
        <w:spacing w:after="78" w:afterLines="25"/>
        <w:jc w:val="left"/>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6CC9156D">
      <w:pPr>
        <w:adjustRightInd w:val="0"/>
        <w:snapToGrid w:val="0"/>
        <w:spacing w:after="78" w:afterLines="25"/>
        <w:jc w:val="left"/>
        <w:rPr>
          <w:rFonts w:ascii="Times New Roman" w:hAnsi="Times New Roman" w:cs="Times New Roman"/>
          <w:b/>
          <w:bCs/>
          <w:sz w:val="24"/>
        </w:rPr>
      </w:pPr>
    </w:p>
    <w:p w14:paraId="7947F18D">
      <w:pPr>
        <w:adjustRightInd w:val="0"/>
        <w:snapToGrid w:val="0"/>
        <w:spacing w:after="78" w:afterLines="25" w:line="360" w:lineRule="auto"/>
        <w:contextualSpacing/>
        <w:jc w:val="left"/>
        <w:outlineLvl w:val="1"/>
        <w:rPr>
          <w:rFonts w:ascii="Times New Roman" w:hAnsi="Times New Roman" w:cs="Times New Roman"/>
          <w:b/>
          <w:bCs/>
          <w:sz w:val="24"/>
        </w:rPr>
      </w:pPr>
      <w:r>
        <w:rPr>
          <w:rFonts w:hint="eastAsia" w:ascii="Times New Roman" w:hAnsi="Times New Roman" w:cs="Times New Roman"/>
          <w:b/>
          <w:bCs/>
          <w:color w:val="000000" w:themeColor="text1"/>
          <w:sz w:val="24"/>
          <w14:textFill>
            <w14:solidFill>
              <w14:schemeClr w14:val="tx1"/>
            </w14:solidFill>
          </w14:textFill>
        </w:rPr>
        <w:t>Supplementary Table 13∣</w:t>
      </w:r>
      <w:r>
        <w:rPr>
          <w:rFonts w:ascii="Times New Roman" w:hAnsi="Times New Roman" w:cs="Times New Roman"/>
          <w:b/>
          <w:bCs/>
          <w:sz w:val="24"/>
        </w:rPr>
        <w:t>Bacterial plasmids used in this study.</w:t>
      </w:r>
    </w:p>
    <w:tbl>
      <w:tblPr>
        <w:tblStyle w:val="9"/>
        <w:tblW w:w="4885" w:type="pct"/>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4"/>
        <w:gridCol w:w="4167"/>
        <w:gridCol w:w="1105"/>
      </w:tblGrid>
      <w:tr w14:paraId="32191D5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jc w:val="center"/>
        </w:trPr>
        <w:tc>
          <w:tcPr>
            <w:tcW w:w="2977" w:type="dxa"/>
            <w:tcBorders>
              <w:top w:val="single" w:color="000000" w:sz="8" w:space="0"/>
              <w:left w:val="nil"/>
              <w:bottom w:val="single" w:color="auto" w:sz="4" w:space="0"/>
              <w:right w:val="nil"/>
            </w:tcBorders>
          </w:tcPr>
          <w:p w14:paraId="580AB145">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Plasmids</w:t>
            </w:r>
          </w:p>
        </w:tc>
        <w:tc>
          <w:tcPr>
            <w:tcW w:w="4061" w:type="dxa"/>
            <w:tcBorders>
              <w:top w:val="single" w:color="000000" w:sz="8" w:space="0"/>
              <w:bottom w:val="single" w:color="auto" w:sz="4" w:space="0"/>
              <w:right w:val="nil"/>
            </w:tcBorders>
          </w:tcPr>
          <w:p w14:paraId="2D3F986E">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Relevant characteristic</w:t>
            </w:r>
          </w:p>
        </w:tc>
        <w:tc>
          <w:tcPr>
            <w:tcW w:w="1077" w:type="dxa"/>
            <w:tcBorders>
              <w:top w:val="single" w:color="000000" w:sz="8" w:space="0"/>
              <w:bottom w:val="single" w:color="auto" w:sz="4" w:space="0"/>
              <w:right w:val="nil"/>
            </w:tcBorders>
          </w:tcPr>
          <w:p w14:paraId="7BC7912B">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Sources</w:t>
            </w:r>
          </w:p>
        </w:tc>
      </w:tr>
      <w:tr w14:paraId="2CD8DAC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2977" w:type="dxa"/>
            <w:tcBorders>
              <w:top w:val="nil"/>
              <w:bottom w:val="nil"/>
            </w:tcBorders>
            <w:shd w:val="clear" w:color="auto" w:fill="FFFFFF"/>
          </w:tcPr>
          <w:p w14:paraId="0886D8FD">
            <w:pPr>
              <w:adjustRightInd w:val="0"/>
              <w:snapToGrid w:val="0"/>
              <w:ind w:left="29" w:leftChars="14"/>
              <w:contextualSpacing/>
              <w:rPr>
                <w:rFonts w:ascii="Times New Roman" w:hAnsi="Times New Roman" w:cs="Times New Roman"/>
                <w:bCs/>
                <w:color w:val="000000"/>
                <w:sz w:val="24"/>
              </w:rPr>
            </w:pPr>
            <w:r>
              <w:rPr>
                <w:rFonts w:ascii="Times New Roman" w:hAnsi="Times New Roman" w:cs="Times New Roman"/>
                <w:color w:val="000000"/>
                <w:sz w:val="24"/>
              </w:rPr>
              <w:t>pMTL82151</w:t>
            </w:r>
          </w:p>
        </w:tc>
        <w:tc>
          <w:tcPr>
            <w:tcW w:w="4061" w:type="dxa"/>
            <w:tcBorders>
              <w:top w:val="nil"/>
              <w:bottom w:val="nil"/>
            </w:tcBorders>
            <w:shd w:val="clear" w:color="auto" w:fill="FFFFFF"/>
          </w:tcPr>
          <w:p w14:paraId="383F219A">
            <w:pPr>
              <w:adjustRightInd w:val="0"/>
              <w:snapToGrid w:val="0"/>
              <w:contextualSpacing/>
              <w:rPr>
                <w:rFonts w:ascii="Times New Roman" w:hAnsi="Times New Roman" w:cs="Times New Roman"/>
                <w:color w:val="000000"/>
                <w:sz w:val="24"/>
                <w:szCs w:val="21"/>
                <w:lang w:val="da-DK"/>
              </w:rPr>
            </w:pPr>
            <w:r>
              <w:rPr>
                <w:rFonts w:ascii="Times New Roman" w:hAnsi="Times New Roman" w:cs="Times New Roman"/>
                <w:color w:val="000000"/>
                <w:sz w:val="24"/>
                <w:lang w:val="da-DK"/>
              </w:rPr>
              <w:t>pBP1 ori, Cm</w:t>
            </w:r>
            <w:r>
              <w:rPr>
                <w:rFonts w:ascii="Times New Roman" w:hAnsi="Times New Roman" w:cs="Times New Roman"/>
                <w:color w:val="000000"/>
                <w:sz w:val="24"/>
                <w:vertAlign w:val="superscript"/>
                <w:lang w:val="da-DK"/>
              </w:rPr>
              <w:t>R</w:t>
            </w:r>
            <w:r>
              <w:rPr>
                <w:rFonts w:ascii="Times New Roman" w:hAnsi="Times New Roman" w:cs="Times New Roman"/>
                <w:color w:val="000000"/>
                <w:sz w:val="24"/>
                <w:lang w:val="da-DK"/>
              </w:rPr>
              <w:t>, ColE1 ori, TraJ</w:t>
            </w:r>
          </w:p>
        </w:tc>
        <w:tc>
          <w:tcPr>
            <w:tcW w:w="1077" w:type="dxa"/>
            <w:tcBorders>
              <w:top w:val="nil"/>
              <w:bottom w:val="nil"/>
            </w:tcBorders>
            <w:shd w:val="clear" w:color="auto" w:fill="FFFFFF"/>
          </w:tcPr>
          <w:p w14:paraId="68F8D38E">
            <w:pPr>
              <w:adjustRightInd w:val="0"/>
              <w:snapToGrid w:val="0"/>
              <w:contextualSpacing/>
              <w:rPr>
                <w:rFonts w:ascii="Times New Roman" w:hAnsi="Times New Roman" w:cs="Times New Roman"/>
                <w:bCs/>
                <w:color w:val="000000"/>
                <w:sz w:val="24"/>
                <w:szCs w:val="21"/>
                <w:lang w:val="da-DK"/>
              </w:rPr>
            </w:pPr>
          </w:p>
        </w:tc>
      </w:tr>
      <w:tr w14:paraId="4A01E81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2977" w:type="dxa"/>
            <w:tcBorders>
              <w:top w:val="nil"/>
              <w:bottom w:val="nil"/>
            </w:tcBorders>
            <w:shd w:val="clear" w:color="auto" w:fill="FFFFFF"/>
          </w:tcPr>
          <w:p w14:paraId="164E0F96">
            <w:pPr>
              <w:adjustRightInd w:val="0"/>
              <w:snapToGrid w:val="0"/>
              <w:ind w:left="29" w:leftChars="14"/>
              <w:contextualSpacing/>
              <w:rPr>
                <w:rFonts w:ascii="Times New Roman" w:hAnsi="Times New Roman" w:cs="Times New Roman"/>
                <w:bCs/>
                <w:color w:val="000000"/>
                <w:sz w:val="24"/>
              </w:rPr>
            </w:pPr>
            <w:r>
              <w:rPr>
                <w:rFonts w:ascii="Times New Roman" w:hAnsi="Times New Roman" w:cs="Times New Roman"/>
                <w:color w:val="000000"/>
                <w:sz w:val="24"/>
              </w:rPr>
              <w:t>pMTL82151-leader-38</w:t>
            </w:r>
            <w:r>
              <w:rPr>
                <w:rFonts w:ascii="Times New Roman" w:hAnsi="Times New Roman" w:cs="Times New Roman"/>
                <w:i/>
                <w:iCs/>
                <w:color w:val="000000"/>
                <w:sz w:val="24"/>
              </w:rPr>
              <w:t>agrD</w:t>
            </w:r>
          </w:p>
        </w:tc>
        <w:tc>
          <w:tcPr>
            <w:tcW w:w="4061" w:type="dxa"/>
            <w:tcBorders>
              <w:top w:val="nil"/>
              <w:bottom w:val="nil"/>
            </w:tcBorders>
            <w:shd w:val="clear" w:color="auto" w:fill="FFFFFF"/>
          </w:tcPr>
          <w:p w14:paraId="4BB8BAAB">
            <w:pPr>
              <w:adjustRightInd w:val="0"/>
              <w:snapToGrid w:val="0"/>
              <w:contextualSpacing/>
              <w:rPr>
                <w:rFonts w:ascii="Times New Roman" w:hAnsi="Times New Roman" w:cs="Times New Roman"/>
                <w:bCs/>
                <w:color w:val="000000"/>
                <w:sz w:val="24"/>
                <w:szCs w:val="21"/>
              </w:rPr>
            </w:pPr>
            <w:r>
              <w:rPr>
                <w:rFonts w:ascii="Times New Roman" w:hAnsi="Times New Roman" w:cs="Times New Roman"/>
                <w:color w:val="000000"/>
                <w:sz w:val="24"/>
              </w:rPr>
              <w:t xml:space="preserve">pMTL82151 derivative; Type I-B CRISPR genome editing plasmid containing the lactose inducible promoter and terminator sequences, the synthetic CRISPR array possessed a 38 nt spacer1 (5’-ATGAAAATGATAGGTTCCTTAGCATTATTTTTAGGGGG-3’) targeting the </w:t>
            </w:r>
            <w:r>
              <w:rPr>
                <w:rFonts w:ascii="Times New Roman" w:hAnsi="Times New Roman" w:cs="Times New Roman"/>
                <w:i/>
                <w:iCs/>
                <w:color w:val="000000"/>
                <w:sz w:val="24"/>
              </w:rPr>
              <w:t>agrD</w:t>
            </w:r>
            <w:r>
              <w:rPr>
                <w:rFonts w:ascii="Times New Roman" w:hAnsi="Times New Roman" w:cs="Times New Roman"/>
                <w:color w:val="000000"/>
                <w:sz w:val="24"/>
              </w:rPr>
              <w:t xml:space="preserve"> gene, and two homology arms (~</w:t>
            </w:r>
            <w:r>
              <w:rPr>
                <w:rFonts w:ascii="Times New Roman" w:hAnsi="Times New Roman" w:cs="Times New Roman"/>
                <w:bCs/>
                <w:color w:val="000000"/>
                <w:sz w:val="24"/>
              </w:rPr>
              <w:t>0.5 k</w:t>
            </w:r>
            <w:r>
              <w:rPr>
                <w:rFonts w:ascii="Times New Roman" w:hAnsi="Times New Roman" w:cs="Times New Roman"/>
                <w:color w:val="000000"/>
                <w:sz w:val="24"/>
              </w:rPr>
              <w:t xml:space="preserve">b each) for </w:t>
            </w:r>
            <w:r>
              <w:rPr>
                <w:rFonts w:ascii="Times New Roman" w:hAnsi="Times New Roman" w:cs="Times New Roman"/>
                <w:i/>
                <w:iCs/>
                <w:color w:val="000000"/>
                <w:sz w:val="24"/>
              </w:rPr>
              <w:t>agrD</w:t>
            </w:r>
            <w:r>
              <w:rPr>
                <w:rFonts w:ascii="Times New Roman" w:hAnsi="Times New Roman" w:cs="Times New Roman"/>
                <w:color w:val="000000"/>
                <w:sz w:val="24"/>
              </w:rPr>
              <w:t xml:space="preserve"> deletion</w:t>
            </w:r>
          </w:p>
        </w:tc>
        <w:tc>
          <w:tcPr>
            <w:tcW w:w="1077" w:type="dxa"/>
            <w:tcBorders>
              <w:top w:val="nil"/>
              <w:bottom w:val="nil"/>
            </w:tcBorders>
            <w:shd w:val="clear" w:color="auto" w:fill="FFFFFF"/>
          </w:tcPr>
          <w:p w14:paraId="08DE0F69">
            <w:pPr>
              <w:adjustRightInd w:val="0"/>
              <w:snapToGrid w:val="0"/>
              <w:contextualSpacing/>
              <w:rPr>
                <w:rFonts w:ascii="Times New Roman" w:hAnsi="Times New Roman" w:cs="Times New Roman"/>
                <w:bCs/>
                <w:color w:val="000000"/>
                <w:sz w:val="24"/>
                <w:szCs w:val="21"/>
              </w:rPr>
            </w:pPr>
            <w:r>
              <w:rPr>
                <w:rFonts w:ascii="Times New Roman" w:hAnsi="Times New Roman" w:cs="Times New Roman"/>
                <w:bCs/>
                <w:color w:val="000000"/>
                <w:sz w:val="24"/>
                <w:szCs w:val="21"/>
              </w:rPr>
              <w:t>This work</w:t>
            </w:r>
          </w:p>
        </w:tc>
      </w:tr>
      <w:tr w14:paraId="3D49B58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2977" w:type="dxa"/>
            <w:tcBorders>
              <w:top w:val="nil"/>
              <w:bottom w:val="nil"/>
            </w:tcBorders>
            <w:shd w:val="clear" w:color="auto" w:fill="FFFFFF"/>
          </w:tcPr>
          <w:p w14:paraId="463195FE">
            <w:pPr>
              <w:adjustRightInd w:val="0"/>
              <w:snapToGrid w:val="0"/>
              <w:ind w:left="29" w:leftChars="14"/>
              <w:contextualSpacing/>
              <w:rPr>
                <w:rFonts w:ascii="Times New Roman" w:hAnsi="Times New Roman" w:cs="Times New Roman"/>
                <w:color w:val="000000"/>
                <w:sz w:val="24"/>
              </w:rPr>
            </w:pPr>
            <w:r>
              <w:rPr>
                <w:rFonts w:ascii="Times New Roman" w:hAnsi="Times New Roman" w:cs="Times New Roman"/>
                <w:color w:val="000000"/>
                <w:sz w:val="24"/>
              </w:rPr>
              <w:t>pMTL82151-leader-38</w:t>
            </w:r>
            <w:r>
              <w:rPr>
                <w:rFonts w:ascii="Times New Roman" w:hAnsi="Times New Roman" w:cs="Times New Roman"/>
                <w:i/>
                <w:iCs/>
                <w:color w:val="000000"/>
                <w:sz w:val="24"/>
              </w:rPr>
              <w:t>agrB</w:t>
            </w:r>
          </w:p>
        </w:tc>
        <w:tc>
          <w:tcPr>
            <w:tcW w:w="4061" w:type="dxa"/>
            <w:tcBorders>
              <w:top w:val="nil"/>
              <w:bottom w:val="nil"/>
            </w:tcBorders>
            <w:shd w:val="clear" w:color="auto" w:fill="FFFFFF"/>
          </w:tcPr>
          <w:p w14:paraId="775410BB">
            <w:pPr>
              <w:adjustRightInd w:val="0"/>
              <w:snapToGrid w:val="0"/>
              <w:contextualSpacing/>
              <w:rPr>
                <w:rFonts w:ascii="Times New Roman" w:hAnsi="Times New Roman" w:cs="Times New Roman"/>
                <w:color w:val="000000"/>
                <w:sz w:val="24"/>
              </w:rPr>
            </w:pPr>
            <w:r>
              <w:rPr>
                <w:rFonts w:ascii="Times New Roman" w:hAnsi="Times New Roman" w:cs="Times New Roman"/>
                <w:color w:val="000000"/>
                <w:sz w:val="24"/>
              </w:rPr>
              <w:t>Same as pMTL82151-leader-38</w:t>
            </w:r>
            <w:r>
              <w:rPr>
                <w:rFonts w:ascii="Times New Roman" w:hAnsi="Times New Roman" w:cs="Times New Roman"/>
                <w:i/>
                <w:iCs/>
                <w:color w:val="000000"/>
                <w:sz w:val="24"/>
              </w:rPr>
              <w:t>agrD</w:t>
            </w:r>
            <w:r>
              <w:rPr>
                <w:rFonts w:ascii="Times New Roman" w:hAnsi="Times New Roman" w:cs="Times New Roman"/>
                <w:color w:val="000000"/>
                <w:sz w:val="24"/>
              </w:rPr>
              <w:t>, except that the 38-nt spacer1 was replaced with the 38-nt spacer2 (5’-TGCAAAAACCTATTGGGGATGTTTTATTATGAGTTTTA-3’)</w:t>
            </w:r>
          </w:p>
        </w:tc>
        <w:tc>
          <w:tcPr>
            <w:tcW w:w="1077" w:type="dxa"/>
            <w:tcBorders>
              <w:top w:val="nil"/>
              <w:bottom w:val="nil"/>
            </w:tcBorders>
            <w:shd w:val="clear" w:color="auto" w:fill="FFFFFF"/>
          </w:tcPr>
          <w:p w14:paraId="6F12BF81">
            <w:pPr>
              <w:adjustRightInd w:val="0"/>
              <w:snapToGrid w:val="0"/>
              <w:contextualSpacing/>
              <w:rPr>
                <w:rFonts w:ascii="Times New Roman" w:hAnsi="Times New Roman" w:cs="Times New Roman"/>
                <w:bCs/>
                <w:color w:val="000000"/>
                <w:szCs w:val="21"/>
              </w:rPr>
            </w:pPr>
            <w:r>
              <w:rPr>
                <w:rFonts w:ascii="Times New Roman" w:hAnsi="Times New Roman" w:cs="Times New Roman"/>
                <w:bCs/>
                <w:color w:val="000000"/>
                <w:sz w:val="24"/>
                <w:szCs w:val="21"/>
              </w:rPr>
              <w:t>This work</w:t>
            </w:r>
          </w:p>
        </w:tc>
      </w:tr>
      <w:tr w14:paraId="1722213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2977" w:type="dxa"/>
            <w:tcBorders>
              <w:top w:val="nil"/>
              <w:bottom w:val="single" w:color="auto" w:sz="4" w:space="0"/>
            </w:tcBorders>
            <w:shd w:val="clear" w:color="auto" w:fill="FFFFFF"/>
          </w:tcPr>
          <w:p w14:paraId="4FC57A52">
            <w:pPr>
              <w:adjustRightInd w:val="0"/>
              <w:snapToGrid w:val="0"/>
              <w:contextualSpacing/>
              <w:rPr>
                <w:rFonts w:ascii="Times New Roman" w:hAnsi="Times New Roman" w:cs="Times New Roman"/>
                <w:bCs/>
                <w:color w:val="000000"/>
                <w:sz w:val="24"/>
                <w:szCs w:val="21"/>
              </w:rPr>
            </w:pPr>
            <w:r>
              <w:rPr>
                <w:rFonts w:ascii="Times New Roman" w:hAnsi="Times New Roman" w:cs="Times New Roman"/>
                <w:bCs/>
                <w:color w:val="000000"/>
                <w:sz w:val="24"/>
              </w:rPr>
              <w:t>pMTL82151-P</w:t>
            </w:r>
            <w:r>
              <w:rPr>
                <w:rFonts w:ascii="Times New Roman" w:hAnsi="Times New Roman" w:cs="Times New Roman"/>
                <w:bCs/>
                <w:i/>
                <w:iCs/>
                <w:color w:val="000000"/>
                <w:sz w:val="24"/>
              </w:rPr>
              <w:t>thl</w:t>
            </w:r>
            <w:r>
              <w:rPr>
                <w:rFonts w:ascii="Times New Roman" w:hAnsi="Times New Roman" w:cs="Times New Roman"/>
                <w:bCs/>
                <w:color w:val="000000"/>
                <w:sz w:val="24"/>
              </w:rPr>
              <w:t>-</w:t>
            </w:r>
            <w:r>
              <w:rPr>
                <w:rFonts w:ascii="Times New Roman" w:hAnsi="Times New Roman" w:cs="Times New Roman"/>
                <w:bCs/>
                <w:i/>
                <w:iCs/>
                <w:color w:val="000000"/>
                <w:sz w:val="24"/>
                <w:szCs w:val="21"/>
              </w:rPr>
              <w:t>agrD</w:t>
            </w:r>
          </w:p>
        </w:tc>
        <w:tc>
          <w:tcPr>
            <w:tcW w:w="4061" w:type="dxa"/>
            <w:tcBorders>
              <w:top w:val="nil"/>
              <w:bottom w:val="single" w:color="auto" w:sz="4" w:space="0"/>
            </w:tcBorders>
            <w:shd w:val="clear" w:color="auto" w:fill="FFFFFF"/>
          </w:tcPr>
          <w:p w14:paraId="65F26ECF">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 xml:space="preserve">pMTL82151 derivative; plasmid-based </w:t>
            </w:r>
            <w:r>
              <w:rPr>
                <w:rFonts w:ascii="Times New Roman" w:hAnsi="Times New Roman" w:cs="Times New Roman"/>
                <w:bCs/>
                <w:i/>
                <w:iCs/>
                <w:color w:val="000000"/>
                <w:sz w:val="24"/>
                <w:szCs w:val="21"/>
              </w:rPr>
              <w:t>agrD</w:t>
            </w:r>
            <w:r>
              <w:rPr>
                <w:rFonts w:ascii="Times New Roman" w:hAnsi="Times New Roman" w:cs="Times New Roman"/>
                <w:i/>
                <w:color w:val="000000"/>
                <w:sz w:val="24"/>
              </w:rPr>
              <w:t xml:space="preserve"> </w:t>
            </w:r>
            <w:r>
              <w:rPr>
                <w:rFonts w:ascii="Times New Roman" w:hAnsi="Times New Roman" w:cs="Times New Roman"/>
                <w:color w:val="000000"/>
                <w:sz w:val="24"/>
              </w:rPr>
              <w:t xml:space="preserve">gene complementary driven by the </w:t>
            </w:r>
            <w:r>
              <w:rPr>
                <w:rFonts w:ascii="Times New Roman" w:hAnsi="Times New Roman" w:cs="Times New Roman"/>
                <w:i/>
                <w:color w:val="000000"/>
                <w:sz w:val="24"/>
              </w:rPr>
              <w:t>thl</w:t>
            </w:r>
            <w:r>
              <w:rPr>
                <w:rFonts w:ascii="Times New Roman" w:hAnsi="Times New Roman" w:cs="Times New Roman"/>
                <w:color w:val="000000"/>
                <w:sz w:val="24"/>
              </w:rPr>
              <w:t xml:space="preserve"> gene promoter</w:t>
            </w:r>
          </w:p>
        </w:tc>
        <w:tc>
          <w:tcPr>
            <w:tcW w:w="1077" w:type="dxa"/>
            <w:tcBorders>
              <w:top w:val="nil"/>
              <w:bottom w:val="single" w:color="auto" w:sz="4" w:space="0"/>
            </w:tcBorders>
            <w:shd w:val="clear" w:color="auto" w:fill="FFFFFF"/>
          </w:tcPr>
          <w:p w14:paraId="2091DEEE">
            <w:pPr>
              <w:adjustRightInd w:val="0"/>
              <w:snapToGrid w:val="0"/>
              <w:contextualSpacing/>
              <w:rPr>
                <w:rFonts w:ascii="Times New Roman" w:hAnsi="Times New Roman" w:cs="Times New Roman"/>
                <w:bCs/>
                <w:color w:val="000000"/>
                <w:sz w:val="24"/>
                <w:szCs w:val="21"/>
              </w:rPr>
            </w:pPr>
            <w:r>
              <w:rPr>
                <w:rFonts w:ascii="Times New Roman" w:hAnsi="Times New Roman" w:cs="Times New Roman"/>
                <w:bCs/>
                <w:color w:val="000000"/>
                <w:sz w:val="24"/>
                <w:szCs w:val="21"/>
              </w:rPr>
              <w:t>This work</w:t>
            </w:r>
          </w:p>
        </w:tc>
      </w:tr>
    </w:tbl>
    <w:p w14:paraId="1361CD4C">
      <w:pPr>
        <w:adjustRightInd w:val="0"/>
        <w:snapToGrid w:val="0"/>
        <w:spacing w:after="78" w:afterLines="25"/>
        <w:jc w:val="left"/>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2A0D8F90">
      <w:pPr>
        <w:adjustRightInd w:val="0"/>
        <w:snapToGrid w:val="0"/>
        <w:spacing w:after="78" w:afterLines="25" w:line="360" w:lineRule="auto"/>
        <w:contextualSpacing/>
        <w:jc w:val="left"/>
        <w:outlineLvl w:val="1"/>
        <w:rPr>
          <w:rFonts w:ascii="Times New Roman" w:hAnsi="Times New Roman" w:cs="Times New Roman"/>
          <w:b/>
          <w:bCs/>
          <w:sz w:val="24"/>
        </w:rPr>
      </w:pPr>
      <w:r>
        <w:rPr>
          <w:rFonts w:hint="eastAsia" w:ascii="Times New Roman" w:hAnsi="Times New Roman" w:cs="Times New Roman"/>
          <w:b/>
          <w:bCs/>
          <w:color w:val="000000" w:themeColor="text1"/>
          <w:sz w:val="24"/>
          <w14:textFill>
            <w14:solidFill>
              <w14:schemeClr w14:val="tx1"/>
            </w14:solidFill>
          </w14:textFill>
        </w:rPr>
        <w:t>Supplementary Table 14∣</w:t>
      </w:r>
      <w:r>
        <w:rPr>
          <w:rFonts w:ascii="Times New Roman" w:hAnsi="Times New Roman" w:cs="Times New Roman"/>
          <w:b/>
          <w:bCs/>
          <w:sz w:val="24"/>
        </w:rPr>
        <w:t>Primers used in this study.</w:t>
      </w:r>
    </w:p>
    <w:tbl>
      <w:tblPr>
        <w:tblStyle w:val="9"/>
        <w:tblpPr w:leftFromText="180" w:rightFromText="180" w:vertAnchor="text" w:horzAnchor="page" w:tblpX="1912" w:tblpY="6"/>
        <w:tblOverlap w:val="never"/>
        <w:tblW w:w="4876" w:type="pct"/>
        <w:tblInd w:w="0"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09"/>
        <w:gridCol w:w="5402"/>
      </w:tblGrid>
      <w:tr w14:paraId="740E0A9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 w:hRule="atLeast"/>
        </w:trPr>
        <w:tc>
          <w:tcPr>
            <w:tcW w:w="2835" w:type="dxa"/>
            <w:tcBorders>
              <w:top w:val="single" w:color="000000" w:sz="8" w:space="0"/>
              <w:left w:val="nil"/>
              <w:bottom w:val="single" w:color="auto" w:sz="4" w:space="0"/>
              <w:right w:val="nil"/>
            </w:tcBorders>
          </w:tcPr>
          <w:p w14:paraId="65494E91">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Primers (pair)</w:t>
            </w:r>
          </w:p>
        </w:tc>
        <w:tc>
          <w:tcPr>
            <w:tcW w:w="5265" w:type="dxa"/>
            <w:tcBorders>
              <w:top w:val="single" w:color="000000" w:sz="8" w:space="0"/>
              <w:bottom w:val="single" w:color="auto" w:sz="4" w:space="0"/>
              <w:right w:val="nil"/>
            </w:tcBorders>
          </w:tcPr>
          <w:p w14:paraId="485806EA">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Sequence</w:t>
            </w:r>
          </w:p>
        </w:tc>
      </w:tr>
      <w:tr w14:paraId="4BE2AD0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8100" w:type="dxa"/>
            <w:gridSpan w:val="2"/>
            <w:tcBorders>
              <w:top w:val="single" w:color="auto" w:sz="4" w:space="0"/>
              <w:bottom w:val="nil"/>
            </w:tcBorders>
            <w:shd w:val="clear" w:color="auto" w:fill="FFFFFF"/>
          </w:tcPr>
          <w:p w14:paraId="59B9E713">
            <w:pPr>
              <w:adjustRightInd w:val="0"/>
              <w:snapToGrid w:val="0"/>
              <w:contextualSpacing/>
              <w:jc w:val="center"/>
              <w:rPr>
                <w:rFonts w:ascii="Times New Roman" w:hAnsi="Times New Roman" w:cs="Times New Roman"/>
                <w:bCs/>
                <w:color w:val="000000"/>
                <w:sz w:val="24"/>
                <w:szCs w:val="21"/>
              </w:rPr>
            </w:pPr>
            <w:r>
              <w:rPr>
                <w:rFonts w:ascii="Times New Roman" w:hAnsi="Times New Roman" w:cs="Times New Roman"/>
                <w:b/>
                <w:i/>
                <w:iCs/>
                <w:color w:val="000000"/>
                <w:sz w:val="24"/>
                <w:szCs w:val="21"/>
              </w:rPr>
              <w:t>agrD</w:t>
            </w:r>
            <w:r>
              <w:rPr>
                <w:rFonts w:ascii="Times New Roman" w:hAnsi="Times New Roman" w:cs="Times New Roman"/>
                <w:b/>
                <w:color w:val="000000"/>
                <w:sz w:val="24"/>
                <w:szCs w:val="21"/>
              </w:rPr>
              <w:t xml:space="preserve"> deletion using the </w:t>
            </w:r>
            <w:r>
              <w:rPr>
                <w:rFonts w:ascii="Times New Roman" w:hAnsi="Times New Roman" w:cs="Times New Roman"/>
                <w:b/>
                <w:bCs/>
                <w:color w:val="000000"/>
                <w:sz w:val="24"/>
                <w:szCs w:val="21"/>
              </w:rPr>
              <w:t>endogenous Type I-B CRISPR-Cas system</w:t>
            </w:r>
          </w:p>
        </w:tc>
      </w:tr>
      <w:tr w14:paraId="70BA281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2835" w:type="dxa"/>
            <w:tcBorders>
              <w:top w:val="nil"/>
              <w:bottom w:val="nil"/>
            </w:tcBorders>
            <w:shd w:val="clear" w:color="auto" w:fill="FFFFFF"/>
          </w:tcPr>
          <w:p w14:paraId="5214B950">
            <w:pPr>
              <w:adjustRightInd w:val="0"/>
              <w:snapToGrid w:val="0"/>
              <w:ind w:left="29" w:leftChars="14"/>
              <w:contextualSpacing/>
              <w:rPr>
                <w:rFonts w:ascii="Times New Roman" w:hAnsi="Times New Roman" w:cs="Times New Roman"/>
                <w:b/>
                <w:bCs/>
                <w:color w:val="000000"/>
                <w:sz w:val="24"/>
                <w:szCs w:val="21"/>
              </w:rPr>
            </w:pPr>
            <w:r>
              <w:rPr>
                <w:rFonts w:ascii="Times New Roman" w:hAnsi="Times New Roman" w:cs="Times New Roman"/>
                <w:bCs/>
                <w:iCs/>
                <w:color w:val="000000"/>
                <w:sz w:val="24"/>
                <w:szCs w:val="21"/>
              </w:rPr>
              <w:t>Leader</w:t>
            </w:r>
          </w:p>
        </w:tc>
        <w:tc>
          <w:tcPr>
            <w:tcW w:w="5265" w:type="dxa"/>
            <w:tcBorders>
              <w:top w:val="nil"/>
              <w:bottom w:val="nil"/>
            </w:tcBorders>
            <w:shd w:val="clear" w:color="auto" w:fill="FFFFFF"/>
          </w:tcPr>
          <w:p w14:paraId="00160EC1">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TTATCAGGAAACAGCTATGAGCGGCCGCTTATATACTTGGTTTATTTACTTGATTATTT-3’</w:t>
            </w:r>
          </w:p>
          <w:p w14:paraId="6940A9AC">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AATAATGCTAAGGAACCTATCATTTTCATATTTAAATACATCTCATGTTAAGGTTCAAC-3’</w:t>
            </w:r>
          </w:p>
        </w:tc>
      </w:tr>
      <w:tr w14:paraId="48BFD5FE">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2835" w:type="dxa"/>
            <w:tcBorders>
              <w:top w:val="nil"/>
              <w:bottom w:val="nil"/>
            </w:tcBorders>
            <w:shd w:val="clear" w:color="auto" w:fill="FFFFFF"/>
          </w:tcPr>
          <w:p w14:paraId="30A0E475">
            <w:pPr>
              <w:adjustRightInd w:val="0"/>
              <w:snapToGrid w:val="0"/>
              <w:contextualSpacing/>
              <w:rPr>
                <w:rFonts w:ascii="Times New Roman" w:hAnsi="Times New Roman" w:cs="Times New Roman"/>
                <w:color w:val="000000"/>
                <w:szCs w:val="21"/>
              </w:rPr>
            </w:pPr>
            <w:r>
              <w:rPr>
                <w:rFonts w:ascii="Times New Roman" w:hAnsi="Times New Roman" w:cs="Times New Roman"/>
                <w:bCs/>
                <w:color w:val="000000"/>
                <w:sz w:val="24"/>
              </w:rPr>
              <w:t>38-nt spacer1 + terminator</w:t>
            </w:r>
          </w:p>
        </w:tc>
        <w:tc>
          <w:tcPr>
            <w:tcW w:w="5265" w:type="dxa"/>
            <w:tcBorders>
              <w:top w:val="nil"/>
              <w:bottom w:val="nil"/>
            </w:tcBorders>
            <w:shd w:val="clear" w:color="auto" w:fill="FFFFFF"/>
          </w:tcPr>
          <w:p w14:paraId="276917C6">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GTTGAACCTTAACATGAGATGTATTTAAATATAAAAAAATTGTAGATAAATTTTATAAAATAGTTTT-3’</w:t>
            </w:r>
          </w:p>
          <w:p w14:paraId="05C1D469">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TTTTTGTGAGGGAATTGAGCTCATAAAAAAATTGTAGATAAAACTATTTTATAAAATTT-3’</w:t>
            </w:r>
          </w:p>
          <w:p w14:paraId="77FE6C93">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GATAGGTTCCTTAGCATTATTTTTAGGGGGGTTGAACCTTAACATGAGATGTATTT-3’</w:t>
            </w:r>
          </w:p>
          <w:p w14:paraId="76983896">
            <w:pPr>
              <w:adjustRightInd w:val="0"/>
              <w:snapToGrid w:val="0"/>
              <w:contextualSpacing/>
              <w:rPr>
                <w:rFonts w:ascii="Times New Roman" w:hAnsi="Times New Roman" w:cs="Times New Roman"/>
                <w:color w:val="000000"/>
                <w:szCs w:val="21"/>
              </w:rPr>
            </w:pPr>
            <w:r>
              <w:rPr>
                <w:rFonts w:ascii="Times New Roman" w:hAnsi="Times New Roman" w:cs="Times New Roman"/>
                <w:color w:val="000000"/>
                <w:sz w:val="24"/>
              </w:rPr>
              <w:t>5’-</w:t>
            </w:r>
            <w:r>
              <w:rPr>
                <w:rFonts w:ascii="Times New Roman" w:hAnsi="Times New Roman" w:cs="Times New Roman"/>
                <w:color w:val="000000"/>
                <w:sz w:val="24"/>
                <w:szCs w:val="21"/>
              </w:rPr>
              <w:t>TTTTTGTGAGGGAATTGAGCTCATAAAAAAATTGTAGATAAAACTATTTTATAAAATTT-3’</w:t>
            </w:r>
          </w:p>
        </w:tc>
      </w:tr>
      <w:tr w14:paraId="1EA181C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2835" w:type="dxa"/>
            <w:tcBorders>
              <w:top w:val="nil"/>
              <w:bottom w:val="nil"/>
            </w:tcBorders>
            <w:shd w:val="clear" w:color="auto" w:fill="FFFFFF"/>
          </w:tcPr>
          <w:p w14:paraId="028142B9">
            <w:pPr>
              <w:adjustRightInd w:val="0"/>
              <w:snapToGrid w:val="0"/>
              <w:contextualSpacing/>
              <w:rPr>
                <w:rFonts w:ascii="Times New Roman" w:hAnsi="Times New Roman" w:cs="Times New Roman"/>
                <w:bCs/>
                <w:color w:val="000000"/>
                <w:sz w:val="24"/>
                <w:szCs w:val="21"/>
              </w:rPr>
            </w:pPr>
            <w:r>
              <w:rPr>
                <w:rFonts w:ascii="Times New Roman" w:hAnsi="Times New Roman" w:cs="Times New Roman"/>
                <w:bCs/>
                <w:color w:val="000000"/>
                <w:sz w:val="24"/>
              </w:rPr>
              <w:t>Homology arms (~0.5 kb each)</w:t>
            </w:r>
          </w:p>
        </w:tc>
        <w:tc>
          <w:tcPr>
            <w:tcW w:w="5265" w:type="dxa"/>
            <w:tcBorders>
              <w:top w:val="nil"/>
              <w:bottom w:val="nil"/>
            </w:tcBorders>
            <w:shd w:val="clear" w:color="auto" w:fill="FFFFFF"/>
          </w:tcPr>
          <w:p w14:paraId="33E977B1">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CTACAATTTTTTTATGAGCTCAATTCCCTCACAAAAATAAAATTTAG-3’</w:t>
            </w:r>
          </w:p>
          <w:p w14:paraId="1EA19BE5">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TGGAGAAGCCTAAACTAAGGTACCTTTAACATCCTCCCCATAATTTTA-3’</w:t>
            </w:r>
          </w:p>
          <w:p w14:paraId="38E65B76">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ATTATGGGGAGGATGTTAAAGGATCCTTAGTTTAGGATTATCCATAGATATAT-3’</w:t>
            </w:r>
          </w:p>
          <w:p w14:paraId="784F8B57">
            <w:pPr>
              <w:adjustRightInd w:val="0"/>
              <w:snapToGrid w:val="0"/>
              <w:contextualSpacing/>
              <w:rPr>
                <w:rFonts w:ascii="Times New Roman" w:hAnsi="Times New Roman" w:cs="Times New Roman"/>
                <w:bCs/>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TCTCCATGGACGCGTGACGTCAAATATAATCATTACGATAAATATCTGAAG-3’</w:t>
            </w:r>
          </w:p>
        </w:tc>
      </w:tr>
      <w:tr w14:paraId="4442C88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8100" w:type="dxa"/>
            <w:gridSpan w:val="2"/>
            <w:tcBorders>
              <w:top w:val="nil"/>
              <w:bottom w:val="nil"/>
            </w:tcBorders>
            <w:shd w:val="clear" w:color="auto" w:fill="FFFFFF"/>
          </w:tcPr>
          <w:p w14:paraId="34FC0B1B">
            <w:pPr>
              <w:adjustRightInd w:val="0"/>
              <w:snapToGrid w:val="0"/>
              <w:contextualSpacing/>
              <w:jc w:val="center"/>
              <w:rPr>
                <w:rFonts w:ascii="Times New Roman" w:hAnsi="Times New Roman" w:cs="Times New Roman"/>
                <w:bCs/>
                <w:color w:val="000000"/>
                <w:sz w:val="24"/>
                <w:szCs w:val="21"/>
              </w:rPr>
            </w:pPr>
            <w:r>
              <w:rPr>
                <w:rFonts w:ascii="Times New Roman" w:hAnsi="Times New Roman" w:cs="Times New Roman"/>
                <w:b/>
                <w:i/>
                <w:iCs/>
                <w:color w:val="000000"/>
                <w:sz w:val="24"/>
                <w:szCs w:val="21"/>
              </w:rPr>
              <w:t>agrB</w:t>
            </w:r>
            <w:r>
              <w:rPr>
                <w:rFonts w:ascii="Times New Roman" w:hAnsi="Times New Roman" w:cs="Times New Roman"/>
                <w:b/>
                <w:color w:val="000000"/>
                <w:sz w:val="24"/>
                <w:szCs w:val="21"/>
              </w:rPr>
              <w:t xml:space="preserve"> deletion using the </w:t>
            </w:r>
            <w:r>
              <w:rPr>
                <w:rFonts w:ascii="Times New Roman" w:hAnsi="Times New Roman" w:cs="Times New Roman"/>
                <w:b/>
                <w:bCs/>
                <w:color w:val="000000"/>
                <w:sz w:val="24"/>
                <w:szCs w:val="21"/>
              </w:rPr>
              <w:t>endogenous Type I-B CRISPR-Cas system</w:t>
            </w:r>
          </w:p>
        </w:tc>
      </w:tr>
      <w:tr w14:paraId="071448D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2835" w:type="dxa"/>
            <w:tcBorders>
              <w:top w:val="nil"/>
              <w:bottom w:val="nil"/>
            </w:tcBorders>
            <w:shd w:val="clear" w:color="auto" w:fill="FFFFFF"/>
          </w:tcPr>
          <w:p w14:paraId="51149679">
            <w:pPr>
              <w:adjustRightInd w:val="0"/>
              <w:snapToGrid w:val="0"/>
              <w:ind w:left="29" w:leftChars="14"/>
              <w:contextualSpacing/>
              <w:rPr>
                <w:rFonts w:ascii="Times New Roman" w:hAnsi="Times New Roman" w:cs="Times New Roman"/>
                <w:bCs/>
                <w:color w:val="000000"/>
                <w:sz w:val="24"/>
                <w:szCs w:val="21"/>
              </w:rPr>
            </w:pPr>
            <w:r>
              <w:rPr>
                <w:rFonts w:ascii="Times New Roman" w:hAnsi="Times New Roman" w:cs="Times New Roman"/>
                <w:bCs/>
                <w:iCs/>
                <w:color w:val="000000"/>
                <w:sz w:val="24"/>
                <w:szCs w:val="21"/>
              </w:rPr>
              <w:t>Leader</w:t>
            </w:r>
          </w:p>
        </w:tc>
        <w:tc>
          <w:tcPr>
            <w:tcW w:w="5265" w:type="dxa"/>
            <w:tcBorders>
              <w:top w:val="nil"/>
              <w:bottom w:val="nil"/>
            </w:tcBorders>
            <w:shd w:val="clear" w:color="auto" w:fill="FFFFFF"/>
          </w:tcPr>
          <w:p w14:paraId="1DDD8437">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TTATCAGGAAACAGCTATGAGCGGCCGCTTATATACTTGGTTTATTTACTTGATTATTT-3’</w:t>
            </w:r>
          </w:p>
          <w:p w14:paraId="5625E6CE">
            <w:pPr>
              <w:adjustRightInd w:val="0"/>
              <w:snapToGrid w:val="0"/>
              <w:contextualSpacing/>
              <w:rPr>
                <w:rFonts w:ascii="Times New Roman" w:hAnsi="Times New Roman" w:cs="Times New Roman"/>
                <w:bCs/>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TAATAAAACATCCCCAATAGGTTTTTGCAATTTAAATACATCTCATGTTAAGGTTCAAC-3’</w:t>
            </w:r>
          </w:p>
        </w:tc>
      </w:tr>
      <w:tr w14:paraId="49BBAD8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2835" w:type="dxa"/>
            <w:tcBorders>
              <w:top w:val="nil"/>
              <w:bottom w:val="nil"/>
            </w:tcBorders>
            <w:shd w:val="clear" w:color="auto" w:fill="FFFFFF"/>
          </w:tcPr>
          <w:p w14:paraId="303B88C5">
            <w:pPr>
              <w:adjustRightInd w:val="0"/>
              <w:snapToGrid w:val="0"/>
              <w:ind w:left="29" w:leftChars="14"/>
              <w:contextualSpacing/>
              <w:rPr>
                <w:rFonts w:ascii="Times New Roman" w:hAnsi="Times New Roman" w:cs="Times New Roman"/>
                <w:bCs/>
                <w:color w:val="000000"/>
                <w:sz w:val="24"/>
                <w:szCs w:val="21"/>
              </w:rPr>
            </w:pPr>
            <w:r>
              <w:rPr>
                <w:rFonts w:ascii="Times New Roman" w:hAnsi="Times New Roman" w:cs="Times New Roman"/>
                <w:bCs/>
                <w:color w:val="000000"/>
                <w:sz w:val="24"/>
              </w:rPr>
              <w:t>38-nt spacer1 + terminator</w:t>
            </w:r>
          </w:p>
        </w:tc>
        <w:tc>
          <w:tcPr>
            <w:tcW w:w="5265" w:type="dxa"/>
            <w:tcBorders>
              <w:top w:val="nil"/>
              <w:bottom w:val="nil"/>
            </w:tcBorders>
            <w:shd w:val="clear" w:color="auto" w:fill="FFFFFF"/>
          </w:tcPr>
          <w:p w14:paraId="76FAC288">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GTTGAACCTTAACATGAGATGTATTTAAATATAAAAAAATTGTAGATAAATTTTATAAAATAGTTTT-3’</w:t>
            </w:r>
          </w:p>
          <w:p w14:paraId="0D05DADD">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TAGTATCTGAAATTCCGAGCTCATAAAAAAATTGTAGATAAAACTATTTTATAAAATTT-3’</w:t>
            </w:r>
          </w:p>
          <w:p w14:paraId="34AA02B7">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CCTATTGGGGATGTTTTATTATGAGTTTTAGTTGAACCTTAACATGAGATGTATTT-3’</w:t>
            </w:r>
          </w:p>
          <w:p w14:paraId="7936E352">
            <w:pPr>
              <w:adjustRightInd w:val="0"/>
              <w:snapToGrid w:val="0"/>
              <w:contextualSpacing/>
              <w:rPr>
                <w:rFonts w:ascii="Times New Roman" w:hAnsi="Times New Roman" w:cs="Times New Roman"/>
                <w:bCs/>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TAGTATCTGAAATTCCGAGCTCATAAAAAAATTGTAGATAAAACTATTTTATAAAATTT-3’</w:t>
            </w:r>
          </w:p>
        </w:tc>
      </w:tr>
      <w:tr w14:paraId="430E846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2835" w:type="dxa"/>
            <w:tcBorders>
              <w:top w:val="nil"/>
              <w:bottom w:val="nil"/>
            </w:tcBorders>
            <w:shd w:val="clear" w:color="auto" w:fill="FFFFFF"/>
          </w:tcPr>
          <w:p w14:paraId="3FFC43A5">
            <w:pPr>
              <w:adjustRightInd w:val="0"/>
              <w:snapToGrid w:val="0"/>
              <w:contextualSpacing/>
              <w:rPr>
                <w:rFonts w:ascii="Times New Roman" w:hAnsi="Times New Roman" w:cs="Times New Roman"/>
                <w:bCs/>
                <w:color w:val="000000"/>
                <w:sz w:val="24"/>
              </w:rPr>
            </w:pPr>
            <w:r>
              <w:rPr>
                <w:rFonts w:ascii="Times New Roman" w:hAnsi="Times New Roman" w:cs="Times New Roman"/>
                <w:bCs/>
                <w:color w:val="000000"/>
                <w:sz w:val="24"/>
              </w:rPr>
              <w:t>Homology arms (~0.5 kb each)</w:t>
            </w:r>
          </w:p>
          <w:p w14:paraId="4BBBEE9A">
            <w:pPr>
              <w:adjustRightInd w:val="0"/>
              <w:snapToGrid w:val="0"/>
              <w:ind w:left="29" w:leftChars="14"/>
              <w:contextualSpacing/>
              <w:rPr>
                <w:rFonts w:ascii="Times New Roman" w:hAnsi="Times New Roman" w:cs="Times New Roman"/>
                <w:bCs/>
                <w:color w:val="000000"/>
                <w:sz w:val="24"/>
              </w:rPr>
            </w:pPr>
          </w:p>
        </w:tc>
        <w:tc>
          <w:tcPr>
            <w:tcW w:w="5265" w:type="dxa"/>
            <w:tcBorders>
              <w:top w:val="nil"/>
              <w:bottom w:val="nil"/>
            </w:tcBorders>
            <w:shd w:val="clear" w:color="auto" w:fill="FFFFFF"/>
          </w:tcPr>
          <w:p w14:paraId="03BD65BD">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CTACAATTTTTTTATGAGCTCGGAATTTCAGATACTATTCATTCATC-3’</w:t>
            </w:r>
          </w:p>
          <w:p w14:paraId="13F4A455">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TTTTTATATAATAATATAGGTACCCGGTTTTTTGATTCCTTTACTTTAAATTCAA-3’</w:t>
            </w:r>
          </w:p>
          <w:p w14:paraId="2B510BD9">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AAAGTAAAGGAATCAAAAAAGGAGTCTATATTATTATATAAAAAGCTTAAAATAAAC-3’</w:t>
            </w:r>
          </w:p>
          <w:p w14:paraId="5F405BCC">
            <w:pPr>
              <w:adjustRightInd w:val="0"/>
              <w:snapToGrid w:val="0"/>
              <w:contextualSpacing/>
              <w:rPr>
                <w:rFonts w:ascii="Times New Roman" w:hAnsi="Times New Roman" w:cs="Times New Roman"/>
                <w:bCs/>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TCTCCATGGACGCGTGACGTCCCTTGTCAAACCCTCCTTTATTAG-3’</w:t>
            </w:r>
          </w:p>
        </w:tc>
      </w:tr>
      <w:tr w14:paraId="6DED9AE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 w:hRule="atLeast"/>
        </w:trPr>
        <w:tc>
          <w:tcPr>
            <w:tcW w:w="8100" w:type="dxa"/>
            <w:gridSpan w:val="2"/>
            <w:tcBorders>
              <w:top w:val="nil"/>
              <w:bottom w:val="nil"/>
            </w:tcBorders>
            <w:shd w:val="clear" w:color="auto" w:fill="FFFFFF"/>
          </w:tcPr>
          <w:p w14:paraId="1EF9BDA8">
            <w:pPr>
              <w:adjustRightInd w:val="0"/>
              <w:snapToGrid w:val="0"/>
              <w:contextualSpacing/>
              <w:jc w:val="center"/>
              <w:rPr>
                <w:rFonts w:ascii="Times New Roman" w:hAnsi="Times New Roman" w:cs="Times New Roman"/>
                <w:bCs/>
                <w:color w:val="000000"/>
                <w:sz w:val="24"/>
                <w:szCs w:val="21"/>
              </w:rPr>
            </w:pPr>
            <w:r>
              <w:rPr>
                <w:rFonts w:ascii="Times New Roman" w:hAnsi="Times New Roman" w:cs="Times New Roman"/>
                <w:b/>
                <w:bCs/>
                <w:color w:val="000000"/>
                <w:sz w:val="24"/>
                <w:szCs w:val="21"/>
              </w:rPr>
              <w:t xml:space="preserve"> </w:t>
            </w:r>
            <w:r>
              <w:rPr>
                <w:rFonts w:ascii="Times New Roman" w:hAnsi="Times New Roman" w:cs="Times New Roman"/>
                <w:bCs/>
                <w:i/>
                <w:color w:val="000000"/>
                <w:sz w:val="24"/>
                <w:szCs w:val="21"/>
              </w:rPr>
              <w:t>Δ</w:t>
            </w:r>
            <w:r>
              <w:rPr>
                <w:rFonts w:ascii="Times New Roman" w:hAnsi="Times New Roman" w:cs="Times New Roman"/>
                <w:b/>
                <w:i/>
                <w:iCs/>
                <w:color w:val="000000"/>
                <w:sz w:val="24"/>
                <w:szCs w:val="21"/>
              </w:rPr>
              <w:t xml:space="preserve">agrD-agrD </w:t>
            </w:r>
            <w:r>
              <w:rPr>
                <w:rFonts w:ascii="Times New Roman" w:hAnsi="Times New Roman" w:cs="Times New Roman"/>
                <w:b/>
                <w:bCs/>
                <w:color w:val="000000"/>
                <w:sz w:val="24"/>
                <w:szCs w:val="21"/>
              </w:rPr>
              <w:t>complementation</w:t>
            </w:r>
          </w:p>
        </w:tc>
      </w:tr>
      <w:tr w14:paraId="7124E13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2835" w:type="dxa"/>
            <w:tcBorders>
              <w:top w:val="nil"/>
              <w:bottom w:val="single" w:color="auto" w:sz="4" w:space="0"/>
            </w:tcBorders>
            <w:shd w:val="clear" w:color="auto" w:fill="FFFFFF"/>
          </w:tcPr>
          <w:p w14:paraId="4F5BF3E5">
            <w:pPr>
              <w:adjustRightInd w:val="0"/>
              <w:snapToGrid w:val="0"/>
              <w:ind w:left="29" w:leftChars="14"/>
              <w:contextualSpacing/>
              <w:rPr>
                <w:rFonts w:ascii="Times New Roman" w:hAnsi="Times New Roman" w:cs="Times New Roman"/>
                <w:color w:val="000000"/>
                <w:sz w:val="24"/>
              </w:rPr>
            </w:pPr>
            <w:r>
              <w:rPr>
                <w:rFonts w:ascii="Times New Roman" w:hAnsi="Times New Roman" w:cs="Times New Roman"/>
                <w:bCs/>
                <w:i/>
                <w:iCs/>
                <w:color w:val="000000"/>
                <w:sz w:val="24"/>
              </w:rPr>
              <w:t>agrD</w:t>
            </w:r>
          </w:p>
        </w:tc>
        <w:tc>
          <w:tcPr>
            <w:tcW w:w="5265" w:type="dxa"/>
            <w:tcBorders>
              <w:top w:val="nil"/>
              <w:bottom w:val="single" w:color="auto" w:sz="4" w:space="0"/>
            </w:tcBorders>
            <w:shd w:val="clear" w:color="auto" w:fill="FFFFFF"/>
          </w:tcPr>
          <w:p w14:paraId="15A874BB">
            <w:pPr>
              <w:adjustRightInd w:val="0"/>
              <w:snapToGrid w:val="0"/>
              <w:contextualSpacing/>
              <w:rPr>
                <w:rFonts w:ascii="Times New Roman" w:hAnsi="Times New Roman" w:cs="Times New Roman"/>
                <w:color w:val="000000"/>
                <w:sz w:val="24"/>
                <w:szCs w:val="21"/>
              </w:rPr>
            </w:pPr>
            <w:r>
              <w:rPr>
                <w:rFonts w:ascii="Times New Roman" w:hAnsi="Times New Roman" w:cs="Times New Roman"/>
                <w:color w:val="000000"/>
                <w:sz w:val="24"/>
              </w:rPr>
              <w:t>5’-</w:t>
            </w:r>
            <w:r>
              <w:rPr>
                <w:rFonts w:ascii="Times New Roman" w:hAnsi="Times New Roman" w:cs="Times New Roman"/>
                <w:color w:val="000000"/>
                <w:sz w:val="24"/>
                <w:szCs w:val="21"/>
              </w:rPr>
              <w:t>GGAGGAATAGTCATGGACGTCATGAAATTTTTAAAAAGTTCTTTAACA-3’</w:t>
            </w:r>
          </w:p>
          <w:p w14:paraId="7A92E9EB">
            <w:pPr>
              <w:adjustRightInd w:val="0"/>
              <w:snapToGrid w:val="0"/>
              <w:contextualSpacing/>
              <w:rPr>
                <w:rFonts w:ascii="Times New Roman" w:hAnsi="Times New Roman" w:cs="Times New Roman"/>
                <w:bCs/>
                <w:color w:val="000000"/>
                <w:szCs w:val="21"/>
              </w:rPr>
            </w:pPr>
            <w:r>
              <w:rPr>
                <w:rFonts w:ascii="Times New Roman" w:hAnsi="Times New Roman" w:cs="Times New Roman"/>
                <w:color w:val="000000"/>
                <w:sz w:val="24"/>
              </w:rPr>
              <w:t>5’-</w:t>
            </w:r>
            <w:r>
              <w:rPr>
                <w:rFonts w:ascii="Times New Roman" w:hAnsi="Times New Roman" w:cs="Times New Roman"/>
                <w:color w:val="000000"/>
                <w:sz w:val="24"/>
                <w:szCs w:val="21"/>
              </w:rPr>
              <w:t>TGCATGTCTGCAGGCCTCGAGTTACTTTAATAACTCATCAGGGCATTT-3’</w:t>
            </w:r>
          </w:p>
        </w:tc>
      </w:tr>
    </w:tbl>
    <w:p w14:paraId="2EE0FD22">
      <w:pPr>
        <w:adjustRightInd w:val="0"/>
        <w:snapToGrid w:val="0"/>
        <w:spacing w:after="78" w:afterLines="25"/>
        <w:jc w:val="left"/>
        <w:rPr>
          <w:rFonts w:ascii="Times New Roman" w:hAnsi="Times New Roman" w:cs="Times New Roman"/>
          <w:b/>
          <w:bCs/>
          <w:sz w:val="24"/>
        </w:rPr>
        <w:sectPr>
          <w:type w:val="continuous"/>
          <w:pgSz w:w="11906" w:h="16838"/>
          <w:pgMar w:top="1440" w:right="1800" w:bottom="1440" w:left="1800" w:header="851" w:footer="992" w:gutter="0"/>
          <w:lnNumType w:countBy="1" w:restart="continuous"/>
          <w:cols w:space="425" w:num="1"/>
          <w:docGrid w:type="lines" w:linePitch="312" w:charSpace="0"/>
        </w:sectPr>
      </w:pPr>
    </w:p>
    <w:p w14:paraId="085BC876">
      <w:pPr>
        <w:adjustRightInd w:val="0"/>
        <w:snapToGrid w:val="0"/>
        <w:spacing w:after="78" w:afterLines="25" w:line="360" w:lineRule="auto"/>
        <w:contextualSpacing/>
        <w:jc w:val="left"/>
        <w:outlineLvl w:val="1"/>
        <w:rPr>
          <w:rFonts w:ascii="Times New Roman" w:hAnsi="Times New Roman" w:cs="Times New Roman"/>
          <w:b/>
          <w:bCs/>
          <w:sz w:val="24"/>
        </w:rPr>
      </w:pPr>
      <w:r>
        <w:rPr>
          <w:rFonts w:hint="eastAsia" w:ascii="Times New Roman" w:hAnsi="Times New Roman" w:cs="Times New Roman"/>
          <w:b/>
          <w:bCs/>
          <w:color w:val="000000" w:themeColor="text1"/>
          <w:sz w:val="24"/>
          <w14:textFill>
            <w14:solidFill>
              <w14:schemeClr w14:val="tx1"/>
            </w14:solidFill>
          </w14:textFill>
        </w:rPr>
        <w:t>Supplementary Table 15∣</w:t>
      </w:r>
      <w:r>
        <w:rPr>
          <w:rFonts w:ascii="Times New Roman" w:hAnsi="Times New Roman" w:cs="Times New Roman"/>
          <w:b/>
          <w:bCs/>
          <w:sz w:val="24"/>
        </w:rPr>
        <w:t>Genes deleted in this study.</w:t>
      </w:r>
    </w:p>
    <w:tbl>
      <w:tblPr>
        <w:tblStyle w:val="9"/>
        <w:tblW w:w="4883" w:type="pct"/>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1"/>
        <w:gridCol w:w="6512"/>
      </w:tblGrid>
      <w:tr w14:paraId="001378D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 w:hRule="atLeast"/>
          <w:jc w:val="center"/>
        </w:trPr>
        <w:tc>
          <w:tcPr>
            <w:tcW w:w="1088" w:type="pct"/>
            <w:tcBorders>
              <w:top w:val="single" w:color="000000" w:sz="8" w:space="0"/>
              <w:left w:val="nil"/>
              <w:bottom w:val="single" w:color="000000" w:sz="8" w:space="0"/>
              <w:right w:val="nil"/>
            </w:tcBorders>
          </w:tcPr>
          <w:p w14:paraId="442618CE">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Genes</w:t>
            </w:r>
          </w:p>
        </w:tc>
        <w:tc>
          <w:tcPr>
            <w:tcW w:w="3911" w:type="pct"/>
            <w:tcBorders>
              <w:top w:val="single" w:color="000000" w:sz="8" w:space="0"/>
              <w:bottom w:val="single" w:color="000000" w:sz="8" w:space="0"/>
              <w:right w:val="nil"/>
            </w:tcBorders>
          </w:tcPr>
          <w:p w14:paraId="04926AAF">
            <w:pPr>
              <w:adjustRightInd w:val="0"/>
              <w:snapToGrid w:val="0"/>
              <w:contextualSpacing/>
              <w:rPr>
                <w:rFonts w:ascii="Times New Roman" w:hAnsi="Times New Roman" w:cs="Times New Roman"/>
                <w:b/>
                <w:bCs/>
                <w:color w:val="000000"/>
                <w:sz w:val="24"/>
                <w:szCs w:val="21"/>
              </w:rPr>
            </w:pPr>
            <w:r>
              <w:rPr>
                <w:rFonts w:ascii="Times New Roman" w:hAnsi="Times New Roman" w:cs="Times New Roman"/>
                <w:b/>
                <w:bCs/>
                <w:color w:val="000000"/>
                <w:sz w:val="24"/>
                <w:szCs w:val="21"/>
              </w:rPr>
              <w:t>Deleted Sequence</w:t>
            </w:r>
          </w:p>
        </w:tc>
      </w:tr>
      <w:tr w14:paraId="085A491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088" w:type="pct"/>
            <w:shd w:val="clear" w:color="auto" w:fill="FFFFFF"/>
          </w:tcPr>
          <w:p w14:paraId="0610A675">
            <w:pPr>
              <w:adjustRightInd w:val="0"/>
              <w:snapToGrid w:val="0"/>
              <w:ind w:left="153" w:leftChars="73" w:firstLine="1"/>
              <w:contextualSpacing/>
              <w:rPr>
                <w:rFonts w:ascii="Times New Roman" w:hAnsi="Times New Roman" w:cs="Times New Roman"/>
                <w:bCs/>
                <w:color w:val="000000"/>
                <w:sz w:val="24"/>
                <w:szCs w:val="21"/>
              </w:rPr>
            </w:pPr>
            <w:r>
              <w:rPr>
                <w:rFonts w:ascii="Times New Roman" w:hAnsi="Times New Roman" w:cs="Times New Roman"/>
                <w:bCs/>
                <w:i/>
                <w:color w:val="000000"/>
                <w:sz w:val="24"/>
                <w:szCs w:val="21"/>
              </w:rPr>
              <w:t>Δ</w:t>
            </w:r>
            <w:r>
              <w:rPr>
                <w:rFonts w:ascii="Times New Roman" w:hAnsi="Times New Roman" w:cs="Times New Roman"/>
                <w:bCs/>
                <w:i/>
                <w:iCs/>
                <w:color w:val="000000"/>
                <w:sz w:val="24"/>
                <w:szCs w:val="21"/>
              </w:rPr>
              <w:t>agrD</w:t>
            </w:r>
          </w:p>
          <w:p w14:paraId="47CE86C2">
            <w:pPr>
              <w:adjustRightInd w:val="0"/>
              <w:snapToGrid w:val="0"/>
              <w:contextualSpacing/>
              <w:rPr>
                <w:rFonts w:ascii="Times New Roman" w:hAnsi="Times New Roman" w:cs="Times New Roman"/>
                <w:bCs/>
                <w:color w:val="000000"/>
                <w:sz w:val="24"/>
                <w:szCs w:val="21"/>
              </w:rPr>
            </w:pPr>
            <w:r>
              <w:rPr>
                <w:rFonts w:ascii="Times New Roman" w:hAnsi="Times New Roman" w:cs="Times New Roman"/>
                <w:color w:val="000000"/>
                <w:sz w:val="24"/>
              </w:rPr>
              <w:t>(CTK_C12140)</w:t>
            </w:r>
          </w:p>
        </w:tc>
        <w:tc>
          <w:tcPr>
            <w:tcW w:w="3911" w:type="pct"/>
            <w:shd w:val="clear" w:color="auto" w:fill="FFFFFF"/>
          </w:tcPr>
          <w:p w14:paraId="5914A712">
            <w:pPr>
              <w:adjustRightInd w:val="0"/>
              <w:snapToGrid w:val="0"/>
              <w:contextualSpacing/>
              <w:rPr>
                <w:rFonts w:ascii="Times New Roman" w:hAnsi="Times New Roman" w:cs="Times New Roman"/>
                <w:bCs/>
                <w:color w:val="000000"/>
                <w:sz w:val="24"/>
                <w:szCs w:val="21"/>
              </w:rPr>
            </w:pPr>
            <w:r>
              <w:rPr>
                <w:rFonts w:ascii="Times New Roman" w:hAnsi="Times New Roman" w:cs="Times New Roman"/>
                <w:color w:val="000000"/>
                <w:sz w:val="24"/>
              </w:rPr>
              <w:t>ATGAAATTTTTAAAAAGTTCTTTAACAAAAAAATCAATGAAAATGATAGGTTCCTTAGCATTATTTTTAGGGGGAATAGTGTTAGTACCAACATCGCTTGTTAGTGGACATCAACCAAAATGCCCTGATGAGTTATTAAAGTAA</w:t>
            </w:r>
          </w:p>
        </w:tc>
      </w:tr>
      <w:tr w14:paraId="0F2A16F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088" w:type="pct"/>
            <w:tcBorders>
              <w:bottom w:val="single" w:color="auto" w:sz="4" w:space="0"/>
            </w:tcBorders>
            <w:shd w:val="clear" w:color="auto" w:fill="FFFFFF"/>
          </w:tcPr>
          <w:p w14:paraId="0AB1B765">
            <w:pPr>
              <w:adjustRightInd w:val="0"/>
              <w:snapToGrid w:val="0"/>
              <w:ind w:left="153" w:leftChars="73" w:firstLine="1"/>
              <w:contextualSpacing/>
              <w:rPr>
                <w:rFonts w:ascii="Times New Roman" w:hAnsi="Times New Roman" w:cs="Times New Roman"/>
                <w:bCs/>
                <w:color w:val="000000"/>
                <w:sz w:val="24"/>
                <w:szCs w:val="21"/>
              </w:rPr>
            </w:pPr>
            <w:r>
              <w:rPr>
                <w:rFonts w:ascii="Times New Roman" w:hAnsi="Times New Roman" w:cs="Times New Roman"/>
                <w:bCs/>
                <w:i/>
                <w:color w:val="000000"/>
                <w:sz w:val="24"/>
                <w:szCs w:val="21"/>
              </w:rPr>
              <w:t>Δ</w:t>
            </w:r>
            <w:r>
              <w:rPr>
                <w:rFonts w:ascii="Times New Roman" w:hAnsi="Times New Roman" w:cs="Times New Roman"/>
                <w:bCs/>
                <w:i/>
                <w:iCs/>
                <w:color w:val="000000"/>
                <w:sz w:val="24"/>
                <w:szCs w:val="21"/>
              </w:rPr>
              <w:t>agrB</w:t>
            </w:r>
          </w:p>
          <w:p w14:paraId="5ED5433B">
            <w:pPr>
              <w:adjustRightInd w:val="0"/>
              <w:snapToGrid w:val="0"/>
              <w:contextualSpacing/>
              <w:rPr>
                <w:rFonts w:ascii="Times New Roman" w:hAnsi="Times New Roman" w:cs="Times New Roman"/>
                <w:bCs/>
                <w:color w:val="000000"/>
                <w:sz w:val="24"/>
              </w:rPr>
            </w:pPr>
            <w:r>
              <w:rPr>
                <w:rFonts w:ascii="Times New Roman" w:hAnsi="Times New Roman" w:cs="Times New Roman"/>
                <w:bCs/>
                <w:color w:val="000000"/>
                <w:sz w:val="24"/>
              </w:rPr>
              <w:t>(CTK_C12160)</w:t>
            </w:r>
          </w:p>
        </w:tc>
        <w:tc>
          <w:tcPr>
            <w:tcW w:w="3911" w:type="pct"/>
            <w:tcBorders>
              <w:bottom w:val="single" w:color="auto" w:sz="4" w:space="0"/>
            </w:tcBorders>
            <w:shd w:val="clear" w:color="auto" w:fill="FFFFFF"/>
          </w:tcPr>
          <w:p w14:paraId="36810859">
            <w:pPr>
              <w:adjustRightInd w:val="0"/>
              <w:snapToGrid w:val="0"/>
              <w:contextualSpacing/>
              <w:rPr>
                <w:rFonts w:ascii="Times New Roman" w:hAnsi="Times New Roman" w:cs="Times New Roman"/>
                <w:bCs/>
                <w:color w:val="000000"/>
                <w:sz w:val="24"/>
              </w:rPr>
            </w:pPr>
            <w:r>
              <w:rPr>
                <w:rFonts w:ascii="Times New Roman" w:hAnsi="Times New Roman" w:cs="Times New Roman"/>
                <w:color w:val="000000"/>
                <w:sz w:val="24"/>
              </w:rPr>
              <w:t>ATGAAAAATTTTATATCTCATCTAGTAGAAAAAATTTCTAAATCAAATCCTGAATTTTCAGATTTACAGTTAAAGAAAATGGAATATGGATTAACTTGTATTTTCGATGAGATTACAAAATTAATTCCTTATTATATAATATTTTGGATATTTTCTATTCAAAAATATTATATAATTGCTTTAATATTCTTTTGTCCTATTAGGCTATTTTCAGGTGGTTATCATGCAAAAACCTATTGGGGATGTTTTATTATGAGTTTTATTATATTTTCTACAATTATTATTGTTGGAAAATATTTAATAATTAATGTTAGTATTTTATCAATACTATTAATTATGTCTTTTATTTGTATTTGTATATTTTCACCTGTAGATAATGTTAACAGGCCAATCAAGAGCAGCGAACGTAAAAAGCAGCTTAATAAGTATTCAATAGTTATTACATTTATACTAATTGTAATTTGTTATTTTATTCCTAATAAAGTTTTAACTACTGCTGTTATATCAATTTTAAGTGCTACAATAATGATGATGATTGGAAAATTAAATATATAA</w:t>
            </w:r>
          </w:p>
        </w:tc>
      </w:tr>
    </w:tbl>
    <w:p w14:paraId="5CC023B9">
      <w:pPr>
        <w:suppressAutoHyphens/>
        <w:adjustRightInd w:val="0"/>
        <w:snapToGrid w:val="0"/>
        <w:rPr>
          <w:rFonts w:ascii="Times New Roman" w:hAnsi="Times New Roman" w:cs="Times New Roman"/>
          <w:b/>
          <w:bCs/>
          <w:sz w:val="24"/>
        </w:rPr>
      </w:pPr>
    </w:p>
    <w:sectPr>
      <w:type w:val="continuous"/>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no Pro">
    <w:altName w:val="PMingLiU-ExtB"/>
    <w:panose1 w:val="00000000000000000000"/>
    <w:charset w:val="00"/>
    <w:family w:val="roman"/>
    <w:pitch w:val="default"/>
    <w:sig w:usb0="00000000" w:usb1="00000000" w:usb2="00000000" w:usb3="00000000" w:csb0="2000019F" w:csb1="00000000"/>
  </w:font>
  <w:font w:name="PMingLiU-ExtB">
    <w:panose1 w:val="02020500000000000000"/>
    <w:charset w:val="88"/>
    <w:family w:val="auto"/>
    <w:pitch w:val="default"/>
    <w:sig w:usb0="8000002F" w:usb1="02000008" w:usb2="0000000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Arial">
    <w:panose1 w:val="020B0604020202020204"/>
    <w:charset w:val="00"/>
    <w:family w:val="swiss"/>
    <w:pitch w:val="default"/>
    <w:sig w:usb0="E0002EFF" w:usb1="C000785B" w:usb2="00000009" w:usb3="00000000" w:csb0="400001FF" w:csb1="FFFF0000"/>
  </w:font>
  <w:font w:name="sans-serif">
    <w:altName w:val="Calibri"/>
    <w:panose1 w:val="00000000000000000000"/>
    <w:charset w:val="00"/>
    <w:family w:val="auto"/>
    <w:pitch w:val="default"/>
    <w:sig w:usb0="00000000" w:usb1="00000000" w:usb2="00000000" w:usb3="00000000" w:csb0="00040001" w:csb1="00000000"/>
  </w:font>
  <w:font w:name="Segoe UI">
    <w:panose1 w:val="020B0502040204020203"/>
    <w:charset w:val="00"/>
    <w:family w:val="swiss"/>
    <w:pitch w:val="default"/>
    <w:sig w:usb0="E4002EFF" w:usb1="C000E47F" w:usb2="00000009" w:usb3="00000000" w:csb0="200001F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2058927"/>
    </w:sdtPr>
    <w:sdtContent>
      <w:p w14:paraId="164845AB">
        <w:pPr>
          <w:pStyle w:val="6"/>
          <w:jc w:val="center"/>
          <w:rPr>
            <w:rFonts w:hint="eastAsia"/>
          </w:rPr>
        </w:pPr>
        <w:r>
          <w:t>S</w:t>
        </w:r>
        <w:r>
          <w:fldChar w:fldCharType="begin"/>
        </w:r>
        <w:r>
          <w:instrText xml:space="preserve">PAGE   \* MERGEFORMAT</w:instrText>
        </w:r>
        <w:r>
          <w:fldChar w:fldCharType="separate"/>
        </w:r>
        <w:r>
          <w:rPr>
            <w:lang w:val="zh-CN"/>
          </w:rPr>
          <w:t>2</w:t>
        </w:r>
        <w:r>
          <w:fldChar w:fldCharType="end"/>
        </w:r>
      </w:p>
    </w:sdtContent>
  </w:sdt>
  <w:p w14:paraId="6DA56FAF">
    <w:pPr>
      <w:pStyle w:val="6"/>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425"/>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c1NLc0szAxMzY2sjRV0lEKTi0uzszPAykwNa0FACwHUvEtAAAA"/>
    <w:docVar w:name="commondata" w:val="eyJoZGlkIjoiN2IyMzJhOWMzOWU4MGY3YmJiNTRmODYxOWM0Y2QzZDgifQ=="/>
    <w:docVar w:name="EN.Layout" w:val="&lt;ENLayout&gt;&lt;Style&gt;Angewandte Chemi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KSO_WPS_MARK_KEY" w:val="d498b431-de7f-41d2-aa06-dc26180430af"/>
  </w:docVars>
  <w:rsids>
    <w:rsidRoot w:val="003A5FA2"/>
    <w:rsid w:val="00003D0F"/>
    <w:rsid w:val="00010244"/>
    <w:rsid w:val="00011598"/>
    <w:rsid w:val="000132A7"/>
    <w:rsid w:val="00014245"/>
    <w:rsid w:val="000202FA"/>
    <w:rsid w:val="00020385"/>
    <w:rsid w:val="00021BB2"/>
    <w:rsid w:val="000228D0"/>
    <w:rsid w:val="0003015C"/>
    <w:rsid w:val="00031E00"/>
    <w:rsid w:val="000329B7"/>
    <w:rsid w:val="00042E8D"/>
    <w:rsid w:val="000537EF"/>
    <w:rsid w:val="00054591"/>
    <w:rsid w:val="00054977"/>
    <w:rsid w:val="000560A5"/>
    <w:rsid w:val="00060766"/>
    <w:rsid w:val="00060B04"/>
    <w:rsid w:val="00060B28"/>
    <w:rsid w:val="000665F1"/>
    <w:rsid w:val="000734FE"/>
    <w:rsid w:val="00075B97"/>
    <w:rsid w:val="00076A8F"/>
    <w:rsid w:val="00076B9D"/>
    <w:rsid w:val="00080C62"/>
    <w:rsid w:val="000815BB"/>
    <w:rsid w:val="00084FDA"/>
    <w:rsid w:val="00091EB1"/>
    <w:rsid w:val="00097431"/>
    <w:rsid w:val="000A65DE"/>
    <w:rsid w:val="000B49DE"/>
    <w:rsid w:val="000B76FE"/>
    <w:rsid w:val="000C3D4E"/>
    <w:rsid w:val="000C4107"/>
    <w:rsid w:val="000C4AE8"/>
    <w:rsid w:val="000C5D05"/>
    <w:rsid w:val="000C7D83"/>
    <w:rsid w:val="000D4A75"/>
    <w:rsid w:val="000D53EE"/>
    <w:rsid w:val="000D6A94"/>
    <w:rsid w:val="000E0A20"/>
    <w:rsid w:val="000E17AB"/>
    <w:rsid w:val="000E323E"/>
    <w:rsid w:val="000E4122"/>
    <w:rsid w:val="000F4AAB"/>
    <w:rsid w:val="000F4B5C"/>
    <w:rsid w:val="000F5917"/>
    <w:rsid w:val="00101027"/>
    <w:rsid w:val="00111882"/>
    <w:rsid w:val="00112EB6"/>
    <w:rsid w:val="00113851"/>
    <w:rsid w:val="0012076C"/>
    <w:rsid w:val="00120914"/>
    <w:rsid w:val="00121F2C"/>
    <w:rsid w:val="0012300B"/>
    <w:rsid w:val="00131097"/>
    <w:rsid w:val="00134A1D"/>
    <w:rsid w:val="00136F75"/>
    <w:rsid w:val="00144478"/>
    <w:rsid w:val="00145178"/>
    <w:rsid w:val="00153A91"/>
    <w:rsid w:val="00154B07"/>
    <w:rsid w:val="00160EB0"/>
    <w:rsid w:val="00162077"/>
    <w:rsid w:val="0016358E"/>
    <w:rsid w:val="00165252"/>
    <w:rsid w:val="00176F77"/>
    <w:rsid w:val="00183293"/>
    <w:rsid w:val="00183467"/>
    <w:rsid w:val="00197A8D"/>
    <w:rsid w:val="00197FE0"/>
    <w:rsid w:val="001A1201"/>
    <w:rsid w:val="001A1445"/>
    <w:rsid w:val="001A320E"/>
    <w:rsid w:val="001A4E32"/>
    <w:rsid w:val="001A6AD8"/>
    <w:rsid w:val="001A6D46"/>
    <w:rsid w:val="001B08A9"/>
    <w:rsid w:val="001B2DD4"/>
    <w:rsid w:val="001C0F59"/>
    <w:rsid w:val="001C3809"/>
    <w:rsid w:val="001C59A3"/>
    <w:rsid w:val="001C690B"/>
    <w:rsid w:val="001C6D10"/>
    <w:rsid w:val="001D0738"/>
    <w:rsid w:val="001D1BDB"/>
    <w:rsid w:val="001E0222"/>
    <w:rsid w:val="001E1FD7"/>
    <w:rsid w:val="001E2B27"/>
    <w:rsid w:val="001F3C49"/>
    <w:rsid w:val="00201ECA"/>
    <w:rsid w:val="00202115"/>
    <w:rsid w:val="002026B2"/>
    <w:rsid w:val="00204E29"/>
    <w:rsid w:val="00205A4D"/>
    <w:rsid w:val="00214A84"/>
    <w:rsid w:val="00215CBF"/>
    <w:rsid w:val="00220C98"/>
    <w:rsid w:val="00221893"/>
    <w:rsid w:val="00221B8F"/>
    <w:rsid w:val="0022209D"/>
    <w:rsid w:val="00225B9A"/>
    <w:rsid w:val="002260C1"/>
    <w:rsid w:val="00226616"/>
    <w:rsid w:val="002315F6"/>
    <w:rsid w:val="00233626"/>
    <w:rsid w:val="002338AB"/>
    <w:rsid w:val="002355E1"/>
    <w:rsid w:val="002414C4"/>
    <w:rsid w:val="002460D2"/>
    <w:rsid w:val="002535A5"/>
    <w:rsid w:val="00253CA0"/>
    <w:rsid w:val="00261921"/>
    <w:rsid w:val="00270191"/>
    <w:rsid w:val="002768D2"/>
    <w:rsid w:val="00280BC0"/>
    <w:rsid w:val="00282B4B"/>
    <w:rsid w:val="00283BBE"/>
    <w:rsid w:val="002849CC"/>
    <w:rsid w:val="00292B93"/>
    <w:rsid w:val="00293BBE"/>
    <w:rsid w:val="00293ECF"/>
    <w:rsid w:val="00294A1B"/>
    <w:rsid w:val="00296847"/>
    <w:rsid w:val="00296BB7"/>
    <w:rsid w:val="002A226B"/>
    <w:rsid w:val="002A2B91"/>
    <w:rsid w:val="002A352E"/>
    <w:rsid w:val="002A3C6D"/>
    <w:rsid w:val="002A42C8"/>
    <w:rsid w:val="002A645D"/>
    <w:rsid w:val="002B17E1"/>
    <w:rsid w:val="002B2FB1"/>
    <w:rsid w:val="002B44F5"/>
    <w:rsid w:val="002B5CF2"/>
    <w:rsid w:val="002B5D04"/>
    <w:rsid w:val="002D3742"/>
    <w:rsid w:val="002D748C"/>
    <w:rsid w:val="002D7B7B"/>
    <w:rsid w:val="002E039C"/>
    <w:rsid w:val="002F1106"/>
    <w:rsid w:val="002F43E6"/>
    <w:rsid w:val="002F6411"/>
    <w:rsid w:val="00300011"/>
    <w:rsid w:val="00301529"/>
    <w:rsid w:val="003040F8"/>
    <w:rsid w:val="00305085"/>
    <w:rsid w:val="003068B0"/>
    <w:rsid w:val="003108A3"/>
    <w:rsid w:val="00310BA5"/>
    <w:rsid w:val="00311D44"/>
    <w:rsid w:val="003121AC"/>
    <w:rsid w:val="00314108"/>
    <w:rsid w:val="0031501B"/>
    <w:rsid w:val="00317B55"/>
    <w:rsid w:val="003214D4"/>
    <w:rsid w:val="00322AF4"/>
    <w:rsid w:val="00322F87"/>
    <w:rsid w:val="00327055"/>
    <w:rsid w:val="00334A63"/>
    <w:rsid w:val="00334D6D"/>
    <w:rsid w:val="00335EA5"/>
    <w:rsid w:val="0034152B"/>
    <w:rsid w:val="003419C4"/>
    <w:rsid w:val="00344680"/>
    <w:rsid w:val="00346944"/>
    <w:rsid w:val="00346C37"/>
    <w:rsid w:val="003474F3"/>
    <w:rsid w:val="003524BB"/>
    <w:rsid w:val="00352724"/>
    <w:rsid w:val="00354282"/>
    <w:rsid w:val="0036010B"/>
    <w:rsid w:val="00360766"/>
    <w:rsid w:val="00362032"/>
    <w:rsid w:val="00362FC0"/>
    <w:rsid w:val="00364145"/>
    <w:rsid w:val="0036493C"/>
    <w:rsid w:val="00373AC4"/>
    <w:rsid w:val="00377D39"/>
    <w:rsid w:val="00382DF6"/>
    <w:rsid w:val="00383967"/>
    <w:rsid w:val="0038506C"/>
    <w:rsid w:val="003901BC"/>
    <w:rsid w:val="00390E86"/>
    <w:rsid w:val="003921B2"/>
    <w:rsid w:val="0039281E"/>
    <w:rsid w:val="00392E69"/>
    <w:rsid w:val="00395468"/>
    <w:rsid w:val="003A1DDD"/>
    <w:rsid w:val="003A5442"/>
    <w:rsid w:val="003A5FA2"/>
    <w:rsid w:val="003B13E1"/>
    <w:rsid w:val="003B3C23"/>
    <w:rsid w:val="003B45A2"/>
    <w:rsid w:val="003B4CF1"/>
    <w:rsid w:val="003B6B55"/>
    <w:rsid w:val="003C2374"/>
    <w:rsid w:val="003C2894"/>
    <w:rsid w:val="003D33FD"/>
    <w:rsid w:val="003D383A"/>
    <w:rsid w:val="003D74F3"/>
    <w:rsid w:val="003E173B"/>
    <w:rsid w:val="003E4940"/>
    <w:rsid w:val="003E532F"/>
    <w:rsid w:val="003F41AD"/>
    <w:rsid w:val="003F7426"/>
    <w:rsid w:val="00400126"/>
    <w:rsid w:val="00401774"/>
    <w:rsid w:val="00403AB2"/>
    <w:rsid w:val="00404368"/>
    <w:rsid w:val="00405C47"/>
    <w:rsid w:val="00407B88"/>
    <w:rsid w:val="00413808"/>
    <w:rsid w:val="00420387"/>
    <w:rsid w:val="00420FB4"/>
    <w:rsid w:val="0042200C"/>
    <w:rsid w:val="00423959"/>
    <w:rsid w:val="00426247"/>
    <w:rsid w:val="004262F9"/>
    <w:rsid w:val="0042734A"/>
    <w:rsid w:val="00427B7B"/>
    <w:rsid w:val="0043329B"/>
    <w:rsid w:val="00436FD5"/>
    <w:rsid w:val="004410AA"/>
    <w:rsid w:val="0044486C"/>
    <w:rsid w:val="004449AC"/>
    <w:rsid w:val="00444B86"/>
    <w:rsid w:val="0044578C"/>
    <w:rsid w:val="00447893"/>
    <w:rsid w:val="00451EBD"/>
    <w:rsid w:val="00462E2B"/>
    <w:rsid w:val="0046479E"/>
    <w:rsid w:val="00465AB5"/>
    <w:rsid w:val="00466066"/>
    <w:rsid w:val="00472ABE"/>
    <w:rsid w:val="004749C2"/>
    <w:rsid w:val="00481B9E"/>
    <w:rsid w:val="00483347"/>
    <w:rsid w:val="004875E1"/>
    <w:rsid w:val="004922FA"/>
    <w:rsid w:val="0049234A"/>
    <w:rsid w:val="004934FE"/>
    <w:rsid w:val="00493EA7"/>
    <w:rsid w:val="0049471C"/>
    <w:rsid w:val="004A2E53"/>
    <w:rsid w:val="004A63BF"/>
    <w:rsid w:val="004B3413"/>
    <w:rsid w:val="004B42D3"/>
    <w:rsid w:val="004B52FA"/>
    <w:rsid w:val="004B7BB0"/>
    <w:rsid w:val="004C3CAA"/>
    <w:rsid w:val="004D26A9"/>
    <w:rsid w:val="004D61F4"/>
    <w:rsid w:val="004D727F"/>
    <w:rsid w:val="004D79CC"/>
    <w:rsid w:val="004E2BD7"/>
    <w:rsid w:val="004E318B"/>
    <w:rsid w:val="004E3695"/>
    <w:rsid w:val="004E487D"/>
    <w:rsid w:val="004E6A26"/>
    <w:rsid w:val="004F5906"/>
    <w:rsid w:val="0050198A"/>
    <w:rsid w:val="00503A0E"/>
    <w:rsid w:val="00504315"/>
    <w:rsid w:val="0050447F"/>
    <w:rsid w:val="00505080"/>
    <w:rsid w:val="0051029D"/>
    <w:rsid w:val="00511C16"/>
    <w:rsid w:val="00511CD1"/>
    <w:rsid w:val="0051318C"/>
    <w:rsid w:val="00513741"/>
    <w:rsid w:val="005151C2"/>
    <w:rsid w:val="005162B3"/>
    <w:rsid w:val="0051784F"/>
    <w:rsid w:val="005200E4"/>
    <w:rsid w:val="00520D7A"/>
    <w:rsid w:val="00524E80"/>
    <w:rsid w:val="00525AD3"/>
    <w:rsid w:val="00525C44"/>
    <w:rsid w:val="005264C6"/>
    <w:rsid w:val="00531C7B"/>
    <w:rsid w:val="00536724"/>
    <w:rsid w:val="00536923"/>
    <w:rsid w:val="005374C7"/>
    <w:rsid w:val="00537E46"/>
    <w:rsid w:val="00544D93"/>
    <w:rsid w:val="00545EF4"/>
    <w:rsid w:val="00552B4C"/>
    <w:rsid w:val="00552F2B"/>
    <w:rsid w:val="005549CC"/>
    <w:rsid w:val="00561632"/>
    <w:rsid w:val="005662E6"/>
    <w:rsid w:val="0056777C"/>
    <w:rsid w:val="005720E5"/>
    <w:rsid w:val="00572605"/>
    <w:rsid w:val="00574932"/>
    <w:rsid w:val="00576916"/>
    <w:rsid w:val="00577A53"/>
    <w:rsid w:val="00577B39"/>
    <w:rsid w:val="00586C2C"/>
    <w:rsid w:val="00592C52"/>
    <w:rsid w:val="00595EB1"/>
    <w:rsid w:val="00596A20"/>
    <w:rsid w:val="00596CEE"/>
    <w:rsid w:val="005972F6"/>
    <w:rsid w:val="005A7A2C"/>
    <w:rsid w:val="005B00BC"/>
    <w:rsid w:val="005B2393"/>
    <w:rsid w:val="005B3DE2"/>
    <w:rsid w:val="005B60F3"/>
    <w:rsid w:val="005B6DDE"/>
    <w:rsid w:val="005C2206"/>
    <w:rsid w:val="005C3744"/>
    <w:rsid w:val="005C3AFE"/>
    <w:rsid w:val="005C6E6C"/>
    <w:rsid w:val="005D0D33"/>
    <w:rsid w:val="005D77AB"/>
    <w:rsid w:val="005E4478"/>
    <w:rsid w:val="005E5FDB"/>
    <w:rsid w:val="005F4B33"/>
    <w:rsid w:val="005F682D"/>
    <w:rsid w:val="00601945"/>
    <w:rsid w:val="00601A4E"/>
    <w:rsid w:val="006030E1"/>
    <w:rsid w:val="0062050F"/>
    <w:rsid w:val="00622E00"/>
    <w:rsid w:val="0062736A"/>
    <w:rsid w:val="006349C8"/>
    <w:rsid w:val="00642CC3"/>
    <w:rsid w:val="006514E1"/>
    <w:rsid w:val="0065257E"/>
    <w:rsid w:val="006554C1"/>
    <w:rsid w:val="00660303"/>
    <w:rsid w:val="006606C9"/>
    <w:rsid w:val="00663CA2"/>
    <w:rsid w:val="006676C3"/>
    <w:rsid w:val="006677E8"/>
    <w:rsid w:val="00680B52"/>
    <w:rsid w:val="006824A2"/>
    <w:rsid w:val="00683E64"/>
    <w:rsid w:val="006857AD"/>
    <w:rsid w:val="00685A39"/>
    <w:rsid w:val="0069054A"/>
    <w:rsid w:val="0069099A"/>
    <w:rsid w:val="006910F5"/>
    <w:rsid w:val="00691402"/>
    <w:rsid w:val="006923B6"/>
    <w:rsid w:val="0069292A"/>
    <w:rsid w:val="006A3134"/>
    <w:rsid w:val="006A3AE4"/>
    <w:rsid w:val="006A542B"/>
    <w:rsid w:val="006A72EE"/>
    <w:rsid w:val="006A797D"/>
    <w:rsid w:val="006B3658"/>
    <w:rsid w:val="006B68C7"/>
    <w:rsid w:val="006C07CB"/>
    <w:rsid w:val="006C2261"/>
    <w:rsid w:val="006C23C9"/>
    <w:rsid w:val="006C27A4"/>
    <w:rsid w:val="006D08EF"/>
    <w:rsid w:val="006D2431"/>
    <w:rsid w:val="006D53C6"/>
    <w:rsid w:val="006D73E5"/>
    <w:rsid w:val="006E1A62"/>
    <w:rsid w:val="006F0489"/>
    <w:rsid w:val="006F188B"/>
    <w:rsid w:val="006F400A"/>
    <w:rsid w:val="006F4B47"/>
    <w:rsid w:val="006F633F"/>
    <w:rsid w:val="006F63BC"/>
    <w:rsid w:val="006F7BF9"/>
    <w:rsid w:val="00705FBE"/>
    <w:rsid w:val="007063B6"/>
    <w:rsid w:val="00707A5B"/>
    <w:rsid w:val="00712E0C"/>
    <w:rsid w:val="007156EF"/>
    <w:rsid w:val="0071583F"/>
    <w:rsid w:val="00717358"/>
    <w:rsid w:val="00717F99"/>
    <w:rsid w:val="00725D19"/>
    <w:rsid w:val="00726C8D"/>
    <w:rsid w:val="00727F02"/>
    <w:rsid w:val="00731332"/>
    <w:rsid w:val="00734E43"/>
    <w:rsid w:val="00735573"/>
    <w:rsid w:val="00736AA5"/>
    <w:rsid w:val="00741280"/>
    <w:rsid w:val="007439DB"/>
    <w:rsid w:val="00747228"/>
    <w:rsid w:val="0075038E"/>
    <w:rsid w:val="007507F0"/>
    <w:rsid w:val="007509F1"/>
    <w:rsid w:val="00753202"/>
    <w:rsid w:val="00756805"/>
    <w:rsid w:val="00762616"/>
    <w:rsid w:val="0076424B"/>
    <w:rsid w:val="00765873"/>
    <w:rsid w:val="0076608A"/>
    <w:rsid w:val="007672E2"/>
    <w:rsid w:val="007702AE"/>
    <w:rsid w:val="007705E1"/>
    <w:rsid w:val="007733FC"/>
    <w:rsid w:val="00777727"/>
    <w:rsid w:val="00777811"/>
    <w:rsid w:val="00781675"/>
    <w:rsid w:val="007822A2"/>
    <w:rsid w:val="007826E9"/>
    <w:rsid w:val="00782FD2"/>
    <w:rsid w:val="00783876"/>
    <w:rsid w:val="00790C3B"/>
    <w:rsid w:val="00795EE4"/>
    <w:rsid w:val="007A16C0"/>
    <w:rsid w:val="007A253E"/>
    <w:rsid w:val="007A39B7"/>
    <w:rsid w:val="007A3AF3"/>
    <w:rsid w:val="007A410E"/>
    <w:rsid w:val="007A459E"/>
    <w:rsid w:val="007A5B05"/>
    <w:rsid w:val="007B2E5F"/>
    <w:rsid w:val="007B3539"/>
    <w:rsid w:val="007B701C"/>
    <w:rsid w:val="007B7EAD"/>
    <w:rsid w:val="007C15B9"/>
    <w:rsid w:val="007C1A89"/>
    <w:rsid w:val="007C1D00"/>
    <w:rsid w:val="007C5A42"/>
    <w:rsid w:val="007C6BAD"/>
    <w:rsid w:val="007C6FA5"/>
    <w:rsid w:val="007D74F9"/>
    <w:rsid w:val="007E013F"/>
    <w:rsid w:val="007E0CC8"/>
    <w:rsid w:val="007E5342"/>
    <w:rsid w:val="007E61CA"/>
    <w:rsid w:val="007E6524"/>
    <w:rsid w:val="007E72E1"/>
    <w:rsid w:val="007F2512"/>
    <w:rsid w:val="007F295A"/>
    <w:rsid w:val="007F3740"/>
    <w:rsid w:val="007F6329"/>
    <w:rsid w:val="008020C1"/>
    <w:rsid w:val="00802A6A"/>
    <w:rsid w:val="00802A6E"/>
    <w:rsid w:val="00803D14"/>
    <w:rsid w:val="0080548D"/>
    <w:rsid w:val="00814F2B"/>
    <w:rsid w:val="00815598"/>
    <w:rsid w:val="008165D4"/>
    <w:rsid w:val="00823BB2"/>
    <w:rsid w:val="00832472"/>
    <w:rsid w:val="008328CE"/>
    <w:rsid w:val="008403C5"/>
    <w:rsid w:val="00841C4A"/>
    <w:rsid w:val="008444BD"/>
    <w:rsid w:val="008542F2"/>
    <w:rsid w:val="00854396"/>
    <w:rsid w:val="0085655D"/>
    <w:rsid w:val="00861D32"/>
    <w:rsid w:val="008629E3"/>
    <w:rsid w:val="00863852"/>
    <w:rsid w:val="00867E2A"/>
    <w:rsid w:val="00874786"/>
    <w:rsid w:val="0087541C"/>
    <w:rsid w:val="00875AD7"/>
    <w:rsid w:val="00880EF0"/>
    <w:rsid w:val="0088346D"/>
    <w:rsid w:val="0088632F"/>
    <w:rsid w:val="00891A6E"/>
    <w:rsid w:val="008A1500"/>
    <w:rsid w:val="008A23DD"/>
    <w:rsid w:val="008A2F34"/>
    <w:rsid w:val="008A35CD"/>
    <w:rsid w:val="008A3730"/>
    <w:rsid w:val="008A515C"/>
    <w:rsid w:val="008A5239"/>
    <w:rsid w:val="008A77D9"/>
    <w:rsid w:val="008B37E2"/>
    <w:rsid w:val="008B5FD2"/>
    <w:rsid w:val="008B7425"/>
    <w:rsid w:val="008C0201"/>
    <w:rsid w:val="008C6630"/>
    <w:rsid w:val="008D5725"/>
    <w:rsid w:val="008D5F6E"/>
    <w:rsid w:val="008D652F"/>
    <w:rsid w:val="008D6BD7"/>
    <w:rsid w:val="008E18D1"/>
    <w:rsid w:val="008E494B"/>
    <w:rsid w:val="008F4878"/>
    <w:rsid w:val="008F5F12"/>
    <w:rsid w:val="00901113"/>
    <w:rsid w:val="00902432"/>
    <w:rsid w:val="009145B9"/>
    <w:rsid w:val="00920B1B"/>
    <w:rsid w:val="00921BC8"/>
    <w:rsid w:val="00922054"/>
    <w:rsid w:val="00926833"/>
    <w:rsid w:val="00933DD4"/>
    <w:rsid w:val="00942E6D"/>
    <w:rsid w:val="009465A3"/>
    <w:rsid w:val="009469D2"/>
    <w:rsid w:val="00951FB4"/>
    <w:rsid w:val="0095369C"/>
    <w:rsid w:val="009621D0"/>
    <w:rsid w:val="00964601"/>
    <w:rsid w:val="009657F0"/>
    <w:rsid w:val="00965E80"/>
    <w:rsid w:val="00971643"/>
    <w:rsid w:val="0097260B"/>
    <w:rsid w:val="009730C3"/>
    <w:rsid w:val="00974992"/>
    <w:rsid w:val="00975E75"/>
    <w:rsid w:val="009776E8"/>
    <w:rsid w:val="00980D89"/>
    <w:rsid w:val="00981EB0"/>
    <w:rsid w:val="009822A5"/>
    <w:rsid w:val="00984564"/>
    <w:rsid w:val="00984987"/>
    <w:rsid w:val="00985743"/>
    <w:rsid w:val="00990C0E"/>
    <w:rsid w:val="00990D0E"/>
    <w:rsid w:val="00991FA7"/>
    <w:rsid w:val="009A3907"/>
    <w:rsid w:val="009A3D2D"/>
    <w:rsid w:val="009A7249"/>
    <w:rsid w:val="009B161E"/>
    <w:rsid w:val="009B2CFF"/>
    <w:rsid w:val="009B5636"/>
    <w:rsid w:val="009B5D5A"/>
    <w:rsid w:val="009B6BEE"/>
    <w:rsid w:val="009C0733"/>
    <w:rsid w:val="009C36CC"/>
    <w:rsid w:val="009C37F0"/>
    <w:rsid w:val="009D03B1"/>
    <w:rsid w:val="009D355F"/>
    <w:rsid w:val="009E2E9F"/>
    <w:rsid w:val="009E7AD9"/>
    <w:rsid w:val="009F398E"/>
    <w:rsid w:val="009F593B"/>
    <w:rsid w:val="00A004EE"/>
    <w:rsid w:val="00A06B4D"/>
    <w:rsid w:val="00A10ABF"/>
    <w:rsid w:val="00A140AE"/>
    <w:rsid w:val="00A14CA5"/>
    <w:rsid w:val="00A162E8"/>
    <w:rsid w:val="00A163F4"/>
    <w:rsid w:val="00A171FF"/>
    <w:rsid w:val="00A230CF"/>
    <w:rsid w:val="00A23C38"/>
    <w:rsid w:val="00A25947"/>
    <w:rsid w:val="00A33D0E"/>
    <w:rsid w:val="00A342AB"/>
    <w:rsid w:val="00A34C21"/>
    <w:rsid w:val="00A42C89"/>
    <w:rsid w:val="00A516E1"/>
    <w:rsid w:val="00A54B82"/>
    <w:rsid w:val="00A6216B"/>
    <w:rsid w:val="00A62B20"/>
    <w:rsid w:val="00A7319B"/>
    <w:rsid w:val="00A74DBA"/>
    <w:rsid w:val="00A750A5"/>
    <w:rsid w:val="00A77C87"/>
    <w:rsid w:val="00A80149"/>
    <w:rsid w:val="00A8268C"/>
    <w:rsid w:val="00A82DBF"/>
    <w:rsid w:val="00A8319A"/>
    <w:rsid w:val="00A8751D"/>
    <w:rsid w:val="00A9130A"/>
    <w:rsid w:val="00A93397"/>
    <w:rsid w:val="00A93FB9"/>
    <w:rsid w:val="00AA08D5"/>
    <w:rsid w:val="00AA12D9"/>
    <w:rsid w:val="00AA1CB4"/>
    <w:rsid w:val="00AA249D"/>
    <w:rsid w:val="00AA2E2E"/>
    <w:rsid w:val="00AA3A29"/>
    <w:rsid w:val="00AA570C"/>
    <w:rsid w:val="00AB071E"/>
    <w:rsid w:val="00AB25A2"/>
    <w:rsid w:val="00AB2E38"/>
    <w:rsid w:val="00AB5525"/>
    <w:rsid w:val="00AB61C7"/>
    <w:rsid w:val="00AB645D"/>
    <w:rsid w:val="00AB7025"/>
    <w:rsid w:val="00AB7F01"/>
    <w:rsid w:val="00AC08D0"/>
    <w:rsid w:val="00AC3FAD"/>
    <w:rsid w:val="00AC4FF9"/>
    <w:rsid w:val="00AC5079"/>
    <w:rsid w:val="00AC7BCD"/>
    <w:rsid w:val="00AD18D3"/>
    <w:rsid w:val="00AD5B37"/>
    <w:rsid w:val="00AD5E5C"/>
    <w:rsid w:val="00AE0CD1"/>
    <w:rsid w:val="00AE108D"/>
    <w:rsid w:val="00AE27EF"/>
    <w:rsid w:val="00AE376A"/>
    <w:rsid w:val="00AE4829"/>
    <w:rsid w:val="00AE697F"/>
    <w:rsid w:val="00AE7995"/>
    <w:rsid w:val="00AF24FC"/>
    <w:rsid w:val="00AF42B2"/>
    <w:rsid w:val="00AF7AA7"/>
    <w:rsid w:val="00B02010"/>
    <w:rsid w:val="00B02A1D"/>
    <w:rsid w:val="00B02DA6"/>
    <w:rsid w:val="00B05436"/>
    <w:rsid w:val="00B05503"/>
    <w:rsid w:val="00B0753E"/>
    <w:rsid w:val="00B13FFB"/>
    <w:rsid w:val="00B149C9"/>
    <w:rsid w:val="00B167BA"/>
    <w:rsid w:val="00B21933"/>
    <w:rsid w:val="00B21ECE"/>
    <w:rsid w:val="00B22508"/>
    <w:rsid w:val="00B25621"/>
    <w:rsid w:val="00B3391C"/>
    <w:rsid w:val="00B33C42"/>
    <w:rsid w:val="00B37306"/>
    <w:rsid w:val="00B4045A"/>
    <w:rsid w:val="00B41B0A"/>
    <w:rsid w:val="00B45338"/>
    <w:rsid w:val="00B46833"/>
    <w:rsid w:val="00B5065D"/>
    <w:rsid w:val="00B57687"/>
    <w:rsid w:val="00B57A42"/>
    <w:rsid w:val="00B6047F"/>
    <w:rsid w:val="00B6483B"/>
    <w:rsid w:val="00B7243E"/>
    <w:rsid w:val="00B76674"/>
    <w:rsid w:val="00B767A6"/>
    <w:rsid w:val="00B808F4"/>
    <w:rsid w:val="00B90C2A"/>
    <w:rsid w:val="00B9229F"/>
    <w:rsid w:val="00BA3791"/>
    <w:rsid w:val="00BA4B35"/>
    <w:rsid w:val="00BA4E77"/>
    <w:rsid w:val="00BA5B75"/>
    <w:rsid w:val="00BA6816"/>
    <w:rsid w:val="00BB3C6A"/>
    <w:rsid w:val="00BB4923"/>
    <w:rsid w:val="00BB4957"/>
    <w:rsid w:val="00BB4CDF"/>
    <w:rsid w:val="00BC3E73"/>
    <w:rsid w:val="00BC7BEE"/>
    <w:rsid w:val="00BD39CE"/>
    <w:rsid w:val="00BD435A"/>
    <w:rsid w:val="00BD56C8"/>
    <w:rsid w:val="00BD5FD1"/>
    <w:rsid w:val="00BD6FF0"/>
    <w:rsid w:val="00BE06B4"/>
    <w:rsid w:val="00BE070B"/>
    <w:rsid w:val="00BE4EFA"/>
    <w:rsid w:val="00BE590B"/>
    <w:rsid w:val="00BE59A2"/>
    <w:rsid w:val="00BE6CD6"/>
    <w:rsid w:val="00BF217B"/>
    <w:rsid w:val="00BF3E09"/>
    <w:rsid w:val="00C057EA"/>
    <w:rsid w:val="00C06FB5"/>
    <w:rsid w:val="00C07EB4"/>
    <w:rsid w:val="00C106A3"/>
    <w:rsid w:val="00C150B1"/>
    <w:rsid w:val="00C15A76"/>
    <w:rsid w:val="00C16AD6"/>
    <w:rsid w:val="00C17837"/>
    <w:rsid w:val="00C17B00"/>
    <w:rsid w:val="00C2101F"/>
    <w:rsid w:val="00C3062D"/>
    <w:rsid w:val="00C328BD"/>
    <w:rsid w:val="00C32B39"/>
    <w:rsid w:val="00C33CD3"/>
    <w:rsid w:val="00C3514C"/>
    <w:rsid w:val="00C42B67"/>
    <w:rsid w:val="00C440D6"/>
    <w:rsid w:val="00C5288A"/>
    <w:rsid w:val="00C55961"/>
    <w:rsid w:val="00C55F97"/>
    <w:rsid w:val="00C5633F"/>
    <w:rsid w:val="00C5658D"/>
    <w:rsid w:val="00C574D0"/>
    <w:rsid w:val="00C71E88"/>
    <w:rsid w:val="00C71F4A"/>
    <w:rsid w:val="00C721D0"/>
    <w:rsid w:val="00C7271A"/>
    <w:rsid w:val="00C750D7"/>
    <w:rsid w:val="00C76184"/>
    <w:rsid w:val="00C77FCA"/>
    <w:rsid w:val="00C84F7A"/>
    <w:rsid w:val="00C91B9B"/>
    <w:rsid w:val="00C932C5"/>
    <w:rsid w:val="00C9722A"/>
    <w:rsid w:val="00CA3712"/>
    <w:rsid w:val="00CB0182"/>
    <w:rsid w:val="00CB0D40"/>
    <w:rsid w:val="00CB2A07"/>
    <w:rsid w:val="00CB4399"/>
    <w:rsid w:val="00CC04DA"/>
    <w:rsid w:val="00CC0CED"/>
    <w:rsid w:val="00CC30BC"/>
    <w:rsid w:val="00CC4B83"/>
    <w:rsid w:val="00CD029A"/>
    <w:rsid w:val="00CE0838"/>
    <w:rsid w:val="00CE0B9C"/>
    <w:rsid w:val="00CF0977"/>
    <w:rsid w:val="00CF284D"/>
    <w:rsid w:val="00CF2F0D"/>
    <w:rsid w:val="00CF4F26"/>
    <w:rsid w:val="00CF7464"/>
    <w:rsid w:val="00D002BE"/>
    <w:rsid w:val="00D012F7"/>
    <w:rsid w:val="00D01FF3"/>
    <w:rsid w:val="00D04C77"/>
    <w:rsid w:val="00D11D39"/>
    <w:rsid w:val="00D12531"/>
    <w:rsid w:val="00D13F0C"/>
    <w:rsid w:val="00D14D49"/>
    <w:rsid w:val="00D15058"/>
    <w:rsid w:val="00D15C08"/>
    <w:rsid w:val="00D207B2"/>
    <w:rsid w:val="00D216CB"/>
    <w:rsid w:val="00D36267"/>
    <w:rsid w:val="00D36EF8"/>
    <w:rsid w:val="00D466D0"/>
    <w:rsid w:val="00D534C7"/>
    <w:rsid w:val="00D542CB"/>
    <w:rsid w:val="00D57370"/>
    <w:rsid w:val="00D6324F"/>
    <w:rsid w:val="00D63887"/>
    <w:rsid w:val="00D651D9"/>
    <w:rsid w:val="00D652C7"/>
    <w:rsid w:val="00D65D63"/>
    <w:rsid w:val="00D65EC4"/>
    <w:rsid w:val="00D73024"/>
    <w:rsid w:val="00D731DD"/>
    <w:rsid w:val="00D74153"/>
    <w:rsid w:val="00D7432D"/>
    <w:rsid w:val="00D8121B"/>
    <w:rsid w:val="00D8285D"/>
    <w:rsid w:val="00D82BB7"/>
    <w:rsid w:val="00D90CCD"/>
    <w:rsid w:val="00D91273"/>
    <w:rsid w:val="00D9300B"/>
    <w:rsid w:val="00D9313C"/>
    <w:rsid w:val="00D94AA2"/>
    <w:rsid w:val="00D9795D"/>
    <w:rsid w:val="00DA4607"/>
    <w:rsid w:val="00DA5B36"/>
    <w:rsid w:val="00DA5D38"/>
    <w:rsid w:val="00DA61FD"/>
    <w:rsid w:val="00DB0E8D"/>
    <w:rsid w:val="00DB18DA"/>
    <w:rsid w:val="00DB20D2"/>
    <w:rsid w:val="00DB3657"/>
    <w:rsid w:val="00DB5122"/>
    <w:rsid w:val="00DB5234"/>
    <w:rsid w:val="00DB6DE5"/>
    <w:rsid w:val="00DB79B0"/>
    <w:rsid w:val="00DC37BA"/>
    <w:rsid w:val="00DC494F"/>
    <w:rsid w:val="00DD62CA"/>
    <w:rsid w:val="00DD79EE"/>
    <w:rsid w:val="00DE3AD8"/>
    <w:rsid w:val="00DE502C"/>
    <w:rsid w:val="00DE6AFD"/>
    <w:rsid w:val="00DE7739"/>
    <w:rsid w:val="00DF452B"/>
    <w:rsid w:val="00DF7D1B"/>
    <w:rsid w:val="00E00F7C"/>
    <w:rsid w:val="00E01C29"/>
    <w:rsid w:val="00E04F3B"/>
    <w:rsid w:val="00E068FC"/>
    <w:rsid w:val="00E0697F"/>
    <w:rsid w:val="00E11204"/>
    <w:rsid w:val="00E12FD8"/>
    <w:rsid w:val="00E20AB8"/>
    <w:rsid w:val="00E27E04"/>
    <w:rsid w:val="00E31AA0"/>
    <w:rsid w:val="00E328DA"/>
    <w:rsid w:val="00E33D29"/>
    <w:rsid w:val="00E3434A"/>
    <w:rsid w:val="00E37A34"/>
    <w:rsid w:val="00E41329"/>
    <w:rsid w:val="00E46298"/>
    <w:rsid w:val="00E50142"/>
    <w:rsid w:val="00E54B97"/>
    <w:rsid w:val="00E62719"/>
    <w:rsid w:val="00E6278F"/>
    <w:rsid w:val="00E64DB8"/>
    <w:rsid w:val="00E65BF4"/>
    <w:rsid w:val="00E74428"/>
    <w:rsid w:val="00E75135"/>
    <w:rsid w:val="00E7690B"/>
    <w:rsid w:val="00E84BCE"/>
    <w:rsid w:val="00E85425"/>
    <w:rsid w:val="00E8753B"/>
    <w:rsid w:val="00E93520"/>
    <w:rsid w:val="00E94CC0"/>
    <w:rsid w:val="00E94CDC"/>
    <w:rsid w:val="00EA314A"/>
    <w:rsid w:val="00EA4CBC"/>
    <w:rsid w:val="00EA7EE0"/>
    <w:rsid w:val="00EB040A"/>
    <w:rsid w:val="00EB1974"/>
    <w:rsid w:val="00EB19CE"/>
    <w:rsid w:val="00EB2716"/>
    <w:rsid w:val="00EB3364"/>
    <w:rsid w:val="00EB7F39"/>
    <w:rsid w:val="00EC2C45"/>
    <w:rsid w:val="00EC3B09"/>
    <w:rsid w:val="00EC60EA"/>
    <w:rsid w:val="00ED1868"/>
    <w:rsid w:val="00ED2DE2"/>
    <w:rsid w:val="00EE1987"/>
    <w:rsid w:val="00EF1B88"/>
    <w:rsid w:val="00EF2A38"/>
    <w:rsid w:val="00EF3856"/>
    <w:rsid w:val="00F02D87"/>
    <w:rsid w:val="00F03E88"/>
    <w:rsid w:val="00F04092"/>
    <w:rsid w:val="00F0487E"/>
    <w:rsid w:val="00F10044"/>
    <w:rsid w:val="00F1020B"/>
    <w:rsid w:val="00F10FE5"/>
    <w:rsid w:val="00F155F9"/>
    <w:rsid w:val="00F15BBC"/>
    <w:rsid w:val="00F2144C"/>
    <w:rsid w:val="00F31585"/>
    <w:rsid w:val="00F33FEA"/>
    <w:rsid w:val="00F449CD"/>
    <w:rsid w:val="00F46B5D"/>
    <w:rsid w:val="00F559E8"/>
    <w:rsid w:val="00F567B8"/>
    <w:rsid w:val="00F609AA"/>
    <w:rsid w:val="00F62EB7"/>
    <w:rsid w:val="00F6450B"/>
    <w:rsid w:val="00F64B2E"/>
    <w:rsid w:val="00F677FD"/>
    <w:rsid w:val="00F71A19"/>
    <w:rsid w:val="00F71B1E"/>
    <w:rsid w:val="00F743F3"/>
    <w:rsid w:val="00F76B9E"/>
    <w:rsid w:val="00F8186C"/>
    <w:rsid w:val="00F81B13"/>
    <w:rsid w:val="00F86765"/>
    <w:rsid w:val="00F92128"/>
    <w:rsid w:val="00F92465"/>
    <w:rsid w:val="00F924B9"/>
    <w:rsid w:val="00F9511E"/>
    <w:rsid w:val="00F96491"/>
    <w:rsid w:val="00FA2028"/>
    <w:rsid w:val="00FA32F6"/>
    <w:rsid w:val="00FB1B3E"/>
    <w:rsid w:val="00FB1F44"/>
    <w:rsid w:val="00FB5D42"/>
    <w:rsid w:val="00FB634F"/>
    <w:rsid w:val="00FB68AB"/>
    <w:rsid w:val="00FB6BCA"/>
    <w:rsid w:val="00FC55D3"/>
    <w:rsid w:val="00FD3C81"/>
    <w:rsid w:val="00FD623B"/>
    <w:rsid w:val="00FE7EBF"/>
    <w:rsid w:val="00FF1285"/>
    <w:rsid w:val="00FF2282"/>
    <w:rsid w:val="00FF2B10"/>
    <w:rsid w:val="00FF3E59"/>
    <w:rsid w:val="00FF6B67"/>
    <w:rsid w:val="01071BD0"/>
    <w:rsid w:val="012A2737"/>
    <w:rsid w:val="012D0479"/>
    <w:rsid w:val="021E6E93"/>
    <w:rsid w:val="037A01E1"/>
    <w:rsid w:val="03A04F32"/>
    <w:rsid w:val="05A66C30"/>
    <w:rsid w:val="06117216"/>
    <w:rsid w:val="0616597F"/>
    <w:rsid w:val="088C3CD7"/>
    <w:rsid w:val="08D00067"/>
    <w:rsid w:val="09E33DCA"/>
    <w:rsid w:val="0A71587A"/>
    <w:rsid w:val="0AA059AC"/>
    <w:rsid w:val="0B7069AC"/>
    <w:rsid w:val="0BC419DA"/>
    <w:rsid w:val="0BCB2414"/>
    <w:rsid w:val="0BE1258C"/>
    <w:rsid w:val="0C2B3807"/>
    <w:rsid w:val="0D653B44"/>
    <w:rsid w:val="0DAB56CD"/>
    <w:rsid w:val="0E7D1FA0"/>
    <w:rsid w:val="0F0E5BA8"/>
    <w:rsid w:val="0F136597"/>
    <w:rsid w:val="110A4333"/>
    <w:rsid w:val="119778B4"/>
    <w:rsid w:val="11E132E5"/>
    <w:rsid w:val="12575356"/>
    <w:rsid w:val="13AB28D0"/>
    <w:rsid w:val="13CA1B57"/>
    <w:rsid w:val="146517AA"/>
    <w:rsid w:val="14714B5A"/>
    <w:rsid w:val="1528122B"/>
    <w:rsid w:val="16594D63"/>
    <w:rsid w:val="166D339A"/>
    <w:rsid w:val="16842491"/>
    <w:rsid w:val="16D05BDB"/>
    <w:rsid w:val="16DB5A64"/>
    <w:rsid w:val="16FE2244"/>
    <w:rsid w:val="17BD2E63"/>
    <w:rsid w:val="1811244B"/>
    <w:rsid w:val="183D0B4A"/>
    <w:rsid w:val="187E5A46"/>
    <w:rsid w:val="199C5D44"/>
    <w:rsid w:val="19A13B98"/>
    <w:rsid w:val="1B0E267D"/>
    <w:rsid w:val="1BCF2401"/>
    <w:rsid w:val="1BE7599C"/>
    <w:rsid w:val="1C0C5403"/>
    <w:rsid w:val="1CF30A04"/>
    <w:rsid w:val="1D13631D"/>
    <w:rsid w:val="1DCF493A"/>
    <w:rsid w:val="1E115F9E"/>
    <w:rsid w:val="1E6432D4"/>
    <w:rsid w:val="1EEC5078"/>
    <w:rsid w:val="1F1F544D"/>
    <w:rsid w:val="205C7FDB"/>
    <w:rsid w:val="21554C1F"/>
    <w:rsid w:val="215A09BE"/>
    <w:rsid w:val="233A2855"/>
    <w:rsid w:val="23AB79A5"/>
    <w:rsid w:val="24146108"/>
    <w:rsid w:val="254F010E"/>
    <w:rsid w:val="255120D8"/>
    <w:rsid w:val="258D1A39"/>
    <w:rsid w:val="26282E39"/>
    <w:rsid w:val="2776186F"/>
    <w:rsid w:val="27BB2CFA"/>
    <w:rsid w:val="27D31C0E"/>
    <w:rsid w:val="27F86B61"/>
    <w:rsid w:val="282F4953"/>
    <w:rsid w:val="28700AC7"/>
    <w:rsid w:val="287D6208"/>
    <w:rsid w:val="29437F8A"/>
    <w:rsid w:val="29B81C24"/>
    <w:rsid w:val="29C63095"/>
    <w:rsid w:val="2B08079E"/>
    <w:rsid w:val="2B185F9D"/>
    <w:rsid w:val="2BCF1FA9"/>
    <w:rsid w:val="2D460049"/>
    <w:rsid w:val="2DA51213"/>
    <w:rsid w:val="2DAC07F4"/>
    <w:rsid w:val="2E3F6F72"/>
    <w:rsid w:val="2ED95618"/>
    <w:rsid w:val="2F175797"/>
    <w:rsid w:val="2F827A5E"/>
    <w:rsid w:val="30B55C11"/>
    <w:rsid w:val="34BA1A48"/>
    <w:rsid w:val="350727B3"/>
    <w:rsid w:val="35523A2F"/>
    <w:rsid w:val="35952814"/>
    <w:rsid w:val="35EB5C31"/>
    <w:rsid w:val="37610D7E"/>
    <w:rsid w:val="37C37CFD"/>
    <w:rsid w:val="38983E4E"/>
    <w:rsid w:val="39E67085"/>
    <w:rsid w:val="3AE560AC"/>
    <w:rsid w:val="3B08722C"/>
    <w:rsid w:val="3C08751A"/>
    <w:rsid w:val="3D9121DA"/>
    <w:rsid w:val="403317C5"/>
    <w:rsid w:val="406409E0"/>
    <w:rsid w:val="411B386E"/>
    <w:rsid w:val="418C02C8"/>
    <w:rsid w:val="41913B31"/>
    <w:rsid w:val="41CC4B69"/>
    <w:rsid w:val="42DD6902"/>
    <w:rsid w:val="43015F23"/>
    <w:rsid w:val="439E0787"/>
    <w:rsid w:val="43B34158"/>
    <w:rsid w:val="4416656F"/>
    <w:rsid w:val="448E4357"/>
    <w:rsid w:val="4535416B"/>
    <w:rsid w:val="45C87D89"/>
    <w:rsid w:val="474358CD"/>
    <w:rsid w:val="47F62875"/>
    <w:rsid w:val="486F624E"/>
    <w:rsid w:val="487502A2"/>
    <w:rsid w:val="487771F6"/>
    <w:rsid w:val="48CA5899"/>
    <w:rsid w:val="49BE4D8B"/>
    <w:rsid w:val="4C1E2465"/>
    <w:rsid w:val="4CCF375F"/>
    <w:rsid w:val="4D2C6E03"/>
    <w:rsid w:val="4D49221A"/>
    <w:rsid w:val="4E65437B"/>
    <w:rsid w:val="4F49682B"/>
    <w:rsid w:val="5015592D"/>
    <w:rsid w:val="50180FE1"/>
    <w:rsid w:val="510734C7"/>
    <w:rsid w:val="51516E38"/>
    <w:rsid w:val="521A36CE"/>
    <w:rsid w:val="5278328C"/>
    <w:rsid w:val="52F874CB"/>
    <w:rsid w:val="53A25729"/>
    <w:rsid w:val="53EE6E0A"/>
    <w:rsid w:val="541E5392"/>
    <w:rsid w:val="541F4FCC"/>
    <w:rsid w:val="547F3EDF"/>
    <w:rsid w:val="55E95892"/>
    <w:rsid w:val="590B5B1F"/>
    <w:rsid w:val="59456B65"/>
    <w:rsid w:val="5BEC7E8A"/>
    <w:rsid w:val="5D07382D"/>
    <w:rsid w:val="5D184CAE"/>
    <w:rsid w:val="5DBC3B29"/>
    <w:rsid w:val="5DD2307B"/>
    <w:rsid w:val="5E2F0501"/>
    <w:rsid w:val="5E7D7F42"/>
    <w:rsid w:val="5F0B4ACB"/>
    <w:rsid w:val="5F36141C"/>
    <w:rsid w:val="5F577D10"/>
    <w:rsid w:val="5F8B1768"/>
    <w:rsid w:val="5FBB3BAD"/>
    <w:rsid w:val="5FD46FEF"/>
    <w:rsid w:val="5FE25370"/>
    <w:rsid w:val="60893EA4"/>
    <w:rsid w:val="613227E3"/>
    <w:rsid w:val="6173ED9D"/>
    <w:rsid w:val="61743BAC"/>
    <w:rsid w:val="622D4D58"/>
    <w:rsid w:val="63302376"/>
    <w:rsid w:val="63C33BC6"/>
    <w:rsid w:val="646C4C1A"/>
    <w:rsid w:val="64A23702"/>
    <w:rsid w:val="64E2007C"/>
    <w:rsid w:val="65510D5D"/>
    <w:rsid w:val="65EF29EF"/>
    <w:rsid w:val="666F1172"/>
    <w:rsid w:val="66B617C0"/>
    <w:rsid w:val="67073DC9"/>
    <w:rsid w:val="67EE4CAA"/>
    <w:rsid w:val="67F307F2"/>
    <w:rsid w:val="6AC86028"/>
    <w:rsid w:val="6B312F96"/>
    <w:rsid w:val="6B3B2294"/>
    <w:rsid w:val="6B6C68F1"/>
    <w:rsid w:val="6C417D7E"/>
    <w:rsid w:val="6C467142"/>
    <w:rsid w:val="6C4F4DBD"/>
    <w:rsid w:val="6CF83AC3"/>
    <w:rsid w:val="6D910891"/>
    <w:rsid w:val="6E0A23F1"/>
    <w:rsid w:val="6E1E5526"/>
    <w:rsid w:val="6EFF7A7C"/>
    <w:rsid w:val="6F2F210F"/>
    <w:rsid w:val="6FC71C48"/>
    <w:rsid w:val="70C26FB3"/>
    <w:rsid w:val="70E865C3"/>
    <w:rsid w:val="7305143B"/>
    <w:rsid w:val="730B4C41"/>
    <w:rsid w:val="740E1443"/>
    <w:rsid w:val="74A569D0"/>
    <w:rsid w:val="76171B4F"/>
    <w:rsid w:val="79A07541"/>
    <w:rsid w:val="79D61C08"/>
    <w:rsid w:val="79EB30D7"/>
    <w:rsid w:val="79FC540C"/>
    <w:rsid w:val="7A0643B5"/>
    <w:rsid w:val="7B7F6BB8"/>
    <w:rsid w:val="7C2C7B01"/>
    <w:rsid w:val="7C43544C"/>
    <w:rsid w:val="7C4E328D"/>
    <w:rsid w:val="7DB2227A"/>
    <w:rsid w:val="7DE43104"/>
    <w:rsid w:val="7EDE4598"/>
    <w:rsid w:val="7F080287"/>
    <w:rsid w:val="7F840255"/>
    <w:rsid w:val="7FC5190D"/>
    <w:rsid w:val="FAFEE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3"/>
    <w:unhideWhenUsed/>
    <w:qFormat/>
    <w:uiPriority w:val="99"/>
    <w:pPr>
      <w:jc w:val="left"/>
    </w:pPr>
  </w:style>
  <w:style w:type="paragraph" w:styleId="4">
    <w:name w:val="Body Text"/>
    <w:basedOn w:val="1"/>
    <w:link w:val="31"/>
    <w:qFormat/>
    <w:uiPriority w:val="0"/>
    <w:pPr>
      <w:widowControl/>
    </w:pPr>
    <w:rPr>
      <w:rFonts w:ascii="Times New Roman" w:hAnsi="Times New Roman" w:eastAsia="宋体" w:cs="Times New Roman"/>
      <w:kern w:val="0"/>
      <w:sz w:val="24"/>
      <w:szCs w:val="20"/>
      <w:lang w:eastAsia="en-US"/>
    </w:rPr>
  </w:style>
  <w:style w:type="paragraph" w:styleId="5">
    <w:name w:val="Balloon Text"/>
    <w:basedOn w:val="1"/>
    <w:link w:val="25"/>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24"/>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Emphasis"/>
    <w:basedOn w:val="11"/>
    <w:qFormat/>
    <w:uiPriority w:val="20"/>
    <w:rPr>
      <w:i/>
      <w:iCs/>
    </w:rPr>
  </w:style>
  <w:style w:type="character" w:styleId="14">
    <w:name w:val="line number"/>
    <w:basedOn w:val="11"/>
    <w:semiHidden/>
    <w:unhideWhenUsed/>
    <w:qFormat/>
    <w:uiPriority w:val="99"/>
  </w:style>
  <w:style w:type="character" w:styleId="15">
    <w:name w:val="Hyperlink"/>
    <w:unhideWhenUsed/>
    <w:qFormat/>
    <w:uiPriority w:val="0"/>
    <w:rPr>
      <w:color w:val="0000FF"/>
      <w:u w:val="single"/>
    </w:rPr>
  </w:style>
  <w:style w:type="character" w:styleId="16">
    <w:name w:val="annotation reference"/>
    <w:basedOn w:val="11"/>
    <w:unhideWhenUsed/>
    <w:qFormat/>
    <w:uiPriority w:val="99"/>
    <w:rPr>
      <w:sz w:val="21"/>
      <w:szCs w:val="21"/>
    </w:rPr>
  </w:style>
  <w:style w:type="character" w:customStyle="1" w:styleId="17">
    <w:name w:val="页眉 字符"/>
    <w:basedOn w:val="11"/>
    <w:link w:val="7"/>
    <w:qFormat/>
    <w:uiPriority w:val="99"/>
    <w:rPr>
      <w:sz w:val="18"/>
      <w:szCs w:val="18"/>
    </w:rPr>
  </w:style>
  <w:style w:type="character" w:customStyle="1" w:styleId="18">
    <w:name w:val="页脚 字符"/>
    <w:basedOn w:val="11"/>
    <w:link w:val="6"/>
    <w:qFormat/>
    <w:uiPriority w:val="99"/>
    <w:rPr>
      <w:sz w:val="18"/>
      <w:szCs w:val="18"/>
    </w:rPr>
  </w:style>
  <w:style w:type="character" w:customStyle="1" w:styleId="19">
    <w:name w:val="未处理的提及1"/>
    <w:basedOn w:val="11"/>
    <w:unhideWhenUsed/>
    <w:qFormat/>
    <w:uiPriority w:val="99"/>
    <w:rPr>
      <w:color w:val="605E5C"/>
      <w:shd w:val="clear" w:color="auto" w:fill="E1DFDD"/>
    </w:rPr>
  </w:style>
  <w:style w:type="paragraph" w:customStyle="1" w:styleId="20">
    <w:name w:val="Default"/>
    <w:qFormat/>
    <w:uiPriority w:val="0"/>
    <w:pPr>
      <w:widowControl w:val="0"/>
      <w:autoSpaceDE w:val="0"/>
      <w:autoSpaceDN w:val="0"/>
      <w:adjustRightInd w:val="0"/>
    </w:pPr>
    <w:rPr>
      <w:rFonts w:eastAsia="宋体" w:cs="Times New Roman" w:asciiTheme="minorHAnsi" w:hAnsiTheme="minorHAnsi"/>
      <w:color w:val="000000"/>
      <w:kern w:val="2"/>
      <w:sz w:val="24"/>
      <w:szCs w:val="24"/>
      <w:lang w:val="en-US" w:eastAsia="zh-CN" w:bidi="ar-SA"/>
    </w:rPr>
  </w:style>
  <w:style w:type="table" w:customStyle="1" w:styleId="21">
    <w:name w:val="网格型1"/>
    <w:basedOn w:val="9"/>
    <w:qFormat/>
    <w:uiPriority w:val="39"/>
    <w:rPr>
      <w:sz w:val="24"/>
      <w:szCs w:val="24"/>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2">
    <w:name w:val="占位符文本1"/>
    <w:basedOn w:val="11"/>
    <w:semiHidden/>
    <w:qFormat/>
    <w:uiPriority w:val="99"/>
    <w:rPr>
      <w:color w:val="808080"/>
    </w:rPr>
  </w:style>
  <w:style w:type="character" w:customStyle="1" w:styleId="23">
    <w:name w:val="批注文字 字符"/>
    <w:basedOn w:val="11"/>
    <w:link w:val="3"/>
    <w:qFormat/>
    <w:uiPriority w:val="99"/>
  </w:style>
  <w:style w:type="character" w:customStyle="1" w:styleId="24">
    <w:name w:val="批注主题 字符"/>
    <w:basedOn w:val="23"/>
    <w:link w:val="8"/>
    <w:qFormat/>
    <w:uiPriority w:val="99"/>
    <w:rPr>
      <w:b/>
      <w:bCs/>
    </w:rPr>
  </w:style>
  <w:style w:type="character" w:customStyle="1" w:styleId="25">
    <w:name w:val="批注框文本 字符"/>
    <w:basedOn w:val="11"/>
    <w:link w:val="5"/>
    <w:semiHidden/>
    <w:qFormat/>
    <w:uiPriority w:val="99"/>
    <w:rPr>
      <w:sz w:val="18"/>
      <w:szCs w:val="18"/>
    </w:rPr>
  </w:style>
  <w:style w:type="paragraph" w:styleId="26">
    <w:name w:val="List Paragraph"/>
    <w:basedOn w:val="1"/>
    <w:qFormat/>
    <w:uiPriority w:val="99"/>
    <w:pPr>
      <w:ind w:firstLine="420" w:firstLineChars="200"/>
    </w:pPr>
  </w:style>
  <w:style w:type="paragraph" w:customStyle="1" w:styleId="27">
    <w:name w:val="EndNote Bibliography Title"/>
    <w:basedOn w:val="1"/>
    <w:link w:val="28"/>
    <w:qFormat/>
    <w:uiPriority w:val="0"/>
    <w:pPr>
      <w:jc w:val="center"/>
    </w:pPr>
    <w:rPr>
      <w:rFonts w:ascii="等线" w:hAnsi="等线" w:eastAsia="等线"/>
      <w:sz w:val="20"/>
    </w:rPr>
  </w:style>
  <w:style w:type="character" w:customStyle="1" w:styleId="28">
    <w:name w:val="EndNote Bibliography Title 字符"/>
    <w:basedOn w:val="11"/>
    <w:link w:val="27"/>
    <w:qFormat/>
    <w:uiPriority w:val="0"/>
    <w:rPr>
      <w:rFonts w:ascii="等线" w:hAnsi="等线" w:eastAsia="等线" w:cstheme="minorBidi"/>
      <w:kern w:val="2"/>
      <w:szCs w:val="22"/>
    </w:rPr>
  </w:style>
  <w:style w:type="paragraph" w:customStyle="1" w:styleId="29">
    <w:name w:val="EndNote Bibliography"/>
    <w:basedOn w:val="1"/>
    <w:link w:val="30"/>
    <w:qFormat/>
    <w:uiPriority w:val="0"/>
    <w:rPr>
      <w:rFonts w:ascii="等线" w:hAnsi="等线" w:eastAsia="等线"/>
      <w:sz w:val="20"/>
    </w:rPr>
  </w:style>
  <w:style w:type="character" w:customStyle="1" w:styleId="30">
    <w:name w:val="EndNote Bibliography 字符"/>
    <w:basedOn w:val="11"/>
    <w:link w:val="29"/>
    <w:qFormat/>
    <w:uiPriority w:val="0"/>
    <w:rPr>
      <w:rFonts w:ascii="等线" w:hAnsi="等线" w:eastAsia="等线" w:cstheme="minorBidi"/>
      <w:kern w:val="2"/>
      <w:szCs w:val="22"/>
    </w:rPr>
  </w:style>
  <w:style w:type="character" w:customStyle="1" w:styleId="31">
    <w:name w:val="正文文本 字符"/>
    <w:basedOn w:val="11"/>
    <w:link w:val="4"/>
    <w:qFormat/>
    <w:uiPriority w:val="0"/>
    <w:rPr>
      <w:sz w:val="24"/>
      <w:lang w:eastAsia="en-US"/>
    </w:rPr>
  </w:style>
  <w:style w:type="paragraph" w:customStyle="1" w:styleId="32">
    <w:name w:val="VC_Scheme_Title"/>
    <w:basedOn w:val="1"/>
    <w:next w:val="1"/>
    <w:qFormat/>
    <w:uiPriority w:val="0"/>
    <w:pPr>
      <w:spacing w:after="180"/>
    </w:pPr>
    <w:rPr>
      <w:rFonts w:ascii="Arno Pro" w:hAnsi="Arno Pro"/>
      <w:b/>
      <w:kern w:val="21"/>
      <w:sz w:val="19"/>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4">
    <w:name w:val="TF_References_Section"/>
    <w:basedOn w:val="1"/>
    <w:next w:val="1"/>
    <w:qFormat/>
    <w:uiPriority w:val="0"/>
    <w:pPr>
      <w:widowControl/>
      <w:spacing w:before="100" w:beforeAutospacing="1" w:after="60"/>
      <w:ind w:firstLine="181"/>
      <w:jc w:val="left"/>
    </w:pPr>
    <w:rPr>
      <w:rFonts w:ascii="Arno Pro" w:hAnsi="Arno Pro" w:eastAsia="MS Mincho" w:cs="Times New Roman"/>
      <w:kern w:val="19"/>
      <w:sz w:val="17"/>
      <w:szCs w:val="17"/>
    </w:rPr>
  </w:style>
  <w:style w:type="character" w:customStyle="1" w:styleId="35">
    <w:name w:val="未处理的提及2"/>
    <w:basedOn w:val="11"/>
    <w:semiHidden/>
    <w:unhideWhenUsed/>
    <w:qFormat/>
    <w:uiPriority w:val="99"/>
    <w:rPr>
      <w:color w:val="605E5C"/>
      <w:shd w:val="clear" w:color="auto" w:fill="E1DFDD"/>
    </w:rPr>
  </w:style>
  <w:style w:type="paragraph" w:customStyle="1" w:styleId="36">
    <w:name w:val="Footnote"/>
    <w:basedOn w:val="37"/>
    <w:qFormat/>
    <w:uiPriority w:val="0"/>
    <w:pPr>
      <w:widowControl/>
      <w:spacing w:before="120" w:after="100" w:afterAutospacing="1"/>
      <w:jc w:val="left"/>
    </w:pPr>
    <w:rPr>
      <w:rFonts w:eastAsia="MS Mincho" w:cs="Times New Roman"/>
      <w:kern w:val="0"/>
      <w:szCs w:val="14"/>
    </w:rPr>
  </w:style>
  <w:style w:type="paragraph" w:customStyle="1" w:styleId="37">
    <w:name w:val="Adress"/>
    <w:basedOn w:val="1"/>
    <w:qFormat/>
    <w:uiPriority w:val="0"/>
    <w:pPr>
      <w:spacing w:line="180" w:lineRule="exact"/>
      <w:ind w:left="425" w:hanging="425"/>
    </w:pPr>
    <w:rPr>
      <w:rFonts w:ascii="Arial" w:hAnsi="Arial"/>
      <w:sz w:val="14"/>
      <w:szCs w:val="20"/>
    </w:rPr>
  </w:style>
  <w:style w:type="paragraph" w:customStyle="1" w:styleId="38">
    <w:name w:val="List Paragraph1"/>
    <w:basedOn w:val="1"/>
    <w:qFormat/>
    <w:uiPriority w:val="0"/>
    <w:pPr>
      <w:ind w:firstLine="420" w:firstLineChars="200"/>
    </w:pPr>
    <w:rPr>
      <w:rFonts w:ascii="Calibri" w:hAnsi="Calibri" w:eastAsia="宋体" w:cs="Times New Roman"/>
      <w:szCs w:val="21"/>
    </w:rPr>
  </w:style>
  <w:style w:type="character" w:customStyle="1" w:styleId="39">
    <w:name w:val="15"/>
    <w:basedOn w:val="11"/>
    <w:qFormat/>
    <w:uiPriority w:val="0"/>
    <w:rPr>
      <w:rFonts w:hint="default" w:ascii="Times New Roman" w:hAnsi="Times New Roman" w:cs="Times New Roman"/>
      <w:color w:val="0000FF"/>
      <w:u w:val="single"/>
    </w:rPr>
  </w:style>
  <w:style w:type="paragraph" w:customStyle="1" w:styleId="40">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1">
    <w:name w:val="未处理的提及3"/>
    <w:basedOn w:val="11"/>
    <w:semiHidden/>
    <w:unhideWhenUsed/>
    <w:qFormat/>
    <w:uiPriority w:val="99"/>
    <w:rPr>
      <w:color w:val="605E5C"/>
      <w:shd w:val="clear" w:color="auto" w:fill="E1DFDD"/>
    </w:rPr>
  </w:style>
  <w:style w:type="paragraph" w:customStyle="1" w:styleId="4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3">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5">
    <w:name w:val="Revision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6">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7">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8">
    <w:name w:val="Acknowledgements"/>
    <w:basedOn w:val="49"/>
    <w:qFormat/>
    <w:uiPriority w:val="0"/>
    <w:pPr>
      <w:spacing w:after="240" w:line="230" w:lineRule="atLeast"/>
    </w:pPr>
  </w:style>
  <w:style w:type="paragraph" w:customStyle="1" w:styleId="49">
    <w:name w:val="P1_without_Indendation"/>
    <w:basedOn w:val="1"/>
    <w:qFormat/>
    <w:uiPriority w:val="0"/>
    <w:pPr>
      <w:spacing w:line="225" w:lineRule="exact"/>
    </w:pPr>
    <w:rPr>
      <w:rFonts w:ascii="Arial" w:hAnsi="Arial"/>
      <w:sz w:val="17"/>
    </w:rPr>
  </w:style>
  <w:style w:type="paragraph" w:customStyle="1" w:styleId="50">
    <w:name w:val="修订7"/>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1">
    <w:name w:val="HAcknowledgements"/>
    <w:basedOn w:val="1"/>
    <w:qFormat/>
    <w:uiPriority w:val="0"/>
    <w:pPr>
      <w:widowControl/>
      <w:spacing w:before="480" w:after="230" w:line="230" w:lineRule="atLeast"/>
      <w:jc w:val="left"/>
    </w:pPr>
    <w:rPr>
      <w:rFonts w:ascii="Arial" w:hAnsi="Arial" w:eastAsia="MS Mincho" w:cs="Times New Roman"/>
      <w:b/>
      <w:kern w:val="0"/>
      <w:sz w:val="22"/>
      <w:szCs w:val="24"/>
      <w:lang w:val="en-GB" w:eastAsia="ja-JP"/>
    </w:rPr>
  </w:style>
  <w:style w:type="paragraph" w:customStyle="1" w:styleId="52">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3">
    <w:name w:val="Title1"/>
    <w:basedOn w:val="1"/>
    <w:next w:val="1"/>
    <w:qFormat/>
    <w:uiPriority w:val="0"/>
    <w:pPr>
      <w:spacing w:before="120" w:line="480" w:lineRule="exact"/>
    </w:pPr>
    <w:rPr>
      <w:rFonts w:ascii="Arial" w:hAnsi="Arial"/>
      <w:b/>
      <w:sz w:val="32"/>
      <w:szCs w:val="28"/>
    </w:rPr>
  </w:style>
  <w:style w:type="table" w:customStyle="1" w:styleId="54">
    <w:name w:val="无格式表格 21"/>
    <w:basedOn w:val="9"/>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55">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6">
    <w:name w:val="修订10"/>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7">
    <w:name w:val="修订1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3.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tiff"/><Relationship Id="rId2" Type="http://schemas.openxmlformats.org/officeDocument/2006/relationships/settings" Target="settings.xml"/><Relationship Id="rId19" Type="http://schemas.openxmlformats.org/officeDocument/2006/relationships/image" Target="media/image15.tiff"/><Relationship Id="rId18" Type="http://schemas.openxmlformats.org/officeDocument/2006/relationships/image" Target="media/image14.tiff"/><Relationship Id="rId17" Type="http://schemas.openxmlformats.org/officeDocument/2006/relationships/image" Target="media/image13.tiff"/><Relationship Id="rId16" Type="http://schemas.openxmlformats.org/officeDocument/2006/relationships/image" Target="media/image12.tiff"/><Relationship Id="rId15" Type="http://schemas.openxmlformats.org/officeDocument/2006/relationships/image" Target="media/image11.tiff"/><Relationship Id="rId14" Type="http://schemas.openxmlformats.org/officeDocument/2006/relationships/image" Target="media/image10.tiff"/><Relationship Id="rId13" Type="http://schemas.openxmlformats.org/officeDocument/2006/relationships/image" Target="media/image9.tiff"/><Relationship Id="rId12" Type="http://schemas.openxmlformats.org/officeDocument/2006/relationships/image" Target="media/image8.tiff"/><Relationship Id="rId11" Type="http://schemas.openxmlformats.org/officeDocument/2006/relationships/image" Target="media/image7.tiff"/><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23F96A7A8D4C40A9642314F1C757B8" ma:contentTypeVersion="11" ma:contentTypeDescription="Create a new document." ma:contentTypeScope="" ma:versionID="db98f611c9507aa7f820620e85db1206">
  <xsd:schema xmlns:xsd="http://www.w3.org/2001/XMLSchema" xmlns:xs="http://www.w3.org/2001/XMLSchema" xmlns:p="http://schemas.microsoft.com/office/2006/metadata/properties" xmlns:ns3="613c406f-3220-4a3b-9807-ebed07e11a44" targetNamespace="http://schemas.microsoft.com/office/2006/metadata/properties" ma:root="true" ma:fieldsID="346d7f7a5d09b0e3cc048645d26d31c2" ns3:_="">
    <xsd:import namespace="613c406f-3220-4a3b-9807-ebed07e11a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c406f-3220-4a3b-9807-ebed07e11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8756D-8DBD-4F3C-8DD9-8669C632632A}">
  <ds:schemaRefs/>
</ds:datastoreItem>
</file>

<file path=customXml/itemProps2.xml><?xml version="1.0" encoding="utf-8"?>
<ds:datastoreItem xmlns:ds="http://schemas.openxmlformats.org/officeDocument/2006/customXml" ds:itemID="{76CDB550-2719-46C6-926D-B8596378B897}">
  <ds:schemaRefs/>
</ds:datastoreItem>
</file>

<file path=customXml/itemProps3.xml><?xml version="1.0" encoding="utf-8"?>
<ds:datastoreItem xmlns:ds="http://schemas.openxmlformats.org/officeDocument/2006/customXml" ds:itemID="{24E524D1-446B-459D-99CF-283B53DA67EC}">
  <ds:schemaRefs/>
</ds:datastoreItem>
</file>

<file path=docProps/app.xml><?xml version="1.0" encoding="utf-8"?>
<Properties xmlns="http://schemas.openxmlformats.org/officeDocument/2006/extended-properties" xmlns:vt="http://schemas.openxmlformats.org/officeDocument/2006/docPropsVTypes">
  <Template>Normal</Template>
  <Pages>25</Pages>
  <Words>2742</Words>
  <Characters>16302</Characters>
  <Lines>141</Lines>
  <Paragraphs>39</Paragraphs>
  <TotalTime>11</TotalTime>
  <ScaleCrop>false</ScaleCrop>
  <LinksUpToDate>false</LinksUpToDate>
  <CharactersWithSpaces>18435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2026-05-07T15:22:00Z</dcterms:created>
  <dc:creator>Administrator</dc:creator>
  <cp:lastModifiedBy>娇娇</cp:lastModifiedBy>
  <cp:lastPrinted>2026-05-07T08:12:00Z</cp:lastPrinted>
  <dcterms:modified xsi:type="dcterms:W3CDTF">2026-05-25T05:46:12Z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0x010100E723F96A7A8D4C40A9642314F1C757B8</vt:lpwstr>
  </property>
  <property fmtid="{D5CDD505-2E9C-101B-9397-08002B2CF9AE}" pid="3" name="KSOProductBuildVer">
    <vt:lpwstr>2052-12.1.0.23542</vt:lpwstr>
  </property>
  <property fmtid="{D5CDD505-2E9C-101B-9397-08002B2CF9AE}" pid="4" name="ICV">
    <vt:lpwstr>D565491E7FCA4DF7914935E39B010EBB_13</vt:lpwstr>
  </property>
  <property fmtid="{D5CDD505-2E9C-101B-9397-08002B2CF9AE}" pid="5" name="GrammarlyDocumentId">
    <vt:lpwstr>73474fb0573563b0b283eae33c757a57bf713744243d44e3b13f128bd8a8fdc6</vt:lpwstr>
  </property>
  <property fmtid="{D5CDD505-2E9C-101B-9397-08002B2CF9AE}" pid="6" name="KSOTemplateDocerSaveRecord">
    <vt:lpwstr>eyJoZGlkIjoiN2IyMzJhOWMzOWU4MGY3YmJiNTRmODYxOWM0Y2QzZDgiLCJ1c2VySWQiOiIzMTQ5MjUyMjEifQ==</vt:lpwstr>
  </property>
  <property fmtid="{D5CDD505-2E9C-101B-9397-08002B2CF9AE}" pid="7" name="ContentRemapped">
    <vt:lpwstr>true</vt:lpwstr>
  </property>
</Properties>
</file>