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4fece175ba36c3e0fe8aa8aef73e5f4e3e140d2"/>
    <w:p>
      <w:pPr>
        <w:pStyle w:val="Heading1"/>
        <w:spacing w:before="160" w:after="80" w:line="240" w:lineRule="auto"/>
      </w:pPr>
      <w:r>
        <w:t xml:space="preserve">Supplementary Information for</w:t>
      </w:r>
      <w:r>
        <w:t xml:space="preserve"> </w:t>
      </w:r>
      <w:r>
        <w:t xml:space="preserve">“Time-varying errors in the atmospheric CO₂ growth rate”</w:t>
      </w:r>
    </w:p>
    <w:p>
      <w:pPr>
        <w:pStyle w:val="FirstParagraph"/>
        <w:spacing w:before="40" w:after="200" w:line="240" w:lineRule="auto"/>
        <w:rPr>
          <w:sz w:val="22"/>
        </w:rPr>
      </w:pPr>
      <w:r>
        <w:rPr>
          <w:sz w:val="22"/>
        </w:rPr>
        <w:t xml:space="preserve">Sudhanshu Pandey¹, Christopher O’Dell², Thomas E. Taylor², Christian Rödenbeck³, Naveen Chandra⁴, Liang Feng⁵, Paul I. Palmer⁵, and Junjie Liu¹,⁶</w:t>
      </w:r>
    </w:p>
    <w:p>
      <w:pPr>
        <w:pStyle w:val="BodyText"/>
        <w:spacing w:before="40" w:after="200" w:line="240" w:lineRule="auto"/>
        <w:rPr>
          <w:sz w:val="22"/>
        </w:rPr>
      </w:pPr>
      <w:r>
        <w:rPr>
          <w:sz w:val="22"/>
        </w:rPr>
        <w:t xml:space="preserve">¹NASA Jet Propulsion Laboratory, California Institute of Technology, Pasadena, CA, USA</w:t>
      </w:r>
      <w:r>
        <w:rPr>
          <w:sz w:val="22"/>
        </w:rPr>
        <w:t xml:space="preserve"> </w:t>
      </w:r>
      <w:r>
        <w:rPr>
          <w:sz w:val="22"/>
        </w:rPr>
        <w:t xml:space="preserve">²Cooperative Institute for Research in the Atmosphere (CIRA), Colorado State University, Fort Collins, CO, USA</w:t>
      </w:r>
      <w:r>
        <w:rPr>
          <w:sz w:val="22"/>
        </w:rPr>
        <w:t xml:space="preserve"> </w:t>
      </w:r>
      <w:r>
        <w:rPr>
          <w:sz w:val="22"/>
        </w:rPr>
        <w:t xml:space="preserve">³Max Planck Institute for Biogeochemistry, Hans-Knöll-Str. 10, 07745 Jena, Germany</w:t>
      </w:r>
      <w:r>
        <w:rPr>
          <w:sz w:val="22"/>
        </w:rPr>
        <w:t xml:space="preserve"> </w:t>
      </w:r>
      <w:r>
        <w:rPr>
          <w:sz w:val="22"/>
        </w:rPr>
        <w:t xml:space="preserve">⁴Research Institute for Global Change, Japan Agency for Marine-Earth Science and Technology (JAMSTEC), Yokohama, Japan</w:t>
      </w:r>
      <w:r>
        <w:rPr>
          <w:sz w:val="22"/>
        </w:rPr>
        <w:t xml:space="preserve"> </w:t>
      </w:r>
      <w:r>
        <w:rPr>
          <w:sz w:val="22"/>
        </w:rPr>
        <w:t xml:space="preserve">⁵National Centre for Earth Observation and School of Geosciences, University of Edinburgh, Edinburgh, UK</w:t>
      </w:r>
      <w:r>
        <w:rPr>
          <w:sz w:val="22"/>
        </w:rPr>
        <w:t xml:space="preserve"> </w:t>
      </w:r>
      <w:r>
        <w:rPr>
          <w:sz w:val="22"/>
        </w:rPr>
        <w:t xml:space="preserve">⁶Division of Geological and Planetary Sciences, California Institute of Technology, Pasadena, CA, USA</w:t>
      </w:r>
    </w:p>
    <w:p>
      <w:pPr>
        <w:pStyle w:val="BodyText"/>
        <w:spacing w:before="40" w:after="200" w:line="240" w:lineRule="auto"/>
        <w:rPr>
          <w:sz w:val="22"/>
        </w:rPr>
      </w:pPr>
      <w:r>
        <w:rPr>
          <w:sz w:val="22"/>
        </w:rPr>
        <w:t xml:space="preserve">Copyright: © 2026. All rights reserved.</w:t>
      </w:r>
    </w:p>
    <w:p>
      <w:pPr>
        <w:spacing w:before="40" w:after="200" w:line="240" w:lineRule="auto"/>
        <w:rPr>
          <w:sz w:val="22"/>
        </w:rPr>
      </w:pPr>
      <w:r>
        <w:rPr>
          <w:sz w:val="22"/>
        </w:rPr>
        <w:pict>
          <v:rect style="width:0;height:1.5pt" o:hralign="center" o:hrstd="t" o:hr="t"/>
        </w:pict>
      </w:r>
    </w:p>
    <w:bookmarkStart w:id="23" w:name="supplementary-discussion"/>
    <w:p>
      <w:pPr>
        <w:pStyle w:val="Heading2"/>
        <w:spacing w:before="160" w:after="80" w:line="240" w:lineRule="auto"/>
      </w:pPr>
      <w:r>
        <w:t xml:space="preserve">Supplementary Discussion</w:t>
      </w:r>
    </w:p>
    <w:bookmarkStart w:id="20" w:name="X348d1a80a32ff75fc6983cc9fef6316026c3f7f"/>
    <w:p>
      <w:pPr>
        <w:pStyle w:val="Heading3"/>
        <w:spacing w:before="160" w:after="80" w:line="240" w:lineRule="auto"/>
      </w:pPr>
      <w:r>
        <w:t xml:space="preserve">Supplementary Discussion 1: Multi-year-mean accuracy and 1/n scaling of the MBL discrepancy</w:t>
      </w:r>
    </w:p>
    <w:p>
      <w:pPr>
        <w:pStyle w:val="FirstParagraph"/>
        <w:spacing w:before="40" w:after="200" w:line="240" w:lineRule="auto"/>
        <w:rPr>
          <w:sz w:val="22"/>
        </w:rPr>
      </w:pPr>
      <w:r>
        <w:rPr>
          <w:sz w:val="22"/>
        </w:rPr>
        <w:t xml:space="preserve">At multi-year averaging scales, the NOAA MBL growth-rate discrepancy is strongly suppressed because an n-year mean of annual growth rates depends only on the two endpoint annual concentrations. Computed against the in situ inversion median over 1991–2024, the climatological-mean NOAA MBL discrepancy is nearly zero (NOAA minus inversion median = −0.002 ppm yr⁻¹), and the typical absolute discrepancy of rolling five-year means is only 0.03 ppm yr⁻¹, about five times smaller than the annual RMS discrepancy of 0.15 ppm yr⁻¹. Across 1991–2024, the standard deviation of the n-year rolling-mean discrepancy against the in situ inversion median scales as 1/n rather than the 1/√n expected for independent errors (best-fit log–log slope −0.97; Supplementary Fig. S9). This follows because the n-year mean of annual growth rates reduces algebraically to</w:t>
      </w:r>
      <w:r>
        <w:rPr>
          <w:sz w:val="22"/>
        </w:rPr>
        <w:t xml:space="preserve"> </w:t>
      </w:r>
      <m:oMath>
        <m:d>
          <m:dPr>
            <m:begChr m:val="("/>
            <m:sepChr m:val=""/>
            <m:endChr m:val=")"/>
            <m:grow/>
          </m:dPr>
          <m:e>
            <m:sSub>
              <m:e>
                <m:r>
                  <m:t>C</m:t>
                </m:r>
              </m:e>
              <m:sub>
                <m:r>
                  <m:t>n</m:t>
                </m:r>
                <m:r>
                  <m:rPr>
                    <m:sty m:val="p"/>
                  </m:rPr>
                  <m:t>+</m:t>
                </m:r>
                <m:r>
                  <m:t>1</m:t>
                </m:r>
              </m:sub>
            </m:sSub>
            <m:r>
              <m:rPr>
                <m:sty m:val="p"/>
              </m:rPr>
              <m:t>−</m:t>
            </m:r>
            <m:sSub>
              <m:e>
                <m:r>
                  <m:t>C</m:t>
                </m:r>
              </m:e>
              <m:sub>
                <m:r>
                  <m:t>1</m:t>
                </m:r>
              </m:sub>
            </m:sSub>
          </m:e>
        </m:d>
        <m:r>
          <m:rPr>
            <m:sty m:val="p"/>
          </m:rPr>
          <m:t>/</m:t>
        </m:r>
        <m:r>
          <m:t>n</m:t>
        </m:r>
      </m:oMath>
      <w:r>
        <w:rPr>
          <w:sz w:val="22"/>
        </w:rPr>
        <w:t xml:space="preserve">: only the two endpoint annual concentrations contribute, and interior-year sampling errors do not enter the average. Equivalently, the endpoint formulation produces a variance reduction proportional to</w:t>
      </w:r>
      <w:r>
        <w:rPr>
          <w:sz w:val="22"/>
        </w:rPr>
        <w:t xml:space="preserve"> </w:t>
      </w:r>
      <m:oMath>
        <m:r>
          <m:t>1</m:t>
        </m:r>
        <m:r>
          <m:rPr>
            <m:sty m:val="p"/>
          </m:rPr>
          <m:t>/</m:t>
        </m:r>
        <m:sSup>
          <m:e>
            <m:r>
              <m:t>n</m:t>
            </m:r>
          </m:e>
          <m:sup>
            <m:r>
              <m:t>2</m:t>
            </m:r>
          </m:sup>
        </m:sSup>
      </m:oMath>
      <w:r>
        <w:rPr>
          <w:sz w:val="22"/>
        </w:rPr>
        <w:t xml:space="preserve">, rather than the</w:t>
      </w:r>
      <w:r>
        <w:rPr>
          <w:sz w:val="22"/>
        </w:rPr>
        <w:t xml:space="preserve"> </w:t>
      </w:r>
      <m:oMath>
        <m:r>
          <m:t>1</m:t>
        </m:r>
        <m:r>
          <m:rPr>
            <m:sty m:val="p"/>
          </m:rPr>
          <m:t>/</m:t>
        </m:r>
        <m:r>
          <m:t>n</m:t>
        </m:r>
      </m:oMath>
      <w:r>
        <w:rPr>
          <w:sz w:val="22"/>
        </w:rPr>
        <w:t xml:space="preserve"> </w:t>
      </w:r>
      <w:r>
        <w:rPr>
          <w:sz w:val="22"/>
        </w:rPr>
        <w:t xml:space="preserve">reduction expected from averaging independent annual growth-rate errors. This accounts for the multi-year-mean accuracy of the MBL record despite its annual-scale representativeness bias. Long-term Earth-system applications of the MBL record are well supported by these results, consistent with the observing-system-simulation analysis of Pandey et al.</w:t>
      </w:r>
      <w:r>
        <w:rPr>
          <w:sz w:val="22"/>
          <w:vertAlign w:val="superscript"/>
        </w:rPr>
        <w:t xml:space="preserve">1</w:t>
      </w:r>
      <w:r>
        <w:rPr>
          <w:sz w:val="22"/>
        </w:rPr>
        <w:t xml:space="preserve">, who used atmospheric chemistry-transport-model (CTM) simulations to estimate the whole-atmosphere truth versus MBL sampling discrepancy at ~0.03 ppm yr⁻¹ for five-year-mean growth rates.</w:t>
      </w:r>
    </w:p>
    <w:bookmarkEnd w:id="20"/>
    <w:bookmarkStart w:id="21" w:name="Xd7fd5b47f55a1f7fcbbee6e2b06084255d2fe73"/>
    <w:p>
      <w:pPr>
        <w:pStyle w:val="Heading3"/>
        <w:spacing w:before="160" w:after="80" w:line="240" w:lineRule="auto"/>
      </w:pPr>
      <w:r>
        <w:t xml:space="preserve">Supplementary Discussion 2: Annual-scale bias mechanism and the variable conversion factor</w:t>
      </w:r>
    </w:p>
    <w:p>
      <w:pPr>
        <w:pStyle w:val="FirstParagraph"/>
        <w:spacing w:before="40" w:after="200" w:line="240" w:lineRule="auto"/>
        <w:rPr>
          <w:sz w:val="22"/>
        </w:rPr>
      </w:pPr>
      <w:r>
        <w:rPr>
          <w:sz w:val="22"/>
        </w:rPr>
        <w:t xml:space="preserve">The MBL annual growth-rate bias does not arise from a single defect but from multiple representativeness gaps between an MBL network and the whole atmosphere. Prior work has already pointed to sampling limitations and to year-to-year variation in the mapping from MBL growth to whole-atmosphere carbon mass, including effects of vertical structure and stratosphere–troposphere exchange</w:t>
      </w:r>
      <w:r>
        <w:rPr>
          <w:sz w:val="22"/>
          <w:vertAlign w:val="superscript"/>
        </w:rPr>
        <w:t xml:space="preserve">1,2</w:t>
      </w:r>
      <w:r>
        <w:rPr>
          <w:sz w:val="22"/>
        </w:rPr>
        <w:t xml:space="preserve">. Our results show that time-varying network representativeness is an additional, independently important driver of this discrepancy. Its effect is modest in near-mean years but amplifies when atmospheric growth departs strongly from its long-term mean, consistent with the predictive role of the seven-year anomaly term. Recent work by Friedlingstein et al.</w:t>
      </w:r>
      <w:r>
        <w:rPr>
          <w:sz w:val="22"/>
          <w:vertAlign w:val="superscript"/>
        </w:rPr>
        <w:t xml:space="preserve">3</w:t>
      </w:r>
      <w:r>
        <w:rPr>
          <w:sz w:val="22"/>
        </w:rPr>
        <w:t xml:space="preserve"> </w:t>
      </w:r>
      <w:r>
        <w:rPr>
          <w:sz w:val="22"/>
        </w:rPr>
        <w:t xml:space="preserve">reached a related conclusion from a different direction, showing that the conversion from the MBL growth rate to whole-atmosphere carbon mass is not constant from year to year. That inversion-derived variable conversion factor is a useful diagnostic of interannual variability in the MBL-to-mass mapping. Our analysis suggests a mechanistic contribution to that variability: time-varying representativeness of the MBL observing network, arising from both network geometry and atmospheric state. Because the variable conversion factor is itself inferred from inversions, it remains an inversion-informed correction to the MBL record, whereas the GRESO whole-atmosphere estimates provide an alternative atmospheric term over the satellite era without using the flux-inversion machinery.</w:t>
      </w:r>
    </w:p>
    <w:bookmarkEnd w:id="21"/>
    <w:bookmarkStart w:id="22" w:name="Xb12278831fc15cc6fa3b9c52b75a914afa1fea3"/>
    <w:p>
      <w:pPr>
        <w:pStyle w:val="Heading3"/>
        <w:spacing w:before="160" w:after="80" w:line="240" w:lineRule="auto"/>
      </w:pPr>
      <w:r>
        <w:t xml:space="preserve">Supplementary Discussion 3: Practical considerations for community adoption</w:t>
      </w:r>
    </w:p>
    <w:p>
      <w:pPr>
        <w:pStyle w:val="FirstParagraph"/>
        <w:spacing w:before="40" w:after="200" w:line="240" w:lineRule="auto"/>
        <w:rPr>
          <w:sz w:val="22"/>
        </w:rPr>
      </w:pPr>
      <w:r>
        <w:rPr>
          <w:sz w:val="22"/>
        </w:rPr>
        <w:t xml:space="preserve">Several caveats follow for community-wide adoption of the data-driven satellite growth rates. Time-varying biases in satellite retrievals must continue to be quantified, and cross-validation against the Total Carbon Column Observing Network (TCCON) remains essential</w:t>
      </w:r>
      <w:r>
        <w:rPr>
          <w:sz w:val="22"/>
          <w:vertAlign w:val="superscript"/>
        </w:rPr>
        <w:t xml:space="preserve">1,4,5</w:t>
      </w:r>
      <w:r>
        <w:rPr>
          <w:sz w:val="22"/>
        </w:rPr>
        <w:t xml:space="preserve">. The whole-atmosphere growth-rate methodology depends on regular, fixed-time-of-day sampling, which OCO-2 and GOSAT both provide; it should be testable for upcoming missions with similar sun-synchronous sampling, including MicroCarb</w:t>
      </w:r>
      <w:r>
        <w:rPr>
          <w:sz w:val="22"/>
          <w:vertAlign w:val="superscript"/>
        </w:rPr>
        <w:t xml:space="preserve">6</w:t>
      </w:r>
      <w:r>
        <w:rPr>
          <w:sz w:val="22"/>
        </w:rPr>
        <w:t xml:space="preserve">, GOSAT-GW</w:t>
      </w:r>
      <w:r>
        <w:rPr>
          <w:sz w:val="22"/>
          <w:vertAlign w:val="superscript"/>
        </w:rPr>
        <w:t xml:space="preserve">7</w:t>
      </w:r>
      <w:r>
        <w:rPr>
          <w:sz w:val="22"/>
        </w:rPr>
        <w:t xml:space="preserve">, and CO₂M</w:t>
      </w:r>
      <w:r>
        <w:rPr>
          <w:sz w:val="22"/>
          <w:vertAlign w:val="superscript"/>
        </w:rPr>
        <w:t xml:space="preserve">8</w:t>
      </w:r>
      <w:r>
        <w:rPr>
          <w:sz w:val="22"/>
        </w:rPr>
        <w:t xml:space="preserve">, provided mission-specific retrieval biases, sampling patterns, and cross-calibration are explicitly evaluated. The whole-atmosphere satellite growth-rate record now spans 2010–2024 when GOSAT and OCO-2 are considered together, but continuity across missions will require careful cross-calibration and, ultimately, uncertainty-weighted multi-satellite fusion rather than the simple arithmetic mean used here</w:t>
      </w:r>
      <w:r>
        <w:rPr>
          <w:sz w:val="22"/>
          <w:vertAlign w:val="superscript"/>
        </w:rPr>
        <w:t xml:space="preserve">9,10</w:t>
      </w:r>
      <w:r>
        <w:rPr>
          <w:sz w:val="22"/>
        </w:rPr>
        <w:t xml:space="preserve">. Reliance on a single satellite is also a structural risk: the multi-instrument ground network has built-in redundancy, so individual instrument or platform losses do not collapse the record, whereas a single-satellite gap can interrupt the whole-atmosphere series. In situ data, including the individual MBL flask measurements from NOAA used in this study, therefore remain indispensable as an independent benchmark and as a bridge from atmospheric growth to flux attribution.</w:t>
      </w:r>
    </w:p>
    <w:p>
      <w:pPr>
        <w:pStyle w:val="BodyText"/>
        <w:spacing w:before="40" w:after="200" w:line="240" w:lineRule="auto"/>
        <w:rPr>
          <w:sz w:val="22"/>
        </w:rPr>
      </w:pPr>
      <w:r>
        <w:rPr>
          <w:sz w:val="22"/>
        </w:rPr>
        <w:t xml:space="preserve">Lower atmospheric-term discrepancy may also improve the sensitivity of the global carbon budget to large but transient emissions perturbations. For reference, the COVID-19 emissions anomaly in 2020 was about 0.5 PgC yr⁻¹</w:t>
      </w:r>
      <w:r>
        <w:rPr>
          <w:sz w:val="22"/>
          <w:vertAlign w:val="superscript"/>
        </w:rPr>
        <w:t xml:space="preserve">11</w:t>
      </w:r>
      <w:r>
        <w:rPr>
          <w:sz w:val="22"/>
        </w:rPr>
        <w:t xml:space="preserve">; a perturbation of that scale may be easier to isolate in a climatically quieter year, when variability in the land and ocean terms is smaller than during events such as the 2023–2024 anomaly.</w:t>
      </w:r>
    </w:p>
    <w:p>
      <w:pPr>
        <w:spacing w:before="40" w:after="200" w:line="240" w:lineRule="auto"/>
        <w:rPr>
          <w:sz w:val="22"/>
        </w:rPr>
      </w:pPr>
      <w:r>
        <w:rPr>
          <w:sz w:val="22"/>
        </w:rPr>
        <w:pict>
          <v:rect style="width:0;height:1.5pt" o:hralign="center" o:hrstd="t" o:hr="t"/>
        </w:pict>
      </w:r>
    </w:p>
    <w:bookmarkEnd w:id="22"/>
    <w:bookmarkEnd w:id="23"/>
    <w:bookmarkStart w:id="54" w:name="supplementary-figures"/>
    <w:p>
      <w:pPr>
        <w:pStyle w:val="Heading2"/>
        <w:spacing w:before="160" w:after="80" w:line="240" w:lineRule="auto"/>
      </w:pPr>
      <w:r>
        <w:t xml:space="preserve">Supplementary Figures</w:t>
      </w:r>
    </w:p>
    <w:p>
      <w:pPr>
        <w:pStyle w:val="FirstParagraph"/>
        <w:spacing w:before="40" w:after="120" w:line="240" w:lineRule="auto"/>
        <w:rPr>
          <w:sz w:val="22"/>
        </w:rPr>
        <w:pBdr>
          <w:bottom w:val="single" w:sz="4" w:space="6" w:color="AAAAAA"/>
        </w:pBdr>
      </w:pPr>
      <w:r>
        <w:drawing>
          <wp:inline>
            <wp:extent cx="5040000" cy="4151761"/>
            <wp:effectExtent b="0" l="0" r="0" t="0"/>
            <wp:docPr descr="" title="" id="25" name="Picture"/>
            <a:graphic>
              <a:graphicData uri="http://schemas.openxmlformats.org/drawingml/2006/picture">
                <pic:pic>
                  <pic:nvPicPr>
                    <pic:cNvPr descr="../figures/si/Figure_S1_inversion_spread.png" id="26" name="Picture"/>
                    <pic:cNvPicPr>
                      <a:picLocks noChangeArrowheads="1" noChangeAspect="1"/>
                    </pic:cNvPicPr>
                  </pic:nvPicPr>
                  <pic:blipFill>
                    <a:blip r:embed="rId24"/>
                    <a:stretch>
                      <a:fillRect/>
                    </a:stretch>
                  </pic:blipFill>
                  <pic:spPr bwMode="auto">
                    <a:xfrm>
                      <a:off x="0" y="0"/>
                      <a:ext cx="5040000" cy="4151761"/>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S1 | Inter-model spread of GCB 2025 in situ inversions and NOAA MBL growth rate, 1991–2024.</w:t>
      </w:r>
      <w:r>
        <w:rPr>
          <w:sz w:val="22"/>
        </w:rPr>
        <w:t xml:space="preserve"> </w:t>
      </w:r>
      <w:r>
        <w:rPr>
          <w:b/>
          <w:bCs/>
          <w:sz w:val="22"/>
        </w:rPr>
        <w:t xml:space="preserve">(a)</w:t>
      </w:r>
      <w:r>
        <w:rPr>
          <w:sz w:val="22"/>
        </w:rPr>
        <w:t xml:space="preserve"> </w:t>
      </w:r>
      <w:r>
        <w:rPr>
          <w:sz w:val="22"/>
        </w:rPr>
        <w:t xml:space="preserve">Annual atmospheric CO₂ growth rates (ppm yr⁻¹) from six in situ atmospheric inversions (colored lines, one per inversion; see panel-a legend), their per-year median (green) and interquartile range (IQR; green shading), and the NOAA MBL growth rate (orange dashed). Orange dots mark years in which the NOAA value falls outside the inversion IQR.</w:t>
      </w:r>
      <w:r>
        <w:rPr>
          <w:sz w:val="22"/>
        </w:rPr>
        <w:t xml:space="preserve"> </w:t>
      </w:r>
      <w:r>
        <w:rPr>
          <w:b/>
          <w:bCs/>
          <w:sz w:val="22"/>
        </w:rPr>
        <w:t xml:space="preserve">(b)</w:t>
      </w:r>
      <w:r>
        <w:rPr>
          <w:sz w:val="22"/>
        </w:rPr>
        <w:t xml:space="preserve"> </w:t>
      </w:r>
      <w:r>
        <w:rPr>
          <w:sz w:val="22"/>
        </w:rPr>
        <w:t xml:space="preserve">Absolute NOAA MBL discrepancy from the inversion median (ppm yr⁻¹; orange) compared with the inter-model IQR (green) for each year.</w:t>
      </w:r>
    </w:p>
    <w:p>
      <w:pPr>
        <w:pStyle w:val="BodyText"/>
        <w:spacing w:before="40" w:after="120" w:line="240" w:lineRule="auto"/>
        <w:rPr>
          <w:sz w:val="22"/>
        </w:rPr>
        <w:pBdr>
          <w:bottom w:val="single" w:sz="4" w:space="6" w:color="AAAAAA"/>
        </w:pBdr>
      </w:pPr>
      <w:r>
        <w:drawing>
          <wp:inline>
            <wp:extent cx="5040000" cy="4413833"/>
            <wp:effectExtent b="0" l="0" r="0" t="0"/>
            <wp:docPr descr="" title="" id="28" name="Picture"/>
            <a:graphic>
              <a:graphicData uri="http://schemas.openxmlformats.org/drawingml/2006/picture">
                <pic:pic>
                  <pic:nvPicPr>
                    <pic:cNvPr descr="../figures/si/Figure_S2_cross_correlation_matrix.png" id="29" name="Picture"/>
                    <pic:cNvPicPr>
                      <a:picLocks noChangeArrowheads="1" noChangeAspect="1"/>
                    </pic:cNvPicPr>
                  </pic:nvPicPr>
                  <pic:blipFill>
                    <a:blip r:embed="rId27"/>
                    <a:stretch>
                      <a:fillRect/>
                    </a:stretch>
                  </pic:blipFill>
                  <pic:spPr bwMode="auto">
                    <a:xfrm>
                      <a:off x="0" y="0"/>
                      <a:ext cx="5040000" cy="4413833"/>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S2 | Cross-correlation matrix of candidate predictors and the NOAA–inversion discrepancy.</w:t>
      </w:r>
      <w:r>
        <w:rPr>
          <w:sz w:val="22"/>
        </w:rPr>
        <w:t xml:space="preserve"> </w:t>
      </w:r>
      <w:r>
        <w:rPr>
          <w:sz w:val="22"/>
        </w:rPr>
        <w:t xml:space="preserve">Pearson correlations for the ten candidate predictors and the absolute NOAA–inversion growth-rate discrepancy, 1991–2024. Warm/cool colors denote positive/negative correlations; values annotated in each cell. ★ marks the five predictors retained in the selected regression model (see Supplementary Table S1).</w:t>
      </w:r>
    </w:p>
    <w:p>
      <w:pPr>
        <w:pStyle w:val="BodyText"/>
        <w:spacing w:before="40" w:after="120" w:line="240" w:lineRule="auto"/>
        <w:rPr>
          <w:sz w:val="22"/>
        </w:rPr>
        <w:pBdr>
          <w:bottom w:val="single" w:sz="4" w:space="6" w:color="AAAAAA"/>
        </w:pBdr>
      </w:pPr>
      <w:r>
        <w:drawing>
          <wp:inline>
            <wp:extent cx="5040000" cy="5578078"/>
            <wp:effectExtent b="0" l="0" r="0" t="0"/>
            <wp:docPr descr="" title="" id="31" name="Picture"/>
            <a:graphic>
              <a:graphicData uri="http://schemas.openxmlformats.org/drawingml/2006/picture">
                <pic:pic>
                  <pic:nvPicPr>
                    <pic:cNvPr descr="../figures/si/Figure_S3a.png" id="32" name="Picture"/>
                    <pic:cNvPicPr>
                      <a:picLocks noChangeArrowheads="1" noChangeAspect="1"/>
                    </pic:cNvPicPr>
                  </pic:nvPicPr>
                  <pic:blipFill>
                    <a:blip r:embed="rId30"/>
                    <a:stretch>
                      <a:fillRect/>
                    </a:stretch>
                  </pic:blipFill>
                  <pic:spPr bwMode="auto">
                    <a:xfrm>
                      <a:off x="0" y="0"/>
                      <a:ext cx="5040000" cy="5578078"/>
                    </a:xfrm>
                    <a:prstGeom prst="rect">
                      <a:avLst/>
                    </a:prstGeom>
                    <a:noFill/>
                    <a:ln w="9525">
                      <a:noFill/>
                      <a:headEnd/>
                      <a:tailEnd/>
                    </a:ln>
                  </pic:spPr>
                </pic:pic>
              </a:graphicData>
            </a:graphic>
          </wp:inline>
        </w:drawing>
      </w:r>
    </w:p>
    <w:p>
      <w:pPr>
        <w:pStyle w:val="BodyText"/>
        <w:spacing w:before="40" w:after="120" w:line="240" w:lineRule="auto"/>
        <w:rPr>
          <w:sz w:val="22"/>
        </w:rPr>
        <w:pBdr>
          <w:bottom w:val="single" w:sz="4" w:space="6" w:color="AAAAAA"/>
        </w:pBdr>
      </w:pPr>
      <w:r>
        <w:drawing>
          <wp:inline>
            <wp:extent cx="5040000" cy="5578078"/>
            <wp:effectExtent b="0" l="0" r="0" t="0"/>
            <wp:docPr descr="" title="" id="34" name="Picture"/>
            <a:graphic>
              <a:graphicData uri="http://schemas.openxmlformats.org/drawingml/2006/picture">
                <pic:pic>
                  <pic:nvPicPr>
                    <pic:cNvPr descr="../figures/si/Figure_S3b.png" id="35" name="Picture"/>
                    <pic:cNvPicPr>
                      <a:picLocks noChangeArrowheads="1" noChangeAspect="1"/>
                    </pic:cNvPicPr>
                  </pic:nvPicPr>
                  <pic:blipFill>
                    <a:blip r:embed="rId33"/>
                    <a:stretch>
                      <a:fillRect/>
                    </a:stretch>
                  </pic:blipFill>
                  <pic:spPr bwMode="auto">
                    <a:xfrm>
                      <a:off x="0" y="0"/>
                      <a:ext cx="5040000" cy="5578078"/>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S3 | Diagnostic time series for predictors of the absolute NOAA–inversion growth-rate discrepancy, 1991–2024.</w:t>
      </w:r>
      <w:r>
        <w:rPr>
          <w:sz w:val="22"/>
        </w:rPr>
        <w:t xml:space="preserve"> </w:t>
      </w:r>
      <w:r>
        <w:rPr>
          <w:sz w:val="22"/>
        </w:rPr>
        <w:t xml:space="preserve">The figure is shown in two parts for readability: panels</w:t>
      </w:r>
      <w:r>
        <w:rPr>
          <w:sz w:val="22"/>
        </w:rPr>
        <w:t xml:space="preserve"> </w:t>
      </w:r>
      <w:r>
        <w:rPr>
          <w:b/>
          <w:bCs/>
          <w:sz w:val="22"/>
        </w:rPr>
        <w:t xml:space="preserve">(a–f)</w:t>
      </w:r>
      <w:r>
        <w:rPr>
          <w:sz w:val="22"/>
        </w:rPr>
        <w:t xml:space="preserve"> </w:t>
      </w:r>
      <w:r>
        <w:rPr>
          <w:sz w:val="22"/>
        </w:rPr>
        <w:t xml:space="preserve">show the target variable and the five selected predictors; panels</w:t>
      </w:r>
      <w:r>
        <w:rPr>
          <w:sz w:val="22"/>
        </w:rPr>
        <w:t xml:space="preserve"> </w:t>
      </w:r>
      <w:r>
        <w:rPr>
          <w:b/>
          <w:bCs/>
          <w:sz w:val="22"/>
        </w:rPr>
        <w:t xml:space="preserve">(g–l)</w:t>
      </w:r>
      <w:r>
        <w:rPr>
          <w:sz w:val="22"/>
        </w:rPr>
        <w:t xml:space="preserve"> </w:t>
      </w:r>
      <w:r>
        <w:rPr>
          <w:sz w:val="22"/>
        </w:rPr>
        <w:t xml:space="preserve">show the five unselected candidate predictors. The target variable (absolute NOAA–inversion discrepancy) is repeated in panel</w:t>
      </w:r>
      <w:r>
        <w:rPr>
          <w:sz w:val="22"/>
        </w:rPr>
        <w:t xml:space="preserve"> </w:t>
      </w:r>
      <w:r>
        <w:rPr>
          <w:b/>
          <w:bCs/>
          <w:sz w:val="22"/>
        </w:rPr>
        <w:t xml:space="preserve">(g)</w:t>
      </w:r>
      <w:r>
        <w:rPr>
          <w:sz w:val="22"/>
        </w:rPr>
        <w:t xml:space="preserve"> </w:t>
      </w:r>
      <w:r>
        <w:rPr>
          <w:sz w:val="22"/>
        </w:rPr>
        <w:t xml:space="preserve">for visual reference.</w:t>
      </w:r>
      <w:r>
        <w:rPr>
          <w:sz w:val="22"/>
        </w:rPr>
        <w:t xml:space="preserve"> </w:t>
      </w:r>
      <w:r>
        <w:rPr>
          <w:b/>
          <w:bCs/>
          <w:sz w:val="22"/>
        </w:rPr>
        <w:t xml:space="preserve">(a, g)</w:t>
      </w:r>
      <w:r>
        <w:rPr>
          <w:sz w:val="22"/>
        </w:rPr>
        <w:t xml:space="preserve"> </w:t>
      </w:r>
      <w:r>
        <w:rPr>
          <w:sz w:val="22"/>
        </w:rPr>
        <w:t xml:space="preserve">Absolute NOAA–inversion discrepancy.</w:t>
      </w:r>
      <w:r>
        <w:rPr>
          <w:sz w:val="22"/>
        </w:rPr>
        <w:t xml:space="preserve"> </w:t>
      </w:r>
      <w:r>
        <w:rPr>
          <w:b/>
          <w:bCs/>
          <w:sz w:val="22"/>
        </w:rPr>
        <w:t xml:space="preserve">(b)</w:t>
      </w:r>
      <w:r>
        <w:rPr>
          <w:sz w:val="22"/>
        </w:rPr>
        <w:t xml:space="preserve"> </w:t>
      </w:r>
      <w:r>
        <w:rPr>
          <w:sz w:val="22"/>
        </w:rPr>
        <w:t xml:space="preserve">Edge fixed-site observation count.</w:t>
      </w:r>
      <w:r>
        <w:rPr>
          <w:sz w:val="22"/>
        </w:rPr>
        <w:t xml:space="preserve"> </w:t>
      </w:r>
      <w:r>
        <w:rPr>
          <w:b/>
          <w:bCs/>
          <w:sz w:val="22"/>
        </w:rPr>
        <w:t xml:space="preserve">(c)</w:t>
      </w:r>
      <w:r>
        <w:rPr>
          <w:sz w:val="22"/>
        </w:rPr>
        <w:t xml:space="preserve"> </w:t>
      </w:r>
      <w:r>
        <w:rPr>
          <w:sz w:val="22"/>
        </w:rPr>
        <w:t xml:space="preserve">Edge tropical observation fraction.</w:t>
      </w:r>
      <w:r>
        <w:rPr>
          <w:sz w:val="22"/>
        </w:rPr>
        <w:t xml:space="preserve"> </w:t>
      </w:r>
      <w:r>
        <w:rPr>
          <w:b/>
          <w:bCs/>
          <w:sz w:val="22"/>
        </w:rPr>
        <w:t xml:space="preserve">(d)</w:t>
      </w:r>
      <w:r>
        <w:rPr>
          <w:sz w:val="22"/>
        </w:rPr>
        <w:t xml:space="preserve"> </w:t>
      </w:r>
      <w:r>
        <w:rPr>
          <w:sz w:val="22"/>
        </w:rPr>
        <w:t xml:space="preserve">Edge latitude-center shift.</w:t>
      </w:r>
      <w:r>
        <w:rPr>
          <w:sz w:val="22"/>
        </w:rPr>
        <w:t xml:space="preserve"> </w:t>
      </w:r>
      <w:r>
        <w:rPr>
          <w:b/>
          <w:bCs/>
          <w:sz w:val="22"/>
        </w:rPr>
        <w:t xml:space="preserve">(e)</w:t>
      </w:r>
      <w:r>
        <w:rPr>
          <w:sz w:val="22"/>
        </w:rPr>
        <w:t xml:space="preserve"> </w:t>
      </w:r>
      <w:r>
        <w:rPr>
          <w:sz w:val="22"/>
        </w:rPr>
        <w:t xml:space="preserve">Year-to-year observation change.</w:t>
      </w:r>
      <w:r>
        <w:rPr>
          <w:sz w:val="22"/>
        </w:rPr>
        <w:t xml:space="preserve"> </w:t>
      </w:r>
      <w:r>
        <w:rPr>
          <w:b/>
          <w:bCs/>
          <w:sz w:val="22"/>
        </w:rPr>
        <w:t xml:space="preserve">(f)</w:t>
      </w:r>
      <w:r>
        <w:rPr>
          <w:sz w:val="22"/>
        </w:rPr>
        <w:t xml:space="preserve"> </w:t>
      </w:r>
      <w:r>
        <w:rPr>
          <w:sz w:val="22"/>
        </w:rPr>
        <w:t xml:space="preserve">Seven-year CO₂ anomaly.</w:t>
      </w:r>
      <w:r>
        <w:rPr>
          <w:sz w:val="22"/>
        </w:rPr>
        <w:t xml:space="preserve"> </w:t>
      </w:r>
      <w:r>
        <w:rPr>
          <w:b/>
          <w:bCs/>
          <w:sz w:val="22"/>
        </w:rPr>
        <w:t xml:space="preserve">(h)</w:t>
      </w:r>
      <w:r>
        <w:rPr>
          <w:sz w:val="22"/>
        </w:rPr>
        <w:t xml:space="preserve"> </w:t>
      </w:r>
      <w:r>
        <w:rPr>
          <w:sz w:val="22"/>
        </w:rPr>
        <w:t xml:space="preserve">Annual tropical observation count.</w:t>
      </w:r>
      <w:r>
        <w:rPr>
          <w:sz w:val="22"/>
        </w:rPr>
        <w:t xml:space="preserve"> </w:t>
      </w:r>
      <w:r>
        <w:rPr>
          <w:b/>
          <w:bCs/>
          <w:sz w:val="22"/>
        </w:rPr>
        <w:t xml:space="preserve">(i)</w:t>
      </w:r>
      <w:r>
        <w:rPr>
          <w:sz w:val="22"/>
        </w:rPr>
        <w:t xml:space="preserve"> </w:t>
      </w:r>
      <w:r>
        <w:rPr>
          <w:sz w:val="22"/>
        </w:rPr>
        <w:t xml:space="preserve">Edge latitude spread.</w:t>
      </w:r>
      <w:r>
        <w:rPr>
          <w:sz w:val="22"/>
        </w:rPr>
        <w:t xml:space="preserve"> </w:t>
      </w:r>
      <w:r>
        <w:rPr>
          <w:b/>
          <w:bCs/>
          <w:sz w:val="22"/>
        </w:rPr>
        <w:t xml:space="preserve">(j)</w:t>
      </w:r>
      <w:r>
        <w:rPr>
          <w:sz w:val="22"/>
        </w:rPr>
        <w:t xml:space="preserve"> </w:t>
      </w:r>
      <w:r>
        <w:rPr>
          <w:sz w:val="22"/>
        </w:rPr>
        <w:t xml:space="preserve">Leading-edge tropical observation count.</w:t>
      </w:r>
      <w:r>
        <w:rPr>
          <w:sz w:val="22"/>
        </w:rPr>
        <w:t xml:space="preserve"> </w:t>
      </w:r>
      <w:r>
        <w:rPr>
          <w:b/>
          <w:bCs/>
          <w:sz w:val="22"/>
        </w:rPr>
        <w:t xml:space="preserve">(k)</w:t>
      </w:r>
      <w:r>
        <w:rPr>
          <w:sz w:val="22"/>
        </w:rPr>
        <w:t xml:space="preserve"> </w:t>
      </w:r>
      <w:r>
        <w:rPr>
          <w:sz w:val="22"/>
        </w:rPr>
        <w:t xml:space="preserve">Edge occupied site-months.</w:t>
      </w:r>
      <w:r>
        <w:rPr>
          <w:sz w:val="22"/>
        </w:rPr>
        <w:t xml:space="preserve"> </w:t>
      </w:r>
      <w:r>
        <w:rPr>
          <w:b/>
          <w:bCs/>
          <w:sz w:val="22"/>
        </w:rPr>
        <w:t xml:space="preserve">(l)</w:t>
      </w:r>
      <w:r>
        <w:rPr>
          <w:sz w:val="22"/>
        </w:rPr>
        <w:t xml:space="preserve"> </w:t>
      </w:r>
      <w:r>
        <w:rPr>
          <w:sz w:val="22"/>
        </w:rPr>
        <w:t xml:space="preserve">Annual mean observation latitude. Predictors with negative Pearson correlations are plotted with a flipped y-axis so that visually higher values correspond to larger expected discrepancy magnitude. See Supplementary Table S1 for predictor definitions and univariate correlations.</w:t>
      </w:r>
    </w:p>
    <w:p>
      <w:pPr>
        <w:pStyle w:val="BodyText"/>
        <w:spacing w:before="40" w:after="120" w:line="240" w:lineRule="auto"/>
        <w:rPr>
          <w:sz w:val="22"/>
        </w:rPr>
        <w:pBdr>
          <w:bottom w:val="single" w:sz="4" w:space="6" w:color="AAAAAA"/>
        </w:pBdr>
      </w:pPr>
      <w:r>
        <w:drawing>
          <wp:inline>
            <wp:extent cx="3037749" cy="5760000"/>
            <wp:effectExtent b="0" l="0" r="0" t="0"/>
            <wp:docPr descr="" title="" id="37" name="Picture"/>
            <a:graphic>
              <a:graphicData uri="http://schemas.openxmlformats.org/drawingml/2006/picture">
                <pic:pic>
                  <pic:nvPicPr>
                    <pic:cNvPr descr="../figures/si/Figure_S4_flux_anomaly_maps.png" id="38" name="Picture"/>
                    <pic:cNvPicPr>
                      <a:picLocks noChangeArrowheads="1" noChangeAspect="1"/>
                    </pic:cNvPicPr>
                  </pic:nvPicPr>
                  <pic:blipFill>
                    <a:blip r:embed="rId36"/>
                    <a:stretch>
                      <a:fillRect/>
                    </a:stretch>
                  </pic:blipFill>
                  <pic:spPr bwMode="auto">
                    <a:xfrm>
                      <a:off x="0" y="0"/>
                      <a:ext cx="3037749" cy="5760000"/>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S4 | OCO-2 sampling and GCB 2025 inversion flux fields.</w:t>
      </w:r>
      <w:r>
        <w:rPr>
          <w:sz w:val="22"/>
        </w:rPr>
        <w:t xml:space="preserve"> </w:t>
      </w:r>
      <w:r>
        <w:rPr>
          <w:b/>
          <w:bCs/>
          <w:sz w:val="22"/>
        </w:rPr>
        <w:t xml:space="preserve">(a)</w:t>
      </w:r>
      <w:r>
        <w:rPr>
          <w:sz w:val="22"/>
        </w:rPr>
        <w:t xml:space="preserve"> </w:t>
      </w:r>
      <w:r>
        <w:rPr>
          <w:sz w:val="22"/>
        </w:rPr>
        <w:t xml:space="preserve">OCO-2 sampling persistence: fraction of 16-day windows with at least one observation per 5° × 5° cell.</w:t>
      </w:r>
      <w:r>
        <w:rPr>
          <w:sz w:val="22"/>
        </w:rPr>
        <w:t xml:space="preserve"> </w:t>
      </w:r>
      <w:r>
        <w:rPr>
          <w:b/>
          <w:bCs/>
          <w:sz w:val="22"/>
        </w:rPr>
        <w:t xml:space="preserve">(b)</w:t>
      </w:r>
      <w:r>
        <w:rPr>
          <w:sz w:val="22"/>
        </w:rPr>
        <w:t xml:space="preserve"> </w:t>
      </w:r>
      <w:r>
        <w:rPr>
          <w:sz w:val="22"/>
        </w:rPr>
        <w:t xml:space="preserve">Time-mean atmospheric net flux, 1991–2024, from the GCB in situ inversion-median total field (fossil-cement-adjusted land flux + unadjusted ocean flux + gridded fossil emissions) on a 1° grid. Positive: net source; negative: net uptake.</w:t>
      </w:r>
      <w:r>
        <w:rPr>
          <w:sz w:val="22"/>
        </w:rPr>
        <w:t xml:space="preserve"> </w:t>
      </w:r>
      <w:r>
        <w:rPr>
          <w:b/>
          <w:bCs/>
          <w:sz w:val="22"/>
        </w:rPr>
        <w:t xml:space="preserve">(c)</w:t>
      </w:r>
      <w:r>
        <w:rPr>
          <w:sz w:val="22"/>
        </w:rPr>
        <w:t xml:space="preserve"> </w:t>
      </w:r>
      <w:r>
        <w:rPr>
          <w:sz w:val="22"/>
        </w:rPr>
        <w:t xml:space="preserve">Range (maximum minus minimum over 1991–2024) of the deseasonalized monthly flux anomalies in each grid cell, from the same field as (b). Larger values indicate grid cells with greater interannual flux variability that can contribute to atmospheric CO₂ growth-rate variations.</w:t>
      </w:r>
    </w:p>
    <w:p>
      <w:pPr>
        <w:pStyle w:val="BodyText"/>
        <w:spacing w:before="40" w:after="120" w:line="240" w:lineRule="auto"/>
        <w:rPr>
          <w:sz w:val="22"/>
        </w:rPr>
        <w:pBdr>
          <w:bottom w:val="single" w:sz="4" w:space="6" w:color="AAAAAA"/>
        </w:pBdr>
      </w:pPr>
      <w:r>
        <w:drawing>
          <wp:inline>
            <wp:extent cx="5040000" cy="3329490"/>
            <wp:effectExtent b="0" l="0" r="0" t="0"/>
            <wp:docPr descr="" title="" id="40" name="Picture"/>
            <a:graphic>
              <a:graphicData uri="http://schemas.openxmlformats.org/drawingml/2006/picture">
                <pic:pic>
                  <pic:nvPicPr>
                    <pic:cNvPr descr="../figures/si/Figure_S5_site_ablation.png" id="41" name="Picture"/>
                    <pic:cNvPicPr>
                      <a:picLocks noChangeArrowheads="1" noChangeAspect="1"/>
                    </pic:cNvPicPr>
                  </pic:nvPicPr>
                  <pic:blipFill>
                    <a:blip r:embed="rId39"/>
                    <a:stretch>
                      <a:fillRect/>
                    </a:stretch>
                  </pic:blipFill>
                  <pic:spPr bwMode="auto">
                    <a:xfrm>
                      <a:off x="0" y="0"/>
                      <a:ext cx="5040000" cy="3329490"/>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S5 | Sensitivity of the NOAA MBL growth rate to regional site removal.</w:t>
      </w:r>
      <w:r>
        <w:rPr>
          <w:sz w:val="22"/>
        </w:rPr>
        <w:t xml:space="preserve"> </w:t>
      </w:r>
      <w:r>
        <w:rPr>
          <w:b/>
          <w:bCs/>
          <w:sz w:val="22"/>
        </w:rPr>
        <w:t xml:space="preserve">(a)</w:t>
      </w:r>
      <w:r>
        <w:rPr>
          <w:sz w:val="22"/>
        </w:rPr>
        <w:t xml:space="preserve"> </w:t>
      </w:r>
      <w:r>
        <w:rPr>
          <w:sz w:val="22"/>
        </w:rPr>
        <w:t xml:space="preserve">Annual NOAA MBL CO₂ growth rates (ppm yr⁻¹) after removing ship sites (14 POC bins, |latitude| ≤ 35°) or all tropical sites (23 sites, |latitude| ≤ 30°).</w:t>
      </w:r>
      <w:r>
        <w:rPr>
          <w:sz w:val="22"/>
        </w:rPr>
        <w:t xml:space="preserve"> </w:t>
      </w:r>
      <w:r>
        <w:rPr>
          <w:b/>
          <w:bCs/>
          <w:sz w:val="22"/>
        </w:rPr>
        <w:t xml:space="preserve">(b)</w:t>
      </w:r>
      <w:r>
        <w:rPr>
          <w:sz w:val="22"/>
        </w:rPr>
        <w:t xml:space="preserve"> </w:t>
      </w:r>
      <w:r>
        <w:rPr>
          <w:sz w:val="22"/>
        </w:rPr>
        <w:t xml:space="preserve">Same for NH extratropical (12 sites, latitude &gt; 30°N) and SH extratropical (8 sites, latitude &lt; −30°S) removal.</w:t>
      </w:r>
      <w:r>
        <w:rPr>
          <w:sz w:val="22"/>
        </w:rPr>
        <w:t xml:space="preserve"> </w:t>
      </w:r>
      <w:r>
        <w:rPr>
          <w:b/>
          <w:bCs/>
          <w:sz w:val="22"/>
        </w:rPr>
        <w:t xml:space="preserve">(c,d)</w:t>
      </w:r>
      <w:r>
        <w:rPr>
          <w:sz w:val="22"/>
        </w:rPr>
        <w:t xml:space="preserve"> </w:t>
      </w:r>
      <w:r>
        <w:rPr>
          <w:sz w:val="22"/>
        </w:rPr>
        <w:t xml:space="preserve">Absolute departures (ppm yr⁻¹) from the baseline NOAA MBL growth rate computed using the full 43-site network.</w:t>
      </w:r>
    </w:p>
    <w:p>
      <w:pPr>
        <w:pStyle w:val="BodyText"/>
        <w:spacing w:before="40" w:after="120" w:line="240" w:lineRule="auto"/>
        <w:rPr>
          <w:sz w:val="22"/>
        </w:rPr>
        <w:pBdr>
          <w:bottom w:val="single" w:sz="4" w:space="6" w:color="AAAAAA"/>
        </w:pBdr>
      </w:pPr>
      <w:r>
        <w:drawing>
          <wp:inline>
            <wp:extent cx="5040000" cy="5109162"/>
            <wp:effectExtent b="0" l="0" r="0" t="0"/>
            <wp:docPr descr="" title="" id="43" name="Picture"/>
            <a:graphic>
              <a:graphicData uri="http://schemas.openxmlformats.org/drawingml/2006/picture">
                <pic:pic>
                  <pic:nvPicPr>
                    <pic:cNvPr descr="../figures/si/Figure_S6_flux_anomaly_hovmoller.png" id="44" name="Picture"/>
                    <pic:cNvPicPr>
                      <a:picLocks noChangeArrowheads="1" noChangeAspect="1"/>
                    </pic:cNvPicPr>
                  </pic:nvPicPr>
                  <pic:blipFill>
                    <a:blip r:embed="rId42"/>
                    <a:stretch>
                      <a:fillRect/>
                    </a:stretch>
                  </pic:blipFill>
                  <pic:spPr bwMode="auto">
                    <a:xfrm>
                      <a:off x="0" y="0"/>
                      <a:ext cx="5040000" cy="5109162"/>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S6 | OCO-2 coverage and zonal flux anomalies, 2015–2024.</w:t>
      </w:r>
      <w:r>
        <w:rPr>
          <w:sz w:val="22"/>
        </w:rPr>
        <w:t xml:space="preserve"> </w:t>
      </w:r>
      <w:r>
        <w:rPr>
          <w:b/>
          <w:bCs/>
          <w:sz w:val="22"/>
        </w:rPr>
        <w:t xml:space="preserve">(a)</w:t>
      </w:r>
      <w:r>
        <w:rPr>
          <w:sz w:val="22"/>
        </w:rPr>
        <w:t xml:space="preserve"> </w:t>
      </w:r>
      <w:r>
        <w:rPr>
          <w:sz w:val="22"/>
        </w:rPr>
        <w:t xml:space="preserve">OCO-2 observation density (16-day × 2.5° bins).</w:t>
      </w:r>
      <w:r>
        <w:rPr>
          <w:sz w:val="22"/>
        </w:rPr>
        <w:t xml:space="preserve"> </w:t>
      </w:r>
      <w:r>
        <w:rPr>
          <w:b/>
          <w:bCs/>
          <w:sz w:val="22"/>
        </w:rPr>
        <w:t xml:space="preserve">(b)</w:t>
      </w:r>
      <w:r>
        <w:rPr>
          <w:sz w:val="22"/>
        </w:rPr>
        <w:t xml:space="preserve"> </w:t>
      </w:r>
      <w:r>
        <w:rPr>
          <w:sz w:val="22"/>
        </w:rPr>
        <w:t xml:space="preserve">Zonal-mean monthly atmospheric net flux (same inversion-median field as Fig. S4b).</w:t>
      </w:r>
      <w:r>
        <w:rPr>
          <w:sz w:val="22"/>
        </w:rPr>
        <w:t xml:space="preserve"> </w:t>
      </w:r>
      <w:r>
        <w:rPr>
          <w:b/>
          <w:bCs/>
          <w:sz w:val="22"/>
        </w:rPr>
        <w:t xml:space="preserve">(c)</w:t>
      </w:r>
      <w:r>
        <w:rPr>
          <w:sz w:val="22"/>
        </w:rPr>
        <w:t xml:space="preserve"> </w:t>
      </w:r>
      <w:r>
        <w:rPr>
          <w:sz w:val="22"/>
        </w:rPr>
        <w:t xml:space="preserve">Zonal-mean deseasonalized flux anomalies. In</w:t>
      </w:r>
      <w:r>
        <w:rPr>
          <w:sz w:val="22"/>
        </w:rPr>
        <w:t xml:space="preserve"> </w:t>
      </w:r>
      <w:r>
        <w:rPr>
          <w:b/>
          <w:bCs/>
          <w:sz w:val="22"/>
        </w:rPr>
        <w:t xml:space="preserve">(b,c)</w:t>
      </w:r>
      <w:r>
        <w:rPr>
          <w:sz w:val="22"/>
        </w:rPr>
        <w:t xml:space="preserve">, black envelopes mark the monthly OCO-2 latitude limits from the same record as</w:t>
      </w:r>
      <w:r>
        <w:rPr>
          <w:sz w:val="22"/>
        </w:rPr>
        <w:t xml:space="preserve"> </w:t>
      </w:r>
      <w:r>
        <w:rPr>
          <w:b/>
          <w:bCs/>
          <w:sz w:val="22"/>
        </w:rPr>
        <w:t xml:space="preserve">(a)</w:t>
      </w:r>
      <w:r>
        <w:rPr>
          <w:sz w:val="22"/>
        </w:rPr>
        <w:t xml:space="preserve"> </w:t>
      </w:r>
      <w:r>
        <w:rPr>
          <w:sz w:val="22"/>
        </w:rPr>
        <w:t xml:space="preserve">and Fig. S4a. For latitudes north of 30°N, anomaly magnitudes are 2.3× larger in May–September than November–February, peaking at 60–64°N when OCO-2 coverage is widest.</w:t>
      </w:r>
    </w:p>
    <w:p>
      <w:pPr>
        <w:pStyle w:val="BodyText"/>
        <w:spacing w:before="40" w:after="120" w:line="240" w:lineRule="auto"/>
        <w:rPr>
          <w:sz w:val="22"/>
        </w:rPr>
        <w:pBdr>
          <w:bottom w:val="single" w:sz="4" w:space="6" w:color="AAAAAA"/>
        </w:pBdr>
      </w:pPr>
      <w:r>
        <w:drawing>
          <wp:inline>
            <wp:extent cx="5040000" cy="2467499"/>
            <wp:effectExtent b="0" l="0" r="0" t="0"/>
            <wp:docPr descr="" title="" id="46" name="Picture"/>
            <a:graphic>
              <a:graphicData uri="http://schemas.openxmlformats.org/drawingml/2006/picture">
                <pic:pic>
                  <pic:nvPicPr>
                    <pic:cNvPr descr="../figures/si/Figure_S7_bim_full_record.png" id="47" name="Picture"/>
                    <pic:cNvPicPr>
                      <a:picLocks noChangeArrowheads="1" noChangeAspect="1"/>
                    </pic:cNvPicPr>
                  </pic:nvPicPr>
                  <pic:blipFill>
                    <a:blip r:embed="rId45"/>
                    <a:stretch>
                      <a:fillRect/>
                    </a:stretch>
                  </pic:blipFill>
                  <pic:spPr bwMode="auto">
                    <a:xfrm>
                      <a:off x="0" y="0"/>
                      <a:ext cx="5040000" cy="2467499"/>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S7 | Full-record carbon budget imbalance (BIM), 1991–2024.</w:t>
      </w:r>
      <w:r>
        <w:rPr>
          <w:sz w:val="22"/>
        </w:rPr>
        <w:t xml:space="preserve"> </w:t>
      </w:r>
      <w:r>
        <w:rPr>
          <w:sz w:val="22"/>
        </w:rPr>
        <w:t xml:space="preserve">Annual budget imbalance for NOAA MBL (orange), GCB in situ inversions (blue), OCO-2 GRESO (green, 2015–2024 only), and GOSAT GRESO (mauve, 2010–2024). Dashed line: zero; gray band: ±0.2 PgC yr⁻¹. Full-record BIM RMS: NOAA MBL 0.92, GCB in situ inversions 0.80 PgC yr⁻¹. Over 2015–2024, BIM RMS is 0.62 for NOAA MBL, 0.47 for GCB in situ inversions, 0.50 for OCO-2 GRESO, and 0.55 for GOSAT GRESO.</w:t>
      </w:r>
    </w:p>
    <w:p>
      <w:pPr>
        <w:pStyle w:val="BodyText"/>
        <w:spacing w:before="40" w:after="120" w:line="240" w:lineRule="auto"/>
        <w:rPr>
          <w:sz w:val="22"/>
        </w:rPr>
        <w:pBdr>
          <w:bottom w:val="single" w:sz="4" w:space="6" w:color="AAAAAA"/>
        </w:pBdr>
      </w:pPr>
      <w:r>
        <w:drawing>
          <wp:inline>
            <wp:extent cx="5040000" cy="2440372"/>
            <wp:effectExtent b="0" l="0" r="0" t="0"/>
            <wp:docPr descr="" title="" id="49" name="Picture"/>
            <a:graphic>
              <a:graphicData uri="http://schemas.openxmlformats.org/drawingml/2006/picture">
                <pic:pic>
                  <pic:nvPicPr>
                    <pic:cNvPr descr="../figures/si/Figure_S8_satellite_bim_individual_2015_2024.png" id="50" name="Picture"/>
                    <pic:cNvPicPr>
                      <a:picLocks noChangeArrowheads="1" noChangeAspect="1"/>
                    </pic:cNvPicPr>
                  </pic:nvPicPr>
                  <pic:blipFill>
                    <a:blip r:embed="rId48"/>
                    <a:stretch>
                      <a:fillRect/>
                    </a:stretch>
                  </pic:blipFill>
                  <pic:spPr bwMode="auto">
                    <a:xfrm>
                      <a:off x="0" y="0"/>
                      <a:ext cx="5040000" cy="2440372"/>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S8 | Individual-satellite carbon budget imbalance (BIM), 2015–2024.</w:t>
      </w:r>
      <w:r>
        <w:rPr>
          <w:sz w:val="22"/>
        </w:rPr>
        <w:t xml:space="preserve"> </w:t>
      </w:r>
      <w:r>
        <w:rPr>
          <w:sz w:val="22"/>
        </w:rPr>
        <w:t xml:space="preserve">Annual budget imbalance using each satellite product separately as the atmospheric term: NOAA MBL (orange dashed), GCB in situ inversions (blue), OCO-2 GRESO (green), and GOSAT GRESO (mauve). Error bars/ranges show the reported atmospheric-term uncertainty for each product: 1σ bootstrap uncertainty for NOAA MBL (bootstrap), OCO-2 and GOSAT (40-member parametric bootstraps), and the inter-model IQR for the GCB in situ inversion ensemble. These are propagated into the budget imbalance. BIM RMS over 2015–2024: MBL 0.62, GCB in situ inversions 0.47, OCO-2 0.50, GOSAT 0.55 PgC yr⁻¹.</w:t>
      </w:r>
    </w:p>
    <w:p>
      <w:pPr>
        <w:pStyle w:val="BodyText"/>
        <w:spacing w:before="40" w:after="120" w:line="240" w:lineRule="auto"/>
        <w:rPr>
          <w:sz w:val="22"/>
        </w:rPr>
        <w:pBdr>
          <w:bottom w:val="single" w:sz="4" w:space="6" w:color="AAAAAA"/>
        </w:pBdr>
      </w:pPr>
      <w:r>
        <w:drawing>
          <wp:inline>
            <wp:extent cx="5040000" cy="2016000"/>
            <wp:effectExtent b="0" l="0" r="0" t="0"/>
            <wp:docPr descr="" title="" id="52" name="Picture"/>
            <a:graphic>
              <a:graphicData uri="http://schemas.openxmlformats.org/drawingml/2006/picture">
                <pic:pic>
                  <pic:nvPicPr>
                    <pic:cNvPr descr="../figures/si/Figure_S9_residual_scaling.png" id="53" name="Picture"/>
                    <pic:cNvPicPr>
                      <a:picLocks noChangeArrowheads="1" noChangeAspect="1"/>
                    </pic:cNvPicPr>
                  </pic:nvPicPr>
                  <pic:blipFill>
                    <a:blip r:embed="rId51"/>
                    <a:stretch>
                      <a:fillRect/>
                    </a:stretch>
                  </pic:blipFill>
                  <pic:spPr bwMode="auto">
                    <a:xfrm>
                      <a:off x="0" y="0"/>
                      <a:ext cx="5040000" cy="2016000"/>
                    </a:xfrm>
                    <a:prstGeom prst="rect">
                      <a:avLst/>
                    </a:prstGeom>
                    <a:noFill/>
                    <a:ln w="9525">
                      <a:noFill/>
                      <a:headEnd/>
                      <a:tailEnd/>
                    </a:ln>
                  </pic:spPr>
                </pic:pic>
              </a:graphicData>
            </a:graphic>
          </wp:inline>
        </w:drawing>
      </w:r>
    </w:p>
    <w:p>
      <w:pPr>
        <w:pStyle w:val="BodyText"/>
        <w:spacing w:before="40" w:after="200" w:line="240" w:lineRule="auto"/>
        <w:rPr>
          <w:sz w:val="22"/>
        </w:rPr>
      </w:pPr>
      <w:r>
        <w:rPr>
          <w:b/>
          <w:bCs/>
          <w:sz w:val="22"/>
        </w:rPr>
        <w:t xml:space="preserve">Supplementary Fig. S9 | Mass-conservation scaling of multi-year-mean NOAA–inversion discrepancies, 1991–2024.</w:t>
      </w:r>
      <w:r>
        <w:rPr>
          <w:sz w:val="22"/>
        </w:rPr>
        <w:t xml:space="preserve"> </w:t>
      </w:r>
      <w:r>
        <w:rPr>
          <w:b/>
          <w:bCs/>
          <w:sz w:val="22"/>
        </w:rPr>
        <w:t xml:space="preserve">(a)</w:t>
      </w:r>
      <w:r>
        <w:rPr>
          <w:sz w:val="22"/>
        </w:rPr>
        <w:t xml:space="preserve"> </w:t>
      </w:r>
      <w:r>
        <w:rPr>
          <w:sz w:val="22"/>
        </w:rPr>
        <w:t xml:space="preserve">Annual discrepancy of the NOAA MBL growth rate relative to the GCB in situ inversion median, 1991–2024. Dashed line: 34-year mean (−0.002 ppm yr⁻¹).</w:t>
      </w:r>
      <w:r>
        <w:rPr>
          <w:sz w:val="22"/>
        </w:rPr>
        <w:t xml:space="preserve"> </w:t>
      </w:r>
      <w:r>
        <w:rPr>
          <w:b/>
          <w:bCs/>
          <w:sz w:val="22"/>
        </w:rPr>
        <w:t xml:space="preserve">(b)</w:t>
      </w:r>
      <w:r>
        <w:rPr>
          <w:sz w:val="22"/>
        </w:rPr>
        <w:t xml:space="preserve"> </w:t>
      </w:r>
      <w:r>
        <w:rPr>
          <w:sz w:val="22"/>
        </w:rPr>
        <w:t xml:space="preserve">Standard deviation of n-year rolling means of the discrepancies shown in (a), as a function of window length n. The empirical scaling tracks the 1/n reference (orange dashed) rather than the 1/√n reference (gray dashed), with best-fit log–log slope −0.97. Let</w:t>
      </w:r>
      <w:r>
        <w:rPr>
          <w:sz w:val="22"/>
        </w:rPr>
        <w:t xml:space="preserve"> </w:t>
      </w:r>
      <m:oMath>
        <m:sSub>
          <m:e>
            <m:r>
              <m:t>C</m:t>
            </m:r>
          </m:e>
          <m:sub>
            <m:r>
              <m:t>i</m:t>
            </m:r>
          </m:sub>
        </m:sSub>
      </m:oMath>
      <w:r>
        <w:rPr>
          <w:sz w:val="22"/>
        </w:rPr>
        <w:t xml:space="preserve"> </w:t>
      </w:r>
      <w:r>
        <w:rPr>
          <w:sz w:val="22"/>
        </w:rPr>
        <w:t xml:space="preserve">denote the annual mean NOAA MBL CO₂ concentration in year i and</w:t>
      </w:r>
      <w:r>
        <w:rPr>
          <w:sz w:val="22"/>
        </w:rPr>
        <w:t xml:space="preserve"> </w:t>
      </w:r>
      <m:oMath>
        <m:sSub>
          <m:e>
            <m:r>
              <m:t>G</m:t>
            </m:r>
          </m:e>
          <m:sub>
            <m:r>
              <m:t>i</m:t>
            </m:r>
          </m:sub>
        </m:sSub>
        <m:r>
          <m:rPr>
            <m:sty m:val="p"/>
          </m:rPr>
          <m:t>=</m:t>
        </m:r>
        <m:sSub>
          <m:e>
            <m:r>
              <m:t>C</m:t>
            </m:r>
          </m:e>
          <m:sub>
            <m:r>
              <m:t>i</m:t>
            </m:r>
            <m:r>
              <m:rPr>
                <m:sty m:val="p"/>
              </m:rPr>
              <m:t>+</m:t>
            </m:r>
            <m:r>
              <m:t>1</m:t>
            </m:r>
          </m:sub>
        </m:sSub>
        <m:r>
          <m:rPr>
            <m:sty m:val="p"/>
          </m:rPr>
          <m:t>−</m:t>
        </m:r>
        <m:sSub>
          <m:e>
            <m:r>
              <m:t>C</m:t>
            </m:r>
          </m:e>
          <m:sub>
            <m:r>
              <m:t>i</m:t>
            </m:r>
          </m:sub>
        </m:sSub>
      </m:oMath>
      <w:r>
        <w:rPr>
          <w:sz w:val="22"/>
        </w:rPr>
        <w:t xml:space="preserve"> </w:t>
      </w:r>
      <w:r>
        <w:rPr>
          <w:sz w:val="22"/>
        </w:rPr>
        <w:t xml:space="preserve">the annual growth rate. The arithmetic mean of n consecutive annual growth rates simplifies to</w:t>
      </w:r>
      <w:r>
        <w:rPr>
          <w:sz w:val="22"/>
        </w:rPr>
        <w:t xml:space="preserve"> </w:t>
      </w:r>
      <m:oMath>
        <m:r>
          <m:rPr>
            <m:sty m:val="p"/>
          </m:rPr>
          <m:t>⟨</m:t>
        </m:r>
        <m:r>
          <m:t>G</m:t>
        </m:r>
        <m:sSub>
          <m:e>
            <m:r>
              <m:rPr>
                <m:sty m:val="p"/>
              </m:rPr>
              <m:t>⟩</m:t>
            </m:r>
          </m:e>
          <m:sub>
            <m:r>
              <m:t>n</m:t>
            </m:r>
          </m:sub>
        </m:sSub>
        <m:r>
          <m:rPr>
            <m:sty m:val="p"/>
          </m:rPr>
          <m:t>=</m:t>
        </m:r>
        <m:d>
          <m:dPr>
            <m:begChr m:val="("/>
            <m:sepChr m:val=""/>
            <m:endChr m:val=")"/>
            <m:grow/>
          </m:dPr>
          <m:e>
            <m:sSub>
              <m:e>
                <m:r>
                  <m:t>C</m:t>
                </m:r>
              </m:e>
              <m:sub>
                <m:r>
                  <m:t>n</m:t>
                </m:r>
                <m:r>
                  <m:rPr>
                    <m:sty m:val="p"/>
                  </m:rPr>
                  <m:t>+</m:t>
                </m:r>
                <m:r>
                  <m:t>1</m:t>
                </m:r>
              </m:sub>
            </m:sSub>
            <m:r>
              <m:rPr>
                <m:sty m:val="p"/>
              </m:rPr>
              <m:t>−</m:t>
            </m:r>
            <m:sSub>
              <m:e>
                <m:r>
                  <m:t>C</m:t>
                </m:r>
              </m:e>
              <m:sub>
                <m:r>
                  <m:t>1</m:t>
                </m:r>
              </m:sub>
            </m:sSub>
          </m:e>
        </m:d>
        <m:r>
          <m:rPr>
            <m:sty m:val="p"/>
          </m:rPr>
          <m:t>/</m:t>
        </m:r>
        <m:r>
          <m:t>n</m:t>
        </m:r>
      </m:oMath>
      <w:r>
        <w:rPr>
          <w:sz w:val="22"/>
        </w:rPr>
        <w:t xml:space="preserve">, so only the two endpoint annual concentrations enter the average and interior-year sampling errors do not contribute. If each annual mean has sampling-error variance</w:t>
      </w:r>
      <w:r>
        <w:rPr>
          <w:sz w:val="22"/>
        </w:rPr>
        <w:t xml:space="preserve"> </w:t>
      </w:r>
      <m:oMath>
        <m:sSubSup>
          <m:e>
            <m:r>
              <m:t>σ</m:t>
            </m:r>
          </m:e>
          <m:sub>
            <m:r>
              <m:t>C</m:t>
            </m:r>
          </m:sub>
          <m:sup>
            <m:r>
              <m:t>2</m:t>
            </m:r>
          </m:sup>
        </m:sSubSup>
      </m:oMath>
      <w:r>
        <w:rPr>
          <w:sz w:val="22"/>
        </w:rPr>
        <w:t xml:space="preserve">, then</w:t>
      </w:r>
      <w:r>
        <w:rPr>
          <w:sz w:val="22"/>
        </w:rPr>
        <w:t xml:space="preserve"> </w:t>
      </w:r>
      <m:oMath>
        <m:r>
          <m:rPr>
            <m:sty m:val="p"/>
          </m:rPr>
          <m:t>V</m:t>
        </m:r>
        <m:r>
          <m:rPr>
            <m:sty m:val="p"/>
          </m:rPr>
          <m:t>a</m:t>
        </m:r>
        <m:r>
          <m:rPr>
            <m:sty m:val="p"/>
          </m:rPr>
          <m:t>r</m:t>
        </m:r>
        <m:d>
          <m:dPr>
            <m:begChr m:val="("/>
            <m:sepChr m:val=""/>
            <m:endChr m:val=")"/>
            <m:grow/>
          </m:dPr>
          <m:e>
            <m:r>
              <m:rPr>
                <m:sty m:val="p"/>
              </m:rPr>
              <m:t>⟨</m:t>
            </m:r>
            <m:r>
              <m:t>G</m:t>
            </m:r>
            <m:sSub>
              <m:e>
                <m:r>
                  <m:rPr>
                    <m:sty m:val="p"/>
                  </m:rPr>
                  <m:t>⟩</m:t>
                </m:r>
              </m:e>
              <m:sub>
                <m:r>
                  <m:t>n</m:t>
                </m:r>
              </m:sub>
            </m:sSub>
          </m:e>
        </m:d>
        <m:r>
          <m:rPr>
            <m:sty m:val="p"/>
          </m:rPr>
          <m:t>=</m:t>
        </m:r>
        <m:r>
          <m:t>2</m:t>
        </m:r>
        <m:sSubSup>
          <m:e>
            <m:r>
              <m:t>σ</m:t>
            </m:r>
          </m:e>
          <m:sub>
            <m:r>
              <m:t>C</m:t>
            </m:r>
          </m:sub>
          <m:sup>
            <m:r>
              <m:t>2</m:t>
            </m:r>
          </m:sup>
        </m:sSubSup>
        <m:r>
          <m:rPr>
            <m:sty m:val="p"/>
          </m:rPr>
          <m:t>/</m:t>
        </m:r>
        <m:sSup>
          <m:e>
            <m:r>
              <m:t>n</m:t>
            </m:r>
          </m:e>
          <m:sup>
            <m:r>
              <m:t>2</m:t>
            </m:r>
          </m:sup>
        </m:sSup>
      </m:oMath>
      <w:r>
        <w:rPr>
          <w:sz w:val="22"/>
        </w:rPr>
        <w:t xml:space="preserve"> </w:t>
      </w:r>
      <w:r>
        <w:rPr>
          <w:sz w:val="22"/>
        </w:rPr>
        <w:t xml:space="preserve">and</w:t>
      </w:r>
      <w:r>
        <w:rPr>
          <w:sz w:val="22"/>
        </w:rPr>
        <w:t xml:space="preserve"> </w:t>
      </w:r>
      <m:oMath>
        <m:r>
          <m:rPr>
            <m:sty m:val="p"/>
          </m:rPr>
          <m:t>S</m:t>
        </m:r>
        <m:r>
          <m:rPr>
            <m:sty m:val="p"/>
          </m:rPr>
          <m:t>D</m:t>
        </m:r>
        <m:d>
          <m:dPr>
            <m:begChr m:val="("/>
            <m:sepChr m:val=""/>
            <m:endChr m:val=")"/>
            <m:grow/>
          </m:dPr>
          <m:e>
            <m:r>
              <m:rPr>
                <m:sty m:val="p"/>
              </m:rPr>
              <m:t>⟨</m:t>
            </m:r>
            <m:r>
              <m:t>G</m:t>
            </m:r>
            <m:sSub>
              <m:e>
                <m:r>
                  <m:rPr>
                    <m:sty m:val="p"/>
                  </m:rPr>
                  <m:t>⟩</m:t>
                </m:r>
              </m:e>
              <m:sub>
                <m:r>
                  <m:t>n</m:t>
                </m:r>
              </m:sub>
            </m:sSub>
          </m:e>
        </m:d>
        <m:r>
          <m:rPr>
            <m:sty m:val="p"/>
          </m:rPr>
          <m:t>∝</m:t>
        </m:r>
        <m:r>
          <m:t>1</m:t>
        </m:r>
        <m:r>
          <m:rPr>
            <m:sty m:val="p"/>
          </m:rPr>
          <m:t>/</m:t>
        </m:r>
        <m:r>
          <m:t>n</m:t>
        </m:r>
      </m:oMath>
      <w:r>
        <w:rPr>
          <w:sz w:val="22"/>
        </w:rPr>
        <w:t xml:space="preserve">. The 1/n scaling is therefore a property of the n-year-mean operator collapsing to a function of two endpoint values, not random-error cancellation in the usual sense.</w:t>
      </w:r>
    </w:p>
    <w:bookmarkEnd w:id="54"/>
    <w:bookmarkStart w:id="55" w:name="supplementary-table-s1"/>
    <w:p>
      <w:pPr>
        <w:pStyle w:val="Heading2"/>
        <w:spacing w:before="160" w:after="80" w:line="240" w:lineRule="auto"/>
      </w:pPr>
      <w:r>
        <w:t xml:space="preserve">Supplementary Table S1</w:t>
      </w:r>
    </w:p>
    <w:p>
      <w:pPr>
        <w:pStyle w:val="FirstParagraph"/>
        <w:spacing w:before="40" w:after="200" w:line="240" w:lineRule="auto"/>
        <w:rPr>
          <w:sz w:val="22"/>
        </w:rPr>
      </w:pPr>
      <w:r>
        <w:rPr>
          <w:b/>
          <w:bCs/>
          <w:sz w:val="22"/>
        </w:rPr>
        <w:t xml:space="preserve">Supplementary Table S1 | Candidate predictor definitions and univariate correlations for the 1991–2024 regression.</w:t>
      </w:r>
    </w:p>
    <w:p>
      <w:pPr>
        <w:pStyle w:val="BodyText"/>
        <w:spacing w:before="40" w:after="200" w:line="240" w:lineRule="auto"/>
        <w:rPr>
          <w:sz w:val="22"/>
        </w:rPr>
      </w:pPr>
      <w:r>
        <w:rPr>
          <w:sz w:val="22"/>
        </w:rPr>
        <w:t xml:space="preserve">The target variable is the absolute NOAA–in situ-inversion growth-rate discrepancy, |NOAA MBL AGR − inversion median|, in ppm yr⁻¹. Negative</w:t>
      </w:r>
      <w:r>
        <w:rPr>
          <w:sz w:val="22"/>
        </w:rPr>
        <w:t xml:space="preserve"> </w:t>
      </w:r>
      <m:oMath>
        <m:r>
          <m:t>r</m:t>
        </m:r>
      </m:oMath>
      <w:r>
        <w:rPr>
          <w:sz w:val="22"/>
        </w:rPr>
        <w:t xml:space="preserve"> </w:t>
      </w:r>
      <w:r>
        <w:rPr>
          <w:sz w:val="22"/>
        </w:rPr>
        <w:t xml:space="preserve">means larger predictor values tend to coincide with smaller absolute discrepancy; positive</w:t>
      </w:r>
      <w:r>
        <w:rPr>
          <w:sz w:val="22"/>
        </w:rPr>
        <w:t xml:space="preserve"> </w:t>
      </w:r>
      <m:oMath>
        <m:r>
          <m:t>r</m:t>
        </m:r>
      </m:oMath>
      <w:r>
        <w:rPr>
          <w:sz w:val="22"/>
        </w:rPr>
        <w:t xml:space="preserve"> </w:t>
      </w:r>
      <w:r>
        <w:rPr>
          <w:sz w:val="22"/>
        </w:rPr>
        <w:t xml:space="preserve">means larger predictor values tend to coincide with larger absolute discrepancy.</w:t>
      </w:r>
    </w:p>
    <w:tbl>
      <w:tblPr>
        <w:tblStyle w:val="Table"/>
        <w:jc w:val="center"/>
        <w:tblLayout w:type="fixed"/>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1485"/>
        <w:gridCol w:w="1485"/>
        <w:gridCol w:w="1485"/>
        <w:gridCol w:w="1485"/>
        <w:gridCol w:w="198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Predictor name</w:t>
            </w:r>
          </w:p>
        </w:tc>
        <w:tc>
          <w:tcPr>
            <w:tcBorders>
              <w:bottom w:val="single" w:sz="6" w:color="000000"/>
            </w:tcBorders>
          </w:tcPr>
          <w:p>
            <w:pPr>
              <w:pStyle w:val="Compact"/>
              <w:spacing w:before="20" w:after="20" w:line="240" w:lineRule="auto"/>
              <w:jc w:val="left"/>
            </w:pPr>
            <w:r>
              <w:rPr>
                <w:b/>
                <w:color w:val="000000"/>
                <w:sz w:val="16"/>
              </w:rPr>
              <w:t xml:space="preserve">Selected</w:t>
            </w:r>
          </w:p>
        </w:tc>
        <w:tc>
          <w:tcPr>
            <w:tcBorders>
              <w:bottom w:val="single" w:sz="6" w:color="000000"/>
            </w:tcBorders>
          </w:tcPr>
          <w:p>
            <w:pPr>
              <w:pStyle w:val="Compact"/>
              <w:spacing w:before="20" w:after="20" w:line="240" w:lineRule="auto"/>
              <w:jc w:val="left"/>
            </w:pPr>
            <w:r>
              <w:rPr>
                <w:b/>
                <w:color w:val="000000"/>
                <w:sz w:val="16"/>
              </w:rPr>
              <w:t xml:space="preserve">Group</w:t>
            </w:r>
          </w:p>
        </w:tc>
        <w:tc>
          <w:tcPr>
            <w:tcBorders>
              <w:bottom w:val="single" w:sz="6" w:color="000000"/>
            </w:tcBorders>
          </w:tcPr>
          <w:p>
            <w:pPr>
              <w:pStyle w:val="Compact"/>
              <w:spacing w:before="20" w:after="20" w:line="240" w:lineRule="auto"/>
              <w:jc w:val="left"/>
            </w:pPr>
            <w:r>
              <w:rPr>
                <w:b/>
                <w:color w:val="000000"/>
                <w:sz w:val="16"/>
              </w:rPr>
              <w:t xml:space="preserve">Explanation</w:t>
            </w:r>
          </w:p>
        </w:tc>
        <w:tc>
          <w:tcPr>
            <w:tcBorders>
              <w:bottom w:val="single" w:sz="6" w:color="000000"/>
            </w:tcBorders>
          </w:tcPr>
          <w:p>
            <w:pPr>
              <w:pStyle w:val="Compact"/>
              <w:spacing w:before="20" w:after="20" w:line="240" w:lineRule="auto"/>
              <w:jc w:val="left"/>
            </w:pPr>
            <w:r>
              <w:rPr>
                <w:b/>
                <w:color w:val="000000"/>
                <w:sz w:val="16"/>
              </w:rPr>
              <w:t xml:space="preserve">Pearson</w:t>
            </w:r>
            <w:r>
              <w:rPr>
                <w:b/>
                <w:color w:val="000000"/>
                <w:sz w:val="16"/>
              </w:rPr>
              <w:t xml:space="preserve"> </w:t>
            </w:r>
            <w:r>
              <w:rPr>
                <w:b/>
                <w:i/>
                <w:iCs/>
                <w:color w:val="000000"/>
                <w:sz w:val="16"/>
              </w:rPr>
              <w:t xml:space="preserve">r</w:t>
            </w:r>
          </w:p>
        </w:tc>
      </w:tr>
      <w:tr>
        <w:tc>
          <w:tcPr/>
          <w:p>
            <w:pPr>
              <w:pStyle w:val="Compact"/>
              <w:spacing w:before="0" w:after="0" w:line="240" w:lineRule="auto"/>
            </w:pPr>
            <w:r>
              <w:rPr>
                <w:b/>
                <w:color w:val="000000"/>
                <w:sz w:val="16"/>
              </w:rPr>
              <w:t xml:space="preserve">Edge fixed-site observation count</w:t>
            </w:r>
          </w:p>
        </w:tc>
        <w:tc>
          <w:tcPr/>
          <w:p>
            <w:pPr>
              <w:pStyle w:val="Compact"/>
              <w:spacing w:before="0" w:after="0" w:line="240" w:lineRule="auto"/>
            </w:pPr>
            <w:r>
              <w:rPr>
                <w:b/>
                <w:color w:val="000000"/>
                <w:sz w:val="16"/>
              </w:rPr>
              <w:t xml:space="preserve">Yes</w:t>
            </w:r>
          </w:p>
        </w:tc>
        <w:tc>
          <w:tcPr/>
          <w:p>
            <w:pPr>
              <w:pStyle w:val="Compact"/>
              <w:spacing w:before="0" w:after="0" w:line="240" w:lineRule="auto"/>
            </w:pPr>
            <w:r>
              <w:rPr>
                <w:b/>
                <w:color w:val="000000"/>
                <w:sz w:val="16"/>
              </w:rPr>
              <w:t xml:space="preserve">Edge</w:t>
            </w:r>
          </w:p>
        </w:tc>
        <w:tc>
          <w:tcPr/>
          <w:p>
            <w:pPr>
              <w:pStyle w:val="Compact"/>
              <w:spacing w:before="0" w:after="0" w:line="240" w:lineRule="auto"/>
            </w:pPr>
            <w:r>
              <w:rPr>
                <w:b/>
                <w:color w:val="000000"/>
                <w:sz w:val="16"/>
              </w:rPr>
              <w:t xml:space="preserve">Total number of fixed-site observations in the year-edge window (Dec(y−1)+Jan(y)+Dec(y)+Jan(y+1)). An edge-sampling intensity metric: larger values mean denser fixed-network sampling at the calendar-year boundaries that define the growth rate.</w:t>
            </w:r>
          </w:p>
        </w:tc>
        <w:tc>
          <w:tcPr/>
          <w:p>
            <w:pPr>
              <w:pStyle w:val="Compact"/>
              <w:spacing w:before="0" w:after="0" w:line="240" w:lineRule="auto"/>
              <w:jc w:val="right"/>
            </w:pPr>
            <w:r>
              <w:rPr>
                <w:b/>
                <w:color w:val="000000"/>
                <w:sz w:val="16"/>
              </w:rPr>
              <w:t xml:space="preserve">−0.524</w:t>
            </w:r>
          </w:p>
        </w:tc>
      </w:tr>
      <w:tr>
        <w:tc>
          <w:tcPr/>
          <w:p>
            <w:pPr>
              <w:pStyle w:val="Compact"/>
              <w:spacing w:before="0" w:after="0" w:line="240" w:lineRule="auto"/>
            </w:pPr>
            <w:r>
              <w:rPr>
                <w:b/>
                <w:color w:val="000000"/>
                <w:sz w:val="16"/>
              </w:rPr>
              <w:t xml:space="preserve">Edge tropical observation fraction</w:t>
            </w:r>
          </w:p>
        </w:tc>
        <w:tc>
          <w:tcPr/>
          <w:p>
            <w:pPr>
              <w:pStyle w:val="Compact"/>
              <w:spacing w:before="0" w:after="0" w:line="240" w:lineRule="auto"/>
            </w:pPr>
            <w:r>
              <w:rPr>
                <w:b/>
                <w:color w:val="000000"/>
                <w:sz w:val="16"/>
              </w:rPr>
              <w:t xml:space="preserve">Yes</w:t>
            </w:r>
          </w:p>
        </w:tc>
        <w:tc>
          <w:tcPr/>
          <w:p>
            <w:pPr>
              <w:pStyle w:val="Compact"/>
              <w:spacing w:before="0" w:after="0" w:line="240" w:lineRule="auto"/>
            </w:pPr>
            <w:r>
              <w:rPr>
                <w:b/>
                <w:color w:val="000000"/>
                <w:sz w:val="16"/>
              </w:rPr>
              <w:t xml:space="preserve">Edge</w:t>
            </w:r>
          </w:p>
        </w:tc>
        <w:tc>
          <w:tcPr/>
          <w:p>
            <w:pPr>
              <w:pStyle w:val="Compact"/>
              <w:spacing w:before="0" w:after="0" w:line="240" w:lineRule="auto"/>
            </w:pPr>
            <w:r>
              <w:rPr>
                <w:b/>
                <w:color w:val="000000"/>
                <w:sz w:val="16"/>
              </w:rPr>
              <w:t xml:space="preserve">Fraction of all edge-window observations from tropical sites (30°S–30°N). Measures how strongly boundary sampling is weighted toward the tropics, which are dynamically important for global CO₂ variability.</w:t>
            </w:r>
          </w:p>
        </w:tc>
        <w:tc>
          <w:tcPr/>
          <w:p>
            <w:pPr>
              <w:pStyle w:val="Compact"/>
              <w:spacing w:before="0" w:after="0" w:line="240" w:lineRule="auto"/>
              <w:jc w:val="right"/>
            </w:pPr>
            <w:r>
              <w:rPr>
                <w:b/>
                <w:color w:val="000000"/>
                <w:sz w:val="16"/>
              </w:rPr>
              <w:t xml:space="preserve">−0.514</w:t>
            </w:r>
          </w:p>
        </w:tc>
      </w:tr>
      <w:tr>
        <w:tc>
          <w:tcPr/>
          <w:p>
            <w:pPr>
              <w:pStyle w:val="Compact"/>
              <w:spacing w:before="0" w:after="0" w:line="240" w:lineRule="auto"/>
            </w:pPr>
            <w:r>
              <w:rPr>
                <w:b/>
                <w:color w:val="000000"/>
                <w:sz w:val="16"/>
              </w:rPr>
              <w:t xml:space="preserve">Edge latitude-center shift</w:t>
            </w:r>
          </w:p>
        </w:tc>
        <w:tc>
          <w:tcPr/>
          <w:p>
            <w:pPr>
              <w:pStyle w:val="Compact"/>
              <w:spacing w:before="0" w:after="0" w:line="240" w:lineRule="auto"/>
            </w:pPr>
            <w:r>
              <w:rPr>
                <w:b/>
                <w:color w:val="000000"/>
                <w:sz w:val="16"/>
              </w:rPr>
              <w:t xml:space="preserve">Yes</w:t>
            </w:r>
          </w:p>
        </w:tc>
        <w:tc>
          <w:tcPr/>
          <w:p>
            <w:pPr>
              <w:pStyle w:val="Compact"/>
              <w:spacing w:before="0" w:after="0" w:line="240" w:lineRule="auto"/>
            </w:pPr>
            <w:r>
              <w:rPr>
                <w:b/>
                <w:color w:val="000000"/>
                <w:sz w:val="16"/>
              </w:rPr>
              <w:t xml:space="preserve">Edge</w:t>
            </w:r>
          </w:p>
        </w:tc>
        <w:tc>
          <w:tcPr/>
          <w:p>
            <w:pPr>
              <w:pStyle w:val="Compact"/>
              <w:spacing w:before="0" w:after="0" w:line="240" w:lineRule="auto"/>
            </w:pPr>
            <w:r>
              <w:rPr>
                <w:b/>
                <w:color w:val="000000"/>
                <w:sz w:val="16"/>
              </w:rPr>
              <w:t xml:space="preserve">Absolute shift in observation-weighted mean latitude between the leading and trailing edge windows, scaled by the edge latitude spread. Larger values indicate greater movement of the network’s effective centre between the start and end of the growth-rate year.</w:t>
            </w:r>
          </w:p>
        </w:tc>
        <w:tc>
          <w:tcPr/>
          <w:p>
            <w:pPr>
              <w:pStyle w:val="Compact"/>
              <w:spacing w:before="0" w:after="0" w:line="240" w:lineRule="auto"/>
              <w:jc w:val="right"/>
            </w:pPr>
            <w:r>
              <w:rPr>
                <w:b/>
                <w:color w:val="000000"/>
                <w:sz w:val="16"/>
              </w:rPr>
              <w:t xml:space="preserve">−0.148</w:t>
            </w:r>
          </w:p>
        </w:tc>
      </w:tr>
      <w:tr>
        <w:tc>
          <w:tcPr/>
          <w:p>
            <w:pPr>
              <w:pStyle w:val="Compact"/>
              <w:spacing w:before="0" w:after="0" w:line="240" w:lineRule="auto"/>
            </w:pPr>
            <w:r>
              <w:rPr>
                <w:b/>
                <w:color w:val="000000"/>
                <w:sz w:val="16"/>
              </w:rPr>
              <w:t xml:space="preserve">Year-to-year observation change</w:t>
            </w:r>
          </w:p>
        </w:tc>
        <w:tc>
          <w:tcPr/>
          <w:p>
            <w:pPr>
              <w:pStyle w:val="Compact"/>
              <w:spacing w:before="0" w:after="0" w:line="240" w:lineRule="auto"/>
            </w:pPr>
            <w:r>
              <w:rPr>
                <w:b/>
                <w:color w:val="000000"/>
                <w:sz w:val="16"/>
              </w:rPr>
              <w:t xml:space="preserve">Yes</w:t>
            </w:r>
          </w:p>
        </w:tc>
        <w:tc>
          <w:tcPr/>
          <w:p>
            <w:pPr>
              <w:pStyle w:val="Compact"/>
              <w:spacing w:before="0" w:after="0" w:line="240" w:lineRule="auto"/>
            </w:pPr>
            <w:r>
              <w:rPr>
                <w:b/>
                <w:color w:val="000000"/>
                <w:sz w:val="16"/>
              </w:rPr>
              <w:t xml:space="preserve">Annual</w:t>
            </w:r>
          </w:p>
        </w:tc>
        <w:tc>
          <w:tcPr/>
          <w:p>
            <w:pPr>
              <w:pStyle w:val="Compact"/>
              <w:spacing w:before="0" w:after="0" w:line="240" w:lineRule="auto"/>
            </w:pPr>
            <w:r>
              <w:rPr>
                <w:b/>
                <w:color w:val="000000"/>
                <w:sz w:val="16"/>
              </w:rPr>
              <w:t xml:space="preserve">Change in the annual total observation count relative to the previous year. A network-stability term: positive values mean the network gained observation volume; negative values mean it lost volume.</w:t>
            </w:r>
          </w:p>
        </w:tc>
        <w:tc>
          <w:tcPr/>
          <w:p>
            <w:pPr>
              <w:pStyle w:val="Compact"/>
              <w:spacing w:before="0" w:after="0" w:line="240" w:lineRule="auto"/>
              <w:jc w:val="right"/>
            </w:pPr>
            <w:r>
              <w:rPr>
                <w:b/>
                <w:color w:val="000000"/>
                <w:sz w:val="16"/>
              </w:rPr>
              <w:t xml:space="preserve">−0.449</w:t>
            </w:r>
          </w:p>
        </w:tc>
      </w:tr>
      <w:tr>
        <w:tc>
          <w:tcPr/>
          <w:p>
            <w:pPr>
              <w:pStyle w:val="Compact"/>
              <w:spacing w:before="0" w:after="0" w:line="240" w:lineRule="auto"/>
            </w:pPr>
            <w:r>
              <w:rPr>
                <w:b/>
                <w:color w:val="000000"/>
                <w:sz w:val="16"/>
              </w:rPr>
              <w:t xml:space="preserve">Seven-year CO₂ anomaly</w:t>
            </w:r>
          </w:p>
        </w:tc>
        <w:tc>
          <w:tcPr/>
          <w:p>
            <w:pPr>
              <w:pStyle w:val="Compact"/>
              <w:spacing w:before="0" w:after="0" w:line="240" w:lineRule="auto"/>
            </w:pPr>
            <w:r>
              <w:rPr>
                <w:b/>
                <w:color w:val="000000"/>
                <w:sz w:val="16"/>
              </w:rPr>
              <w:t xml:space="preserve">Yes</w:t>
            </w:r>
          </w:p>
        </w:tc>
        <w:tc>
          <w:tcPr/>
          <w:p>
            <w:pPr>
              <w:pStyle w:val="Compact"/>
              <w:spacing w:before="0" w:after="0" w:line="240" w:lineRule="auto"/>
            </w:pPr>
            <w:r>
              <w:rPr>
                <w:b/>
                <w:color w:val="000000"/>
                <w:sz w:val="16"/>
              </w:rPr>
              <w:t xml:space="preserve">Climate state</w:t>
            </w:r>
          </w:p>
        </w:tc>
        <w:tc>
          <w:tcPr/>
          <w:p>
            <w:pPr>
              <w:pStyle w:val="Compact"/>
              <w:spacing w:before="0" w:after="0" w:line="240" w:lineRule="auto"/>
            </w:pPr>
            <w:r>
              <w:rPr>
                <w:b/>
                <w:color w:val="000000"/>
                <w:sz w:val="16"/>
              </w:rPr>
              <w:t xml:space="preserve">Absolute departure of the in situ inversion-median growth rate from its centered seven-year running mean. An anomaly-strength term: larger values identify years when the growth-rate signal is unusually far from the local background, making coverage weaknesses more visible.</w:t>
            </w:r>
          </w:p>
        </w:tc>
        <w:tc>
          <w:tcPr/>
          <w:p>
            <w:pPr>
              <w:pStyle w:val="Compact"/>
              <w:spacing w:before="0" w:after="0" w:line="240" w:lineRule="auto"/>
              <w:jc w:val="right"/>
            </w:pPr>
            <w:r>
              <w:rPr>
                <w:b/>
                <w:color w:val="000000"/>
                <w:sz w:val="16"/>
              </w:rPr>
              <w:t xml:space="preserve">+0.532</w:t>
            </w:r>
          </w:p>
        </w:tc>
      </w:tr>
      <w:tr>
        <w:tc>
          <w:tcPr/>
          <w:p>
            <w:pPr>
              <w:pStyle w:val="Compact"/>
              <w:spacing w:before="0" w:after="0" w:line="240" w:lineRule="auto"/>
            </w:pPr>
            <w:r>
              <w:rPr>
                <w:b w:val="0"/>
                <w:color w:val="000000"/>
                <w:sz w:val="16"/>
              </w:rPr>
              <w:t xml:space="preserve">Annual tropical observation count</w:t>
            </w:r>
          </w:p>
        </w:tc>
        <w:tc>
          <w:tcPr/>
          <w:p>
            <w:pPr>
              <w:pStyle w:val="Compact"/>
              <w:spacing w:before="0" w:after="0" w:line="240" w:lineRule="auto"/>
            </w:pPr>
            <w:r>
              <w:rPr>
                <w:b w:val="0"/>
                <w:color w:val="000000"/>
                <w:sz w:val="16"/>
              </w:rPr>
              <w:t xml:space="preserve">No</w:t>
            </w:r>
          </w:p>
        </w:tc>
        <w:tc>
          <w:tcPr/>
          <w:p>
            <w:pPr>
              <w:pStyle w:val="Compact"/>
              <w:spacing w:before="0" w:after="0" w:line="240" w:lineRule="auto"/>
            </w:pPr>
            <w:r>
              <w:rPr>
                <w:b w:val="0"/>
                <w:color w:val="000000"/>
                <w:sz w:val="16"/>
              </w:rPr>
              <w:t xml:space="preserve">Annual</w:t>
            </w:r>
          </w:p>
        </w:tc>
        <w:tc>
          <w:tcPr/>
          <w:p>
            <w:pPr>
              <w:pStyle w:val="Compact"/>
              <w:spacing w:before="0" w:after="0" w:line="240" w:lineRule="auto"/>
            </w:pPr>
            <w:r>
              <w:rPr>
                <w:b w:val="0"/>
                <w:color w:val="000000"/>
                <w:sz w:val="16"/>
              </w:rPr>
              <w:t xml:space="preserve">Total tropical observations in the full calendar year. The simplest annual tropical-sampling metric: more tropical observations generally mean stronger constraint on global growth-rate variability.</w:t>
            </w:r>
          </w:p>
        </w:tc>
        <w:tc>
          <w:tcPr/>
          <w:p>
            <w:pPr>
              <w:pStyle w:val="Compact"/>
              <w:spacing w:before="0" w:after="0" w:line="240" w:lineRule="auto"/>
              <w:jc w:val="right"/>
            </w:pPr>
            <w:r>
              <w:rPr>
                <w:b w:val="0"/>
                <w:color w:val="000000"/>
                <w:sz w:val="16"/>
              </w:rPr>
              <w:t xml:space="preserve">−0.522</w:t>
            </w:r>
          </w:p>
        </w:tc>
      </w:tr>
      <w:tr>
        <w:tc>
          <w:tcPr/>
          <w:p>
            <w:pPr>
              <w:pStyle w:val="Compact"/>
              <w:spacing w:before="0" w:after="0" w:line="240" w:lineRule="auto"/>
            </w:pPr>
            <w:r>
              <w:rPr>
                <w:b w:val="0"/>
                <w:color w:val="000000"/>
                <w:sz w:val="16"/>
              </w:rPr>
              <w:t xml:space="preserve">Edge latitude spread</w:t>
            </w:r>
          </w:p>
        </w:tc>
        <w:tc>
          <w:tcPr/>
          <w:p>
            <w:pPr>
              <w:pStyle w:val="Compact"/>
              <w:spacing w:before="0" w:after="0" w:line="240" w:lineRule="auto"/>
            </w:pPr>
            <w:r>
              <w:rPr>
                <w:b w:val="0"/>
                <w:color w:val="000000"/>
                <w:sz w:val="16"/>
              </w:rPr>
              <w:t xml:space="preserve">No</w:t>
            </w:r>
          </w:p>
        </w:tc>
        <w:tc>
          <w:tcPr/>
          <w:p>
            <w:pPr>
              <w:pStyle w:val="Compact"/>
              <w:spacing w:before="0" w:after="0" w:line="240" w:lineRule="auto"/>
            </w:pPr>
            <w:r>
              <w:rPr>
                <w:b w:val="0"/>
                <w:color w:val="000000"/>
                <w:sz w:val="16"/>
              </w:rPr>
              <w:t xml:space="preserve">Edge</w:t>
            </w:r>
          </w:p>
        </w:tc>
        <w:tc>
          <w:tcPr/>
          <w:p>
            <w:pPr>
              <w:pStyle w:val="Compact"/>
              <w:spacing w:before="0" w:after="0" w:line="240" w:lineRule="auto"/>
            </w:pPr>
            <w:r>
              <w:rPr>
                <w:b w:val="0"/>
                <w:color w:val="000000"/>
                <w:sz w:val="16"/>
              </w:rPr>
              <w:t xml:space="preserve">Observation-weighted standard deviation of latitude in the edge window. Measures how broadly edge observations span latitude bands; larger values mean wider latitudinal distribution rather than concentration in one zone.</w:t>
            </w:r>
          </w:p>
        </w:tc>
        <w:tc>
          <w:tcPr/>
          <w:p>
            <w:pPr>
              <w:pStyle w:val="Compact"/>
              <w:spacing w:before="0" w:after="0" w:line="240" w:lineRule="auto"/>
              <w:jc w:val="right"/>
            </w:pPr>
            <w:r>
              <w:rPr>
                <w:b w:val="0"/>
                <w:color w:val="000000"/>
                <w:sz w:val="16"/>
              </w:rPr>
              <w:t xml:space="preserve">+0.519</w:t>
            </w:r>
          </w:p>
        </w:tc>
      </w:tr>
      <w:tr>
        <w:tc>
          <w:tcPr/>
          <w:p>
            <w:pPr>
              <w:pStyle w:val="Compact"/>
              <w:spacing w:before="0" w:after="0" w:line="240" w:lineRule="auto"/>
            </w:pPr>
            <w:r>
              <w:rPr>
                <w:b w:val="0"/>
                <w:color w:val="000000"/>
                <w:sz w:val="16"/>
              </w:rPr>
              <w:t xml:space="preserve">Leading-edge tropical observation count</w:t>
            </w:r>
          </w:p>
        </w:tc>
        <w:tc>
          <w:tcPr/>
          <w:p>
            <w:pPr>
              <w:pStyle w:val="Compact"/>
              <w:spacing w:before="0" w:after="0" w:line="240" w:lineRule="auto"/>
            </w:pPr>
            <w:r>
              <w:rPr>
                <w:b w:val="0"/>
                <w:color w:val="000000"/>
                <w:sz w:val="16"/>
              </w:rPr>
              <w:t xml:space="preserve">No</w:t>
            </w:r>
          </w:p>
        </w:tc>
        <w:tc>
          <w:tcPr/>
          <w:p>
            <w:pPr>
              <w:pStyle w:val="Compact"/>
              <w:spacing w:before="0" w:after="0" w:line="240" w:lineRule="auto"/>
            </w:pPr>
            <w:r>
              <w:rPr>
                <w:b w:val="0"/>
                <w:color w:val="000000"/>
                <w:sz w:val="16"/>
              </w:rPr>
              <w:t xml:space="preserve">Edge</w:t>
            </w:r>
          </w:p>
        </w:tc>
        <w:tc>
          <w:tcPr/>
          <w:p>
            <w:pPr>
              <w:pStyle w:val="Compact"/>
              <w:spacing w:before="0" w:after="0" w:line="240" w:lineRule="auto"/>
            </w:pPr>
            <w:r>
              <w:rPr>
                <w:b w:val="0"/>
                <w:color w:val="000000"/>
                <w:sz w:val="16"/>
              </w:rPr>
              <w:t xml:space="preserve">Tropical observations in the leading boundary window only (Dec(y−1)+Jan(y)). Isolates how well the network samples the start of the growth-rate year in the tropics.</w:t>
            </w:r>
          </w:p>
        </w:tc>
        <w:tc>
          <w:tcPr/>
          <w:p>
            <w:pPr>
              <w:pStyle w:val="Compact"/>
              <w:spacing w:before="0" w:after="0" w:line="240" w:lineRule="auto"/>
              <w:jc w:val="right"/>
            </w:pPr>
            <w:r>
              <w:rPr>
                <w:b w:val="0"/>
                <w:color w:val="000000"/>
                <w:sz w:val="16"/>
              </w:rPr>
              <w:t xml:space="preserve">−0.509</w:t>
            </w:r>
          </w:p>
        </w:tc>
      </w:tr>
      <w:tr>
        <w:tc>
          <w:tcPr/>
          <w:p>
            <w:pPr>
              <w:pStyle w:val="Compact"/>
              <w:spacing w:before="0" w:after="0" w:line="240" w:lineRule="auto"/>
            </w:pPr>
            <w:r>
              <w:rPr>
                <w:b w:val="0"/>
                <w:color w:val="000000"/>
                <w:sz w:val="16"/>
              </w:rPr>
              <w:t xml:space="preserve">Edge occupied site-months</w:t>
            </w:r>
          </w:p>
        </w:tc>
        <w:tc>
          <w:tcPr/>
          <w:p>
            <w:pPr>
              <w:pStyle w:val="Compact"/>
              <w:spacing w:before="0" w:after="0" w:line="240" w:lineRule="auto"/>
            </w:pPr>
            <w:r>
              <w:rPr>
                <w:b w:val="0"/>
                <w:color w:val="000000"/>
                <w:sz w:val="16"/>
              </w:rPr>
              <w:t xml:space="preserve">No</w:t>
            </w:r>
          </w:p>
        </w:tc>
        <w:tc>
          <w:tcPr/>
          <w:p>
            <w:pPr>
              <w:pStyle w:val="Compact"/>
              <w:spacing w:before="0" w:after="0" w:line="240" w:lineRule="auto"/>
            </w:pPr>
            <w:r>
              <w:rPr>
                <w:b w:val="0"/>
                <w:color w:val="000000"/>
                <w:sz w:val="16"/>
              </w:rPr>
              <w:t xml:space="preserve">Edge</w:t>
            </w:r>
          </w:p>
        </w:tc>
        <w:tc>
          <w:tcPr/>
          <w:p>
            <w:pPr>
              <w:pStyle w:val="Compact"/>
              <w:spacing w:before="0" w:after="0" w:line="240" w:lineRule="auto"/>
            </w:pPr>
            <w:r>
              <w:rPr>
                <w:b w:val="0"/>
                <w:color w:val="000000"/>
                <w:sz w:val="16"/>
              </w:rPr>
              <w:t xml:space="preserve">Number of distinct site-month bins occupied in the edge window. A coverage-completeness metric that increases when more site-month combinations are present, even if total observation count does not rise proportionally.</w:t>
            </w:r>
          </w:p>
        </w:tc>
        <w:tc>
          <w:tcPr/>
          <w:p>
            <w:pPr>
              <w:pStyle w:val="Compact"/>
              <w:spacing w:before="0" w:after="0" w:line="240" w:lineRule="auto"/>
              <w:jc w:val="right"/>
            </w:pPr>
            <w:r>
              <w:rPr>
                <w:b w:val="0"/>
                <w:color w:val="000000"/>
                <w:sz w:val="16"/>
              </w:rPr>
              <w:t xml:space="preserve">−0.438</w:t>
            </w:r>
          </w:p>
        </w:tc>
      </w:tr>
      <w:tr>
        <w:tc>
          <w:tcPr/>
          <w:p>
            <w:pPr>
              <w:pStyle w:val="Compact"/>
              <w:spacing w:before="0" w:after="0" w:line="240" w:lineRule="auto"/>
            </w:pPr>
            <w:r>
              <w:rPr>
                <w:b w:val="0"/>
                <w:color w:val="000000"/>
                <w:sz w:val="16"/>
              </w:rPr>
              <w:t xml:space="preserve">Annual mean observation latitude</w:t>
            </w:r>
          </w:p>
        </w:tc>
        <w:tc>
          <w:tcPr/>
          <w:p>
            <w:pPr>
              <w:pStyle w:val="Compact"/>
              <w:spacing w:before="0" w:after="0" w:line="240" w:lineRule="auto"/>
            </w:pPr>
            <w:r>
              <w:rPr>
                <w:b w:val="0"/>
                <w:color w:val="000000"/>
                <w:sz w:val="16"/>
              </w:rPr>
              <w:t xml:space="preserve">No</w:t>
            </w:r>
          </w:p>
        </w:tc>
        <w:tc>
          <w:tcPr/>
          <w:p>
            <w:pPr>
              <w:pStyle w:val="Compact"/>
              <w:spacing w:before="0" w:after="0" w:line="240" w:lineRule="auto"/>
            </w:pPr>
            <w:r>
              <w:rPr>
                <w:b w:val="0"/>
                <w:color w:val="000000"/>
                <w:sz w:val="16"/>
              </w:rPr>
              <w:t xml:space="preserve">Annual</w:t>
            </w:r>
          </w:p>
        </w:tc>
        <w:tc>
          <w:tcPr/>
          <w:p>
            <w:pPr>
              <w:pStyle w:val="Compact"/>
              <w:spacing w:before="0" w:after="0" w:line="240" w:lineRule="auto"/>
            </w:pPr>
            <w:r>
              <w:rPr>
                <w:b w:val="0"/>
                <w:color w:val="000000"/>
                <w:sz w:val="16"/>
              </w:rPr>
              <w:t xml:space="preserve">Observation-weighted mean latitude for the full annual network. A large-scale geometry metric: higher values mean the network is centered farther north on average.</w:t>
            </w:r>
          </w:p>
        </w:tc>
        <w:tc>
          <w:tcPr/>
          <w:p>
            <w:pPr>
              <w:pStyle w:val="Compact"/>
              <w:spacing w:before="0" w:after="0" w:line="240" w:lineRule="auto"/>
              <w:jc w:val="right"/>
            </w:pPr>
            <w:r>
              <w:rPr>
                <w:b w:val="0"/>
                <w:color w:val="000000"/>
                <w:sz w:val="16"/>
              </w:rPr>
              <w:t xml:space="preserve">+0.198</w:t>
            </w:r>
          </w:p>
        </w:tc>
      </w:tr>
    </w:tbl>
    <w:bookmarkEnd w:id="55"/>
    <w:bookmarkStart w:id="56" w:name="supplementary-table-s2"/>
    <w:p>
      <w:pPr>
        <w:pStyle w:val="Heading2"/>
        <w:spacing w:before="160" w:after="80" w:line="240" w:lineRule="auto"/>
      </w:pPr>
      <w:r>
        <w:t xml:space="preserve">Supplementary Table S2</w:t>
      </w:r>
    </w:p>
    <w:p>
      <w:pPr>
        <w:pStyle w:val="FirstParagraph"/>
        <w:spacing w:before="40" w:after="200" w:line="240" w:lineRule="auto"/>
        <w:rPr>
          <w:sz w:val="22"/>
        </w:rPr>
      </w:pPr>
      <w:r>
        <w:rPr>
          <w:b/>
          <w:bCs/>
          <w:sz w:val="22"/>
        </w:rPr>
        <w:t xml:space="preserve">Supplementary Table S2 | Robustness diagnostics for the five-predictor OLS regression of the absolute NOAA–inversion growth-rate discrepancy.</w:t>
      </w:r>
      <w:r>
        <w:rPr>
          <w:sz w:val="22"/>
        </w:rPr>
        <w:t xml:space="preserve"> </w:t>
      </w:r>
      <w:r>
        <w:rPr>
          <w:sz w:val="22"/>
        </w:rPr>
        <w:t xml:space="preserve">All statistics in this table are computed on the 33-year subsample 1992–2024 (1991 excluded entirely); this subsample is used as a robustness check against the main-text regression, which includes 1991 via 1990 site-count data for the lagged predictor. Methodological details are given in the footnotes.</w:t>
      </w:r>
    </w:p>
    <w:p>
      <w:pPr>
        <w:pStyle w:val="BodyText"/>
        <w:spacing w:before="40" w:after="200" w:line="240" w:lineRule="auto"/>
        <w:rPr>
          <w:sz w:val="22"/>
        </w:rPr>
      </w:pPr>
      <w:r>
        <w:rPr>
          <w:b/>
          <w:bCs/>
          <w:sz w:val="22"/>
        </w:rPr>
        <w:t xml:space="preserve">(a) Coefficient estimates — baseline five-predictor model.</w:t>
      </w:r>
      <w:r>
        <w:rPr>
          <w:sz w:val="22"/>
        </w:rPr>
        <w:t xml:space="preserve"> </w:t>
      </w:r>
      <w:r>
        <w:rPr>
          <w:sz w:val="22"/>
        </w:rPr>
        <w:t xml:space="preserve">β denotes the unstandardized OLS regression coefficient.</w:t>
      </w:r>
    </w:p>
    <w:tbl>
      <w:tblPr>
        <w:tblStyle w:val="Table"/>
        <w:jc w:val="center"/>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2640"/>
        <w:gridCol w:w="2640"/>
        <w:gridCol w:w="264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Predictor</w:t>
            </w:r>
          </w:p>
        </w:tc>
        <w:tc>
          <w:tcPr>
            <w:tcBorders>
              <w:bottom w:val="single" w:sz="6" w:color="000000"/>
            </w:tcBorders>
          </w:tcPr>
          <w:p>
            <w:pPr>
              <w:pStyle w:val="Compact"/>
              <w:spacing w:before="20" w:after="20" w:line="240" w:lineRule="auto"/>
              <w:jc w:val="left"/>
            </w:pPr>
            <w:r>
              <w:rPr>
                <w:b/>
                <w:color w:val="000000"/>
                <w:sz w:val="16"/>
              </w:rPr>
              <w:t xml:space="preserve">β</w:t>
            </w:r>
          </w:p>
        </w:tc>
        <w:tc>
          <w:tcPr>
            <w:tcBorders>
              <w:bottom w:val="single" w:sz="6" w:color="000000"/>
            </w:tcBorders>
          </w:tcPr>
          <w:p>
            <w:pPr>
              <w:pStyle w:val="Compact"/>
              <w:spacing w:before="20" w:after="20" w:line="240" w:lineRule="auto"/>
              <w:jc w:val="left"/>
            </w:pPr>
            <w:r>
              <w:rPr>
                <w:b/>
                <w:color w:val="000000"/>
                <w:sz w:val="16"/>
              </w:rPr>
              <w:t xml:space="preserve">95% CI¹</w:t>
            </w:r>
          </w:p>
        </w:tc>
      </w:tr>
      <w:tr>
        <w:tc>
          <w:tcPr/>
          <w:p>
            <w:pPr>
              <w:pStyle w:val="Compact"/>
              <w:spacing w:before="0" w:after="0" w:line="240" w:lineRule="auto"/>
            </w:pPr>
            <w:r>
              <w:rPr>
                <w:b w:val="0"/>
                <w:color w:val="000000"/>
                <w:sz w:val="16"/>
              </w:rPr>
              <w:t xml:space="preserve">Intercept</w:t>
            </w:r>
          </w:p>
        </w:tc>
        <w:tc>
          <w:tcPr/>
          <w:p>
            <w:pPr>
              <w:pStyle w:val="Compact"/>
              <w:spacing w:before="0" w:after="0" w:line="240" w:lineRule="auto"/>
              <w:jc w:val="right"/>
            </w:pPr>
            <w:r>
              <w:rPr>
                <w:b w:val="0"/>
                <w:color w:val="000000"/>
                <w:sz w:val="16"/>
              </w:rPr>
              <w:t xml:space="preserve">+0.483</w:t>
            </w:r>
          </w:p>
        </w:tc>
        <w:tc>
          <w:tcPr/>
          <w:p>
            <w:pPr>
              <w:pStyle w:val="Compact"/>
              <w:spacing w:before="0" w:after="0" w:line="240" w:lineRule="auto"/>
              <w:jc w:val="right"/>
            </w:pPr>
            <w:r>
              <w:rPr>
                <w:b w:val="0"/>
                <w:color w:val="000000"/>
                <w:sz w:val="16"/>
              </w:rPr>
              <w:t xml:space="preserve">[+0.239, +0.728]</w:t>
            </w:r>
          </w:p>
        </w:tc>
      </w:tr>
      <w:tr>
        <w:tc>
          <w:tcPr/>
          <w:p>
            <w:pPr>
              <w:pStyle w:val="Compact"/>
              <w:spacing w:before="0" w:after="0" w:line="240" w:lineRule="auto"/>
            </w:pPr>
            <w:r>
              <w:rPr>
                <w:b w:val="0"/>
                <w:color w:val="000000"/>
                <w:sz w:val="16"/>
              </w:rPr>
              <w:t xml:space="preserve">Edge fixed-site observation count⁷</w:t>
            </w:r>
          </w:p>
        </w:tc>
        <w:tc>
          <w:tcPr/>
          <w:p>
            <w:pPr>
              <w:pStyle w:val="Compact"/>
              <w:spacing w:before="0" w:after="0" w:line="240" w:lineRule="auto"/>
              <w:jc w:val="right"/>
            </w:pPr>
            <w:r>
              <w:rPr>
                <w:b w:val="0"/>
                <w:color w:val="000000"/>
                <w:sz w:val="16"/>
              </w:rPr>
              <w:t xml:space="preserve">−0.0005</w:t>
            </w:r>
          </w:p>
        </w:tc>
        <w:tc>
          <w:tcPr/>
          <w:p>
            <w:pPr>
              <w:pStyle w:val="Compact"/>
              <w:spacing w:before="0" w:after="0" w:line="240" w:lineRule="auto"/>
              <w:jc w:val="right"/>
            </w:pPr>
            <w:r>
              <w:rPr>
                <w:b w:val="0"/>
                <w:color w:val="000000"/>
                <w:sz w:val="16"/>
              </w:rPr>
              <w:t xml:space="preserve">[−0.0011, 0.0000]</w:t>
            </w:r>
          </w:p>
        </w:tc>
      </w:tr>
      <w:tr>
        <w:tc>
          <w:tcPr/>
          <w:p>
            <w:pPr>
              <w:pStyle w:val="Compact"/>
              <w:spacing w:before="0" w:after="0" w:line="240" w:lineRule="auto"/>
            </w:pPr>
            <w:r>
              <w:rPr>
                <w:b w:val="0"/>
                <w:color w:val="000000"/>
                <w:sz w:val="16"/>
              </w:rPr>
              <w:t xml:space="preserve">Edge tropical observation fraction</w:t>
            </w:r>
          </w:p>
        </w:tc>
        <w:tc>
          <w:tcPr/>
          <w:p>
            <w:pPr>
              <w:pStyle w:val="Compact"/>
              <w:spacing w:before="0" w:after="0" w:line="240" w:lineRule="auto"/>
              <w:jc w:val="right"/>
            </w:pPr>
            <w:r>
              <w:rPr>
                <w:b w:val="0"/>
                <w:color w:val="000000"/>
                <w:sz w:val="16"/>
              </w:rPr>
              <w:t xml:space="preserve">−0.572</w:t>
            </w:r>
          </w:p>
        </w:tc>
        <w:tc>
          <w:tcPr/>
          <w:p>
            <w:pPr>
              <w:pStyle w:val="Compact"/>
              <w:spacing w:before="0" w:after="0" w:line="240" w:lineRule="auto"/>
              <w:jc w:val="right"/>
            </w:pPr>
            <w:r>
              <w:rPr>
                <w:b w:val="0"/>
                <w:color w:val="000000"/>
                <w:sz w:val="16"/>
              </w:rPr>
              <w:t xml:space="preserve">[−0.977, −0.166]</w:t>
            </w:r>
          </w:p>
        </w:tc>
      </w:tr>
      <w:tr>
        <w:tc>
          <w:tcPr/>
          <w:p>
            <w:pPr>
              <w:pStyle w:val="Compact"/>
              <w:spacing w:before="0" w:after="0" w:line="240" w:lineRule="auto"/>
            </w:pPr>
            <w:r>
              <w:rPr>
                <w:b w:val="0"/>
                <w:color w:val="000000"/>
                <w:sz w:val="16"/>
              </w:rPr>
              <w:t xml:space="preserve">Edge latitude-center shift</w:t>
            </w:r>
          </w:p>
        </w:tc>
        <w:tc>
          <w:tcPr/>
          <w:p>
            <w:pPr>
              <w:pStyle w:val="Compact"/>
              <w:spacing w:before="0" w:after="0" w:line="240" w:lineRule="auto"/>
              <w:jc w:val="right"/>
            </w:pPr>
            <w:r>
              <w:rPr>
                <w:b w:val="0"/>
                <w:color w:val="000000"/>
                <w:sz w:val="16"/>
              </w:rPr>
              <w:t xml:space="preserve">−0.353</w:t>
            </w:r>
          </w:p>
        </w:tc>
        <w:tc>
          <w:tcPr/>
          <w:p>
            <w:pPr>
              <w:pStyle w:val="Compact"/>
              <w:spacing w:before="0" w:after="0" w:line="240" w:lineRule="auto"/>
              <w:jc w:val="right"/>
            </w:pPr>
            <w:r>
              <w:rPr>
                <w:b w:val="0"/>
                <w:color w:val="000000"/>
                <w:sz w:val="16"/>
              </w:rPr>
              <w:t xml:space="preserve">[−0.782, +0.077]</w:t>
            </w:r>
          </w:p>
        </w:tc>
      </w:tr>
      <w:tr>
        <w:tc>
          <w:tcPr/>
          <w:p>
            <w:pPr>
              <w:pStyle w:val="Compact"/>
              <w:spacing w:before="0" w:after="0" w:line="240" w:lineRule="auto"/>
            </w:pPr>
            <w:r>
              <w:rPr>
                <w:b w:val="0"/>
                <w:color w:val="000000"/>
                <w:sz w:val="16"/>
              </w:rPr>
              <w:t xml:space="preserve">Year-to-year observation change⁷</w:t>
            </w:r>
          </w:p>
        </w:tc>
        <w:tc>
          <w:tcPr/>
          <w:p>
            <w:pPr>
              <w:pStyle w:val="Compact"/>
              <w:spacing w:before="0" w:after="0" w:line="240" w:lineRule="auto"/>
              <w:jc w:val="right"/>
            </w:pPr>
            <w:r>
              <w:rPr>
                <w:b w:val="0"/>
                <w:color w:val="000000"/>
                <w:sz w:val="16"/>
              </w:rPr>
              <w:t xml:space="preserve">−0.0003</w:t>
            </w:r>
          </w:p>
        </w:tc>
        <w:tc>
          <w:tcPr/>
          <w:p>
            <w:pPr>
              <w:pStyle w:val="Compact"/>
              <w:spacing w:before="0" w:after="0" w:line="240" w:lineRule="auto"/>
              <w:jc w:val="right"/>
            </w:pPr>
            <w:r>
              <w:rPr>
                <w:b w:val="0"/>
                <w:color w:val="000000"/>
                <w:sz w:val="16"/>
              </w:rPr>
              <w:t xml:space="preserve">[−0.0005, 0.0000]</w:t>
            </w:r>
          </w:p>
        </w:tc>
      </w:tr>
      <w:tr>
        <w:tc>
          <w:tcPr/>
          <w:p>
            <w:pPr>
              <w:pStyle w:val="Compact"/>
              <w:spacing w:before="0" w:after="0" w:line="240" w:lineRule="auto"/>
            </w:pPr>
            <w:r>
              <w:rPr>
                <w:b w:val="0"/>
                <w:color w:val="000000"/>
                <w:sz w:val="16"/>
              </w:rPr>
              <w:t xml:space="preserve">Seven-year CO₂ anomaly</w:t>
            </w:r>
          </w:p>
        </w:tc>
        <w:tc>
          <w:tcPr/>
          <w:p>
            <w:pPr>
              <w:pStyle w:val="Compact"/>
              <w:spacing w:before="0" w:after="0" w:line="240" w:lineRule="auto"/>
              <w:jc w:val="right"/>
            </w:pPr>
            <w:r>
              <w:rPr>
                <w:b w:val="0"/>
                <w:color w:val="000000"/>
                <w:sz w:val="16"/>
              </w:rPr>
              <w:t xml:space="preserve">+0.293</w:t>
            </w:r>
          </w:p>
        </w:tc>
        <w:tc>
          <w:tcPr/>
          <w:p>
            <w:pPr>
              <w:pStyle w:val="Compact"/>
              <w:spacing w:before="0" w:after="0" w:line="240" w:lineRule="auto"/>
              <w:jc w:val="right"/>
            </w:pPr>
            <w:r>
              <w:rPr>
                <w:b w:val="0"/>
                <w:color w:val="000000"/>
                <w:sz w:val="16"/>
              </w:rPr>
              <w:t xml:space="preserve">[+0.165, +0.421]</w:t>
            </w:r>
          </w:p>
        </w:tc>
      </w:tr>
    </w:tbl>
    <w:p>
      <w:pPr>
        <w:pStyle w:val="BodyText"/>
        <w:spacing w:before="40" w:after="200" w:line="240" w:lineRule="auto"/>
        <w:rPr>
          <w:sz w:val="22"/>
        </w:rPr>
      </w:pPr>
      <w:r>
        <w:rPr>
          <w:b/>
          <w:bCs/>
          <w:sz w:val="22"/>
        </w:rPr>
        <w:t xml:space="preserve">(b) Permutation test of overall model significance²</w:t>
      </w:r>
    </w:p>
    <w:tbl>
      <w:tblPr>
        <w:tblStyle w:val="Table"/>
        <w:jc w:val="center"/>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3960"/>
        <w:gridCol w:w="396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Statistic</w:t>
            </w:r>
          </w:p>
        </w:tc>
        <w:tc>
          <w:tcPr>
            <w:tcBorders>
              <w:bottom w:val="single" w:sz="6" w:color="000000"/>
            </w:tcBorders>
          </w:tcPr>
          <w:p>
            <w:pPr>
              <w:pStyle w:val="Compact"/>
              <w:spacing w:before="20" w:after="20" w:line="240" w:lineRule="auto"/>
              <w:jc w:val="left"/>
            </w:pPr>
            <w:r>
              <w:rPr>
                <w:b/>
                <w:color w:val="000000"/>
                <w:sz w:val="16"/>
              </w:rPr>
              <w:t xml:space="preserve">Value</w:t>
            </w:r>
          </w:p>
        </w:tc>
      </w:tr>
      <w:tr>
        <w:tc>
          <w:tcPr/>
          <w:p>
            <w:pPr>
              <w:pStyle w:val="Compact"/>
              <w:spacing w:before="0" w:after="0" w:line="240" w:lineRule="auto"/>
            </w:pPr>
            <w:r>
              <w:rPr>
                <w:b w:val="0"/>
                <w:color w:val="000000"/>
                <w:sz w:val="16"/>
              </w:rPr>
              <w:t xml:space="preserve">Observed R²</w:t>
            </w:r>
          </w:p>
        </w:tc>
        <w:tc>
          <w:tcPr/>
          <w:p>
            <w:pPr>
              <w:pStyle w:val="Compact"/>
              <w:spacing w:before="0" w:after="0" w:line="240" w:lineRule="auto"/>
              <w:jc w:val="right"/>
            </w:pPr>
            <w:r>
              <w:rPr>
                <w:b w:val="0"/>
                <w:color w:val="000000"/>
                <w:sz w:val="16"/>
              </w:rPr>
              <w:t xml:space="preserve">0.728</w:t>
            </w:r>
          </w:p>
        </w:tc>
      </w:tr>
      <w:tr>
        <w:tc>
          <w:tcPr/>
          <w:p>
            <w:pPr>
              <w:pStyle w:val="Compact"/>
              <w:spacing w:before="0" w:after="0" w:line="240" w:lineRule="auto"/>
            </w:pPr>
            <w:r>
              <w:rPr>
                <w:b w:val="0"/>
                <w:i/>
                <w:iCs/>
                <w:color w:val="000000"/>
                <w:sz w:val="16"/>
              </w:rPr>
              <w:t xml:space="preserve">p</w:t>
            </w:r>
            <w:r>
              <w:rPr>
                <w:b w:val="0"/>
                <w:color w:val="000000"/>
                <w:sz w:val="16"/>
              </w:rPr>
              <w:t xml:space="preserve">-value (10,000 permutations)</w:t>
            </w:r>
          </w:p>
        </w:tc>
        <w:tc>
          <w:tcPr/>
          <w:p>
            <w:pPr>
              <w:pStyle w:val="Compact"/>
              <w:spacing w:before="0" w:after="0" w:line="240" w:lineRule="auto"/>
              <w:jc w:val="right"/>
            </w:pPr>
            <w:r>
              <w:rPr>
                <w:b w:val="0"/>
                <w:color w:val="000000"/>
                <w:sz w:val="16"/>
              </w:rPr>
              <w:t xml:space="preserve">&lt; 0.0001</w:t>
            </w:r>
          </w:p>
        </w:tc>
      </w:tr>
    </w:tbl>
    <w:p>
      <w:pPr>
        <w:pStyle w:val="BodyText"/>
        <w:spacing w:before="40" w:after="200" w:line="240" w:lineRule="auto"/>
        <w:rPr>
          <w:sz w:val="22"/>
        </w:rPr>
      </w:pPr>
      <w:r>
        <w:rPr>
          <w:b/>
          <w:bCs/>
          <w:sz w:val="22"/>
        </w:rPr>
        <w:t xml:space="preserve">(c) Influential-observation screening³</w:t>
      </w:r>
    </w:p>
    <w:tbl>
      <w:tblPr>
        <w:tblStyle w:val="Table"/>
        <w:jc w:val="center"/>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3960"/>
        <w:gridCol w:w="396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Statistic</w:t>
            </w:r>
          </w:p>
        </w:tc>
        <w:tc>
          <w:tcPr>
            <w:tcBorders>
              <w:bottom w:val="single" w:sz="6" w:color="000000"/>
            </w:tcBorders>
          </w:tcPr>
          <w:p>
            <w:pPr>
              <w:pStyle w:val="Compact"/>
              <w:spacing w:before="20" w:after="20" w:line="240" w:lineRule="auto"/>
              <w:jc w:val="left"/>
            </w:pPr>
            <w:r>
              <w:rPr>
                <w:b/>
                <w:color w:val="000000"/>
                <w:sz w:val="16"/>
              </w:rPr>
              <w:t xml:space="preserve">Value</w:t>
            </w:r>
          </w:p>
        </w:tc>
      </w:tr>
      <w:tr>
        <w:tc>
          <w:tcPr/>
          <w:p>
            <w:pPr>
              <w:pStyle w:val="Compact"/>
              <w:spacing w:before="0" w:after="0" w:line="240" w:lineRule="auto"/>
            </w:pPr>
            <w:r>
              <w:rPr>
                <w:b w:val="0"/>
                <w:color w:val="000000"/>
                <w:sz w:val="16"/>
              </w:rPr>
              <w:t xml:space="preserve">Maximum Cook’s</w:t>
            </w:r>
            <w:r>
              <w:rPr>
                <w:b w:val="0"/>
                <w:color w:val="000000"/>
                <w:sz w:val="16"/>
              </w:rPr>
              <w:t xml:space="preserve"> </w:t>
            </w:r>
            <w:r>
              <w:rPr>
                <w:b w:val="0"/>
                <w:i/>
                <w:iCs/>
                <w:color w:val="000000"/>
                <w:sz w:val="16"/>
              </w:rPr>
              <w:t xml:space="preserve">D</w:t>
            </w:r>
            <w:r>
              <w:rPr>
                <w:b w:val="0"/>
                <w:color w:val="000000"/>
                <w:sz w:val="16"/>
              </w:rPr>
              <w:t xml:space="preserve"> </w:t>
            </w:r>
            <w:r>
              <w:rPr>
                <w:b w:val="0"/>
                <w:color w:val="000000"/>
                <w:sz w:val="16"/>
              </w:rPr>
              <w:t xml:space="preserve">(year)</w:t>
            </w:r>
          </w:p>
        </w:tc>
        <w:tc>
          <w:tcPr/>
          <w:p>
            <w:pPr>
              <w:pStyle w:val="Compact"/>
              <w:spacing w:before="0" w:after="0" w:line="240" w:lineRule="auto"/>
              <w:jc w:val="right"/>
            </w:pPr>
            <w:r>
              <w:rPr>
                <w:b w:val="0"/>
                <w:color w:val="000000"/>
                <w:sz w:val="16"/>
              </w:rPr>
              <w:t xml:space="preserve">0.141 (2006)</w:t>
            </w:r>
          </w:p>
        </w:tc>
      </w:tr>
      <w:tr>
        <w:tc>
          <w:tcPr/>
          <w:p>
            <w:pPr>
              <w:pStyle w:val="Compact"/>
              <w:spacing w:before="0" w:after="0" w:line="240" w:lineRule="auto"/>
            </w:pPr>
            <w:r>
              <w:rPr>
                <w:b w:val="0"/>
                <w:color w:val="000000"/>
                <w:sz w:val="16"/>
              </w:rPr>
              <w:t xml:space="preserve">Years with Cook’s</w:t>
            </w:r>
            <w:r>
              <w:rPr>
                <w:b w:val="0"/>
                <w:color w:val="000000"/>
                <w:sz w:val="16"/>
              </w:rPr>
              <w:t xml:space="preserve"> </w:t>
            </w:r>
            <w:r>
              <w:rPr>
                <w:b w:val="0"/>
                <w:i/>
                <w:iCs/>
                <w:color w:val="000000"/>
                <w:sz w:val="16"/>
              </w:rPr>
              <w:t xml:space="preserve">D</w:t>
            </w:r>
            <w:r>
              <w:rPr>
                <w:b w:val="0"/>
                <w:color w:val="000000"/>
                <w:sz w:val="16"/>
              </w:rPr>
              <w:t xml:space="preserve"> </w:t>
            </w:r>
            <w:r>
              <w:rPr>
                <w:b w:val="0"/>
                <w:color w:val="000000"/>
                <w:sz w:val="16"/>
              </w:rPr>
              <w:t xml:space="preserve">&gt; 4/</w:t>
            </w:r>
            <w:r>
              <w:rPr>
                <w:b w:val="0"/>
                <w:i/>
                <w:iCs/>
                <w:color w:val="000000"/>
                <w:sz w:val="16"/>
              </w:rPr>
              <w:t xml:space="preserve">n</w:t>
            </w:r>
            <w:r>
              <w:rPr>
                <w:b w:val="0"/>
                <w:color w:val="000000"/>
                <w:sz w:val="16"/>
              </w:rPr>
              <w:t xml:space="preserve"> </w:t>
            </w:r>
            <w:r>
              <w:rPr>
                <w:b w:val="0"/>
                <w:color w:val="000000"/>
                <w:sz w:val="16"/>
              </w:rPr>
              <w:t xml:space="preserve">(0.121)</w:t>
            </w:r>
          </w:p>
        </w:tc>
        <w:tc>
          <w:tcPr/>
          <w:p>
            <w:pPr>
              <w:pStyle w:val="Compact"/>
              <w:spacing w:before="0" w:after="0" w:line="240" w:lineRule="auto"/>
              <w:jc w:val="right"/>
            </w:pPr>
            <w:r>
              <w:rPr>
                <w:b w:val="0"/>
                <w:color w:val="000000"/>
                <w:sz w:val="16"/>
              </w:rPr>
              <w:t xml:space="preserve">2006 only</w:t>
            </w:r>
          </w:p>
        </w:tc>
      </w:tr>
    </w:tbl>
    <w:p>
      <w:pPr>
        <w:pStyle w:val="BodyText"/>
        <w:spacing w:before="40" w:after="200" w:line="240" w:lineRule="auto"/>
        <w:rPr>
          <w:sz w:val="22"/>
        </w:rPr>
      </w:pPr>
      <w:r>
        <w:rPr>
          <w:b/>
          <w:bCs/>
          <w:sz w:val="22"/>
        </w:rPr>
        <w:t xml:space="preserve">(d) Sensitivity experiments</w:t>
      </w:r>
    </w:p>
    <w:tbl>
      <w:tblPr>
        <w:tblStyle w:val="Table"/>
        <w:jc w:val="center"/>
        <w:tblLayout w:type="fixed"/>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1250"/>
        <w:gridCol w:w="1667"/>
        <w:gridCol w:w="1667"/>
        <w:gridCol w:w="1667"/>
        <w:gridCol w:w="1667"/>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Experiment</w:t>
            </w:r>
          </w:p>
        </w:tc>
        <w:tc>
          <w:tcPr>
            <w:tcBorders>
              <w:bottom w:val="single" w:sz="6" w:color="000000"/>
            </w:tcBorders>
          </w:tcPr>
          <w:p>
            <w:pPr>
              <w:pStyle w:val="Compact"/>
              <w:spacing w:before="20" w:after="20" w:line="240" w:lineRule="auto"/>
              <w:jc w:val="left"/>
            </w:pPr>
            <w:r>
              <w:rPr>
                <w:b/>
                <w:i/>
                <w:iCs/>
                <w:color w:val="000000"/>
                <w:sz w:val="16"/>
              </w:rPr>
              <w:t xml:space="preserve">R</w:t>
            </w:r>
          </w:p>
        </w:tc>
        <w:tc>
          <w:tcPr>
            <w:tcBorders>
              <w:bottom w:val="single" w:sz="6" w:color="000000"/>
            </w:tcBorders>
          </w:tcPr>
          <w:p>
            <w:pPr>
              <w:pStyle w:val="Compact"/>
              <w:spacing w:before="20" w:after="20" w:line="240" w:lineRule="auto"/>
              <w:jc w:val="left"/>
            </w:pPr>
            <w:r>
              <w:rPr>
                <w:b/>
                <w:color w:val="000000"/>
                <w:sz w:val="16"/>
              </w:rPr>
              <w:t xml:space="preserve">R²</w:t>
            </w:r>
          </w:p>
        </w:tc>
        <w:tc>
          <w:tcPr>
            <w:tcBorders>
              <w:bottom w:val="single" w:sz="6" w:color="000000"/>
            </w:tcBorders>
          </w:tcPr>
          <w:p>
            <w:pPr>
              <w:pStyle w:val="Compact"/>
              <w:spacing w:before="20" w:after="20" w:line="240" w:lineRule="auto"/>
              <w:jc w:val="left"/>
            </w:pPr>
            <w:r>
              <w:rPr>
                <w:b/>
                <w:color w:val="000000"/>
                <w:sz w:val="16"/>
              </w:rPr>
              <w:t xml:space="preserve">LOO R²</w:t>
            </w:r>
          </w:p>
        </w:tc>
        <w:tc>
          <w:tcPr>
            <w:tcBorders>
              <w:bottom w:val="single" w:sz="6" w:color="000000"/>
            </w:tcBorders>
          </w:tcPr>
          <w:p>
            <w:pPr>
              <w:pStyle w:val="Compact"/>
              <w:spacing w:before="20" w:after="20" w:line="240" w:lineRule="auto"/>
              <w:jc w:val="left"/>
            </w:pPr>
            <w:r>
              <w:rPr>
                <w:b/>
                <w:color w:val="000000"/>
                <w:sz w:val="16"/>
              </w:rPr>
              <w:t xml:space="preserve">RMSE (ppm yr⁻¹)</w:t>
            </w:r>
          </w:p>
        </w:tc>
      </w:tr>
      <w:tr>
        <w:tc>
          <w:tcPr/>
          <w:p>
            <w:pPr>
              <w:pStyle w:val="Compact"/>
              <w:spacing w:before="0" w:after="0" w:line="240" w:lineRule="auto"/>
            </w:pPr>
            <w:r>
              <w:rPr>
                <w:b w:val="0"/>
                <w:color w:val="000000"/>
                <w:sz w:val="16"/>
              </w:rPr>
              <w:t xml:space="preserve">Baseline (five predictors, 1992–2024)⁶</w:t>
            </w:r>
          </w:p>
        </w:tc>
        <w:tc>
          <w:tcPr/>
          <w:p>
            <w:pPr>
              <w:pStyle w:val="Compact"/>
              <w:spacing w:before="0" w:after="0" w:line="240" w:lineRule="auto"/>
              <w:jc w:val="right"/>
            </w:pPr>
            <w:r>
              <w:rPr>
                <w:b w:val="0"/>
                <w:color w:val="000000"/>
                <w:sz w:val="16"/>
              </w:rPr>
              <w:t xml:space="preserve">0.853</w:t>
            </w:r>
          </w:p>
        </w:tc>
        <w:tc>
          <w:tcPr/>
          <w:p>
            <w:pPr>
              <w:pStyle w:val="Compact"/>
              <w:spacing w:before="0" w:after="0" w:line="240" w:lineRule="auto"/>
              <w:jc w:val="right"/>
            </w:pPr>
            <w:r>
              <w:rPr>
                <w:b w:val="0"/>
                <w:color w:val="000000"/>
                <w:sz w:val="16"/>
              </w:rPr>
              <w:t xml:space="preserve">0.728</w:t>
            </w:r>
          </w:p>
        </w:tc>
        <w:tc>
          <w:tcPr/>
          <w:p>
            <w:pPr>
              <w:pStyle w:val="Compact"/>
              <w:spacing w:before="0" w:after="0" w:line="240" w:lineRule="auto"/>
              <w:jc w:val="right"/>
            </w:pPr>
            <w:r>
              <w:rPr>
                <w:b w:val="0"/>
                <w:color w:val="000000"/>
                <w:sz w:val="16"/>
              </w:rPr>
              <w:t xml:space="preserve">0.588</w:t>
            </w:r>
          </w:p>
        </w:tc>
        <w:tc>
          <w:tcPr/>
          <w:p>
            <w:pPr>
              <w:pStyle w:val="Compact"/>
              <w:spacing w:before="0" w:after="0" w:line="240" w:lineRule="auto"/>
              <w:jc w:val="right"/>
            </w:pPr>
            <w:r>
              <w:rPr>
                <w:b w:val="0"/>
                <w:color w:val="000000"/>
                <w:sz w:val="16"/>
              </w:rPr>
              <w:t xml:space="preserve">0.052</w:t>
            </w:r>
          </w:p>
        </w:tc>
      </w:tr>
      <w:tr>
        <w:tc>
          <w:tcPr/>
          <w:p>
            <w:pPr>
              <w:pStyle w:val="Compact"/>
              <w:spacing w:before="0" w:after="0" w:line="240" w:lineRule="auto"/>
            </w:pPr>
            <w:r>
              <w:rPr>
                <w:b w:val="0"/>
                <w:color w:val="000000"/>
                <w:sz w:val="16"/>
              </w:rPr>
              <w:t xml:space="preserve">Coverage-only (drop anomaly predictor)⁴</w:t>
            </w:r>
          </w:p>
        </w:tc>
        <w:tc>
          <w:tcPr/>
          <w:p>
            <w:pPr>
              <w:pStyle w:val="Compact"/>
              <w:spacing w:before="0" w:after="0" w:line="240" w:lineRule="auto"/>
              <w:jc w:val="right"/>
            </w:pPr>
            <w:r>
              <w:rPr>
                <w:b w:val="0"/>
                <w:color w:val="000000"/>
                <w:sz w:val="16"/>
              </w:rPr>
              <w:t xml:space="preserve">0.712</w:t>
            </w:r>
          </w:p>
        </w:tc>
        <w:tc>
          <w:tcPr/>
          <w:p>
            <w:pPr>
              <w:pStyle w:val="Compact"/>
              <w:spacing w:before="0" w:after="0" w:line="240" w:lineRule="auto"/>
              <w:jc w:val="right"/>
            </w:pPr>
            <w:r>
              <w:rPr>
                <w:b w:val="0"/>
                <w:color w:val="000000"/>
                <w:sz w:val="16"/>
              </w:rPr>
              <w:t xml:space="preserve">0.507</w:t>
            </w:r>
          </w:p>
        </w:tc>
        <w:tc>
          <w:tcPr/>
          <w:p>
            <w:pPr>
              <w:pStyle w:val="Compact"/>
              <w:spacing w:before="0" w:after="0" w:line="240" w:lineRule="auto"/>
              <w:jc w:val="right"/>
            </w:pPr>
            <w:r>
              <w:rPr>
                <w:b w:val="0"/>
                <w:color w:val="000000"/>
                <w:sz w:val="16"/>
              </w:rPr>
              <w:t xml:space="preserve">0.355</w:t>
            </w:r>
          </w:p>
        </w:tc>
        <w:tc>
          <w:tcPr/>
          <w:p>
            <w:pPr>
              <w:pStyle w:val="Compact"/>
              <w:spacing w:before="0" w:after="0" w:line="240" w:lineRule="auto"/>
              <w:jc w:val="right"/>
            </w:pPr>
            <w:r>
              <w:rPr>
                <w:b w:val="0"/>
                <w:color w:val="000000"/>
                <w:sz w:val="16"/>
              </w:rPr>
              <w:t xml:space="preserve">0.070</w:t>
            </w:r>
          </w:p>
        </w:tc>
      </w:tr>
      <w:tr>
        <w:tc>
          <w:tcPr/>
          <w:p>
            <w:pPr>
              <w:pStyle w:val="Compact"/>
              <w:spacing w:before="0" w:after="0" w:line="240" w:lineRule="auto"/>
            </w:pPr>
            <w:r>
              <w:rPr>
                <w:b w:val="0"/>
                <w:color w:val="000000"/>
                <w:sz w:val="16"/>
              </w:rPr>
              <w:t xml:space="preserve">Excluding 2024 (five predictors, 1992–2023)⁵</w:t>
            </w:r>
          </w:p>
        </w:tc>
        <w:tc>
          <w:tcPr/>
          <w:p>
            <w:pPr>
              <w:pStyle w:val="Compact"/>
              <w:spacing w:before="0" w:after="0" w:line="240" w:lineRule="auto"/>
              <w:jc w:val="right"/>
            </w:pPr>
            <w:r>
              <w:rPr>
                <w:b w:val="0"/>
                <w:color w:val="000000"/>
                <w:sz w:val="16"/>
              </w:rPr>
              <w:t xml:space="preserve">0.797</w:t>
            </w:r>
          </w:p>
        </w:tc>
        <w:tc>
          <w:tcPr/>
          <w:p>
            <w:pPr>
              <w:pStyle w:val="Compact"/>
              <w:spacing w:before="0" w:after="0" w:line="240" w:lineRule="auto"/>
              <w:jc w:val="right"/>
            </w:pPr>
            <w:r>
              <w:rPr>
                <w:b w:val="0"/>
                <w:color w:val="000000"/>
                <w:sz w:val="16"/>
              </w:rPr>
              <w:t xml:space="preserve">0.634</w:t>
            </w:r>
          </w:p>
        </w:tc>
        <w:tc>
          <w:tcPr/>
          <w:p>
            <w:pPr>
              <w:pStyle w:val="Compact"/>
              <w:spacing w:before="0" w:after="0" w:line="240" w:lineRule="auto"/>
              <w:jc w:val="right"/>
            </w:pPr>
            <w:r>
              <w:rPr>
                <w:b w:val="0"/>
                <w:color w:val="000000"/>
                <w:sz w:val="16"/>
              </w:rPr>
              <w:t xml:space="preserve">0.478</w:t>
            </w:r>
          </w:p>
        </w:tc>
        <w:tc>
          <w:tcPr/>
          <w:p>
            <w:pPr>
              <w:pStyle w:val="Compact"/>
              <w:spacing w:before="0" w:after="0" w:line="240" w:lineRule="auto"/>
              <w:jc w:val="right"/>
            </w:pPr>
            <w:r>
              <w:rPr>
                <w:b w:val="0"/>
                <w:color w:val="000000"/>
                <w:sz w:val="16"/>
              </w:rPr>
              <w:t xml:space="preserve">0.053</w:t>
            </w:r>
          </w:p>
        </w:tc>
      </w:tr>
    </w:tbl>
    <w:p>
      <w:pPr>
        <w:pStyle w:val="BodyText"/>
        <w:spacing w:before="40" w:after="200" w:line="240" w:lineRule="auto"/>
        <w:rPr>
          <w:sz w:val="22"/>
        </w:rPr>
      </w:pPr>
      <w:r>
        <w:rPr>
          <w:b/>
          <w:bCs/>
          <w:sz w:val="22"/>
        </w:rPr>
        <w:t xml:space="preserve">Footnotes.</w:t>
      </w:r>
      <w:r>
        <w:rPr>
          <w:sz w:val="22"/>
        </w:rPr>
        <w:t xml:space="preserve"> </w:t>
      </w:r>
      <w:r>
        <w:rPr>
          <w:sz w:val="22"/>
        </w:rPr>
        <w:t xml:space="preserve">¹Confidence intervals are derived from the OLS residual variance and the</w:t>
      </w:r>
      <w:r>
        <w:rPr>
          <w:sz w:val="22"/>
        </w:rPr>
        <w:t xml:space="preserve"> </w:t>
      </w:r>
      <m:oMath>
        <m:sSup>
          <m:e>
            <m:d>
              <m:dPr>
                <m:begChr m:val="("/>
                <m:sepChr m:val=""/>
                <m:endChr m:val=")"/>
                <m:grow/>
              </m:dPr>
              <m:e>
                <m:sSup>
                  <m:e>
                    <m:r>
                      <m:t>X</m:t>
                    </m:r>
                  </m:e>
                  <m:sup>
                    <m:r>
                      <m:rPr>
                        <m:sty m:val="p"/>
                      </m:rPr>
                      <m:t>⊤</m:t>
                    </m:r>
                  </m:sup>
                </m:sSup>
                <m:r>
                  <m:t>X</m:t>
                </m:r>
              </m:e>
            </m:d>
          </m:e>
          <m:sup>
            <m:r>
              <m:rPr>
                <m:sty m:val="p"/>
              </m:rPr>
              <m:t>−</m:t>
            </m:r>
            <m:r>
              <m:t>1</m:t>
            </m:r>
          </m:sup>
        </m:sSup>
      </m:oMath>
      <w:r>
        <w:rPr>
          <w:sz w:val="22"/>
        </w:rPr>
        <w:t xml:space="preserve"> </w:t>
      </w:r>
      <w:r>
        <w:rPr>
          <w:sz w:val="22"/>
        </w:rPr>
        <w:t xml:space="preserve">covariance matrix; the critical value is</w:t>
      </w:r>
      <w:r>
        <w:rPr>
          <w:sz w:val="22"/>
        </w:rPr>
        <w:t xml:space="preserve"> </w:t>
      </w:r>
      <m:oMath>
        <m:sSub>
          <m:e>
            <m:r>
              <m:t>t</m:t>
            </m:r>
          </m:e>
          <m:sub>
            <m:r>
              <m:t>0.975</m:t>
            </m:r>
            <m:r>
              <m:rPr>
                <m:sty m:val="p"/>
              </m:rPr>
              <m:t>,</m:t>
            </m:r>
            <m:r>
              <m:t> </m:t>
            </m:r>
            <m:r>
              <m:t>27</m:t>
            </m:r>
          </m:sub>
        </m:sSub>
      </m:oMath>
      <w:r>
        <w:rPr>
          <w:sz w:val="22"/>
        </w:rPr>
        <w:t xml:space="preserve">. ²The permutation test randomly shuffles the target variable 10,000 times and refits the model each time to obtain a null</w:t>
      </w:r>
      <w:r>
        <w:rPr>
          <w:sz w:val="22"/>
        </w:rPr>
        <w:t xml:space="preserve"> </w:t>
      </w:r>
      <m:oMath>
        <m:sSup>
          <m:e>
            <m:r>
              <m:t>R</m:t>
            </m:r>
          </m:e>
          <m:sup>
            <m:r>
              <m:t>2</m:t>
            </m:r>
          </m:sup>
        </m:sSup>
      </m:oMath>
      <w:r>
        <w:rPr>
          <w:sz w:val="22"/>
        </w:rPr>
        <w:t xml:space="preserve"> </w:t>
      </w:r>
      <w:r>
        <w:rPr>
          <w:sz w:val="22"/>
        </w:rPr>
        <w:t xml:space="preserve">distribution; the reported</w:t>
      </w:r>
      <w:r>
        <w:rPr>
          <w:sz w:val="22"/>
        </w:rPr>
        <w:t xml:space="preserve"> </w:t>
      </w:r>
      <m:oMath>
        <m:r>
          <m:t>p</m:t>
        </m:r>
      </m:oMath>
      <w:r>
        <w:rPr>
          <w:sz w:val="22"/>
        </w:rPr>
        <w:t xml:space="preserve">-value is the fraction of null</w:t>
      </w:r>
      <w:r>
        <w:rPr>
          <w:sz w:val="22"/>
        </w:rPr>
        <w:t xml:space="preserve"> </w:t>
      </w:r>
      <m:oMath>
        <m:sSup>
          <m:e>
            <m:r>
              <m:t>R</m:t>
            </m:r>
          </m:e>
          <m:sup>
            <m:r>
              <m:t>2</m:t>
            </m:r>
          </m:sup>
        </m:sSup>
      </m:oMath>
      <w:r>
        <w:rPr>
          <w:sz w:val="22"/>
        </w:rPr>
        <w:t xml:space="preserve"> </w:t>
      </w:r>
      <w:r>
        <w:rPr>
          <w:sz w:val="22"/>
        </w:rPr>
        <w:t xml:space="preserve">values exceeding the observed</w:t>
      </w:r>
      <w:r>
        <w:rPr>
          <w:sz w:val="22"/>
        </w:rPr>
        <w:t xml:space="preserve"> </w:t>
      </w:r>
      <m:oMath>
        <m:sSup>
          <m:e>
            <m:r>
              <m:t>R</m:t>
            </m:r>
          </m:e>
          <m:sup>
            <m:r>
              <m:t>2</m:t>
            </m:r>
          </m:sup>
        </m:sSup>
      </m:oMath>
      <w:r>
        <w:rPr>
          <w:sz w:val="22"/>
        </w:rPr>
        <w:t xml:space="preserve">. ³Cook’s distance threshold of</w:t>
      </w:r>
      <w:r>
        <w:rPr>
          <w:sz w:val="22"/>
        </w:rPr>
        <w:t xml:space="preserve"> </w:t>
      </w:r>
      <m:oMath>
        <m:r>
          <m:t>4</m:t>
        </m:r>
        <m:r>
          <m:rPr>
            <m:sty m:val="p"/>
          </m:rPr>
          <m:t>/</m:t>
        </m:r>
        <m:r>
          <m:t>n</m:t>
        </m:r>
      </m:oMath>
      <w:r>
        <w:rPr>
          <w:sz w:val="22"/>
        </w:rPr>
        <w:t xml:space="preserve"> </w:t>
      </w:r>
      <w:r>
        <w:rPr>
          <w:sz w:val="22"/>
        </w:rPr>
        <w:t xml:space="preserve">(= 0.121 for</w:t>
      </w:r>
      <w:r>
        <w:rPr>
          <w:sz w:val="22"/>
        </w:rPr>
        <w:t xml:space="preserve"> </w:t>
      </w:r>
      <m:oMath>
        <m:r>
          <m:t>n</m:t>
        </m:r>
      </m:oMath>
      <w:r>
        <w:rPr>
          <w:sz w:val="22"/>
        </w:rPr>
        <w:t xml:space="preserve"> </w:t>
      </w:r>
      <w:r>
        <w:rPr>
          <w:sz w:val="22"/>
        </w:rPr>
        <w:t xml:space="preserve">= 33) identifies observations with disproportionate leverage on the fitted coefficients. ⁴The</w:t>
      </w:r>
      <w:r>
        <w:rPr>
          <w:sz w:val="22"/>
        </w:rPr>
        <w:t xml:space="preserve"> </w:t>
      </w:r>
      <w:r>
        <w:rPr>
          <w:sz w:val="22"/>
        </w:rPr>
        <w:t xml:space="preserve">“coverage-only”</w:t>
      </w:r>
      <w:r>
        <w:rPr>
          <w:sz w:val="22"/>
        </w:rPr>
        <w:t xml:space="preserve"> </w:t>
      </w:r>
      <w:r>
        <w:rPr>
          <w:sz w:val="22"/>
        </w:rPr>
        <w:t xml:space="preserve">experiment removes the seven-year CO₂ anomaly predictor, retaining only the four network-coverage terms; the resulting drop in LOO</w:t>
      </w:r>
      <w:r>
        <w:rPr>
          <w:sz w:val="22"/>
        </w:rPr>
        <w:t xml:space="preserve"> </w:t>
      </w:r>
      <m:oMath>
        <m:sSup>
          <m:e>
            <m:r>
              <m:t>R</m:t>
            </m:r>
          </m:e>
          <m:sup>
            <m:r>
              <m:t>2</m:t>
            </m:r>
          </m:sup>
        </m:sSup>
      </m:oMath>
      <w:r>
        <w:rPr>
          <w:sz w:val="22"/>
        </w:rPr>
        <w:t xml:space="preserve"> </w:t>
      </w:r>
      <w:r>
        <w:rPr>
          <w:sz w:val="22"/>
        </w:rPr>
        <w:t xml:space="preserve">(0.588 to 0.355) confirms that the anomaly predictor contributes independent explanatory power. ⁵The</w:t>
      </w:r>
      <w:r>
        <w:rPr>
          <w:sz w:val="22"/>
        </w:rPr>
        <w:t xml:space="preserve"> </w:t>
      </w:r>
      <w:r>
        <w:rPr>
          <w:sz w:val="22"/>
        </w:rPr>
        <w:t xml:space="preserve">“excluding 2024”</w:t>
      </w:r>
      <w:r>
        <w:rPr>
          <w:sz w:val="22"/>
        </w:rPr>
        <w:t xml:space="preserve"> </w:t>
      </w:r>
      <w:r>
        <w:rPr>
          <w:sz w:val="22"/>
        </w:rPr>
        <w:t xml:space="preserve">experiment drops the most recent (and most anomalous) year to test whether a single influential endpoint drives the fit. ⁶The main text reports LOO</w:t>
      </w:r>
      <w:r>
        <w:rPr>
          <w:sz w:val="22"/>
        </w:rPr>
        <w:t xml:space="preserve"> </w:t>
      </w:r>
      <m:oMath>
        <m:sSup>
          <m:e>
            <m:r>
              <m:t>R</m:t>
            </m:r>
          </m:e>
          <m:sup>
            <m:r>
              <m:t>2</m:t>
            </m:r>
          </m:sup>
        </m:sSup>
      </m:oMath>
      <w:r>
        <w:rPr>
          <w:sz w:val="22"/>
        </w:rPr>
        <w:t xml:space="preserve"> </w:t>
      </w:r>
      <w:r>
        <w:rPr>
          <w:sz w:val="22"/>
        </w:rPr>
        <w:t xml:space="preserve">= 0.635 for the full 34-year sample (1991–2024); the baseline value of 0.588 in this table reflects the 33-year subsample (1992–2024) after excluding 1991 for the lagged predictor requirement. ⁷Upper 95% CI bounds shown as</w:t>
      </w:r>
      <w:r>
        <w:rPr>
          <w:sz w:val="22"/>
        </w:rPr>
        <w:t xml:space="preserve"> </w:t>
      </w:r>
      <w:r>
        <w:rPr>
          <w:sz w:val="22"/>
        </w:rPr>
        <w:t xml:space="preserve">“0.0000”</w:t>
      </w:r>
      <w:r>
        <w:rPr>
          <w:sz w:val="22"/>
        </w:rPr>
        <w:t xml:space="preserve"> </w:t>
      </w:r>
      <w:r>
        <w:rPr>
          <w:sz w:val="22"/>
        </w:rPr>
        <w:t xml:space="preserve">for the</w:t>
      </w:r>
      <w:r>
        <w:rPr>
          <w:sz w:val="22"/>
        </w:rPr>
        <w:t xml:space="preserve"> </w:t>
      </w:r>
      <w:r>
        <w:rPr>
          <w:sz w:val="22"/>
        </w:rPr>
        <w:t xml:space="preserve">“Edge fixed-site observation count”</w:t>
      </w:r>
      <w:r>
        <w:rPr>
          <w:sz w:val="22"/>
        </w:rPr>
        <w:t xml:space="preserve"> </w:t>
      </w:r>
      <w:r>
        <w:rPr>
          <w:sz w:val="22"/>
        </w:rPr>
        <w:t xml:space="preserve">and</w:t>
      </w:r>
      <w:r>
        <w:rPr>
          <w:sz w:val="22"/>
        </w:rPr>
        <w:t xml:space="preserve"> </w:t>
      </w:r>
      <w:r>
        <w:rPr>
          <w:sz w:val="22"/>
        </w:rPr>
        <w:t xml:space="preserve">“Year-to-year observation change”</w:t>
      </w:r>
      <w:r>
        <w:rPr>
          <w:sz w:val="22"/>
        </w:rPr>
        <w:t xml:space="preserve"> </w:t>
      </w:r>
      <w:r>
        <w:rPr>
          <w:sz w:val="22"/>
        </w:rPr>
        <w:t xml:space="preserve">coefficients result from rounding to four decimal places; the unrounded magnitudes are below</w:t>
      </w:r>
      <w:r>
        <w:rPr>
          <w:sz w:val="22"/>
        </w:rPr>
        <w:t xml:space="preserve"> </w:t>
      </w:r>
      <m:oMath>
        <m:r>
          <m:t>5</m:t>
        </m:r>
        <m:r>
          <m:rPr>
            <m:sty m:val="p"/>
          </m:rPr>
          <m:t>×</m:t>
        </m:r>
        <m:sSup>
          <m:e>
            <m:r>
              <m:t>10</m:t>
            </m:r>
          </m:e>
          <m:sup>
            <m:r>
              <m:rPr>
                <m:sty m:val="p"/>
              </m:rPr>
              <m:t>−</m:t>
            </m:r>
            <m:r>
              <m:t>5</m:t>
            </m:r>
          </m:sup>
        </m:sSup>
      </m:oMath>
      <w:r>
        <w:rPr>
          <w:sz w:val="22"/>
        </w:rPr>
        <w:t xml:space="preserve"> </w:t>
      </w:r>
      <w:r>
        <w:rPr>
          <w:sz w:val="22"/>
        </w:rPr>
        <w:t xml:space="preserve">ppm yr⁻¹ per unit predictor, and the sign of the upper bound is not resolved at this precision.</w:t>
      </w:r>
    </w:p>
    <w:bookmarkEnd w:id="56"/>
    <w:bookmarkStart w:id="57" w:name="supplementary-table-s3"/>
    <w:p>
      <w:pPr>
        <w:pStyle w:val="Heading2"/>
        <w:spacing w:before="160" w:after="80" w:line="240" w:lineRule="auto"/>
      </w:pPr>
      <w:r>
        <w:t xml:space="preserve">Supplementary Table S3</w:t>
      </w:r>
    </w:p>
    <w:p>
      <w:pPr>
        <w:pStyle w:val="FirstParagraph"/>
        <w:spacing w:before="40" w:after="200" w:line="240" w:lineRule="auto"/>
        <w:rPr>
          <w:sz w:val="22"/>
        </w:rPr>
      </w:pPr>
      <w:r>
        <w:rPr>
          <w:b/>
          <w:bCs/>
          <w:sz w:val="22"/>
        </w:rPr>
        <w:t xml:space="preserve">Supplementary Table S3 | OCO-2, GOSAT, and satellite-mean growth-rate and carbon-budget comparison, 2015–2024.</w:t>
      </w:r>
    </w:p>
    <w:p>
      <w:pPr>
        <w:pStyle w:val="BodyText"/>
        <w:spacing w:before="40" w:after="200" w:line="240" w:lineRule="auto"/>
        <w:rPr>
          <w:sz w:val="22"/>
        </w:rPr>
      </w:pPr>
      <w:r>
        <w:rPr>
          <w:b/>
          <w:bCs/>
          <w:sz w:val="22"/>
        </w:rPr>
        <w:t xml:space="preserve">(a) Annual atmospheric CO₂ growth rates (ppm yr⁻¹).</w:t>
      </w:r>
      <w:r>
        <w:rPr>
          <w:sz w:val="22"/>
        </w:rPr>
        <w:t xml:space="preserve"> </w:t>
      </w:r>
      <w:r>
        <w:rPr>
          <w:sz w:val="22"/>
        </w:rPr>
        <w:t xml:space="preserve">Uncertainties are 1σ except for the inversion column, which reports the median with the interquartile range [Q1, Q3] across the six in situ inversions (CarboScope, NISMON-insitu, CT-NOAA, CTE, MIROC, UoE). The OCO-2/GOSAT mean is the arithmetic mean of the two satellite growth-rate estimates; its 1σ uncertainty is propagated from the individual product 1σ uncertainties assuming independent product-level errors.</w:t>
      </w:r>
    </w:p>
    <w:tbl>
      <w:tblPr>
        <w:tblStyle w:val="Table"/>
        <w:jc w:val="center"/>
        <w:tblLayout w:type="fixed"/>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1320"/>
        <w:gridCol w:w="1320"/>
        <w:gridCol w:w="1320"/>
        <w:gridCol w:w="1320"/>
        <w:gridCol w:w="1320"/>
        <w:gridCol w:w="132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Year</w:t>
            </w:r>
          </w:p>
        </w:tc>
        <w:tc>
          <w:tcPr>
            <w:tcBorders>
              <w:bottom w:val="single" w:sz="6" w:color="000000"/>
            </w:tcBorders>
          </w:tcPr>
          <w:p>
            <w:pPr>
              <w:pStyle w:val="Compact"/>
              <w:spacing w:before="20" w:after="20" w:line="240" w:lineRule="auto"/>
              <w:jc w:val="left"/>
            </w:pPr>
            <w:r>
              <w:rPr>
                <w:b/>
                <w:color w:val="000000"/>
                <w:sz w:val="16"/>
              </w:rPr>
              <w:t xml:space="preserve">Inversion (median [Q1, Q3])</w:t>
            </w:r>
          </w:p>
        </w:tc>
        <w:tc>
          <w:tcPr>
            <w:tcBorders>
              <w:bottom w:val="single" w:sz="6" w:color="000000"/>
            </w:tcBorders>
          </w:tcPr>
          <w:p>
            <w:pPr>
              <w:pStyle w:val="Compact"/>
              <w:spacing w:before="20" w:after="20" w:line="240" w:lineRule="auto"/>
              <w:jc w:val="left"/>
            </w:pPr>
            <w:r>
              <w:rPr>
                <w:b/>
                <w:color w:val="000000"/>
                <w:sz w:val="16"/>
              </w:rPr>
              <w:t xml:space="preserve">NOAA</w:t>
            </w:r>
          </w:p>
        </w:tc>
        <w:tc>
          <w:tcPr>
            <w:tcBorders>
              <w:bottom w:val="single" w:sz="6" w:color="000000"/>
            </w:tcBorders>
          </w:tcPr>
          <w:p>
            <w:pPr>
              <w:pStyle w:val="Compact"/>
              <w:spacing w:before="20" w:after="20" w:line="240" w:lineRule="auto"/>
              <w:jc w:val="left"/>
            </w:pPr>
            <w:r>
              <w:rPr>
                <w:b/>
                <w:color w:val="000000"/>
                <w:sz w:val="16"/>
              </w:rPr>
              <w:t xml:space="preserve">OCO-2</w:t>
            </w:r>
          </w:p>
        </w:tc>
        <w:tc>
          <w:tcPr>
            <w:tcBorders>
              <w:bottom w:val="single" w:sz="6" w:color="000000"/>
            </w:tcBorders>
          </w:tcPr>
          <w:p>
            <w:pPr>
              <w:pStyle w:val="Compact"/>
              <w:spacing w:before="20" w:after="20" w:line="240" w:lineRule="auto"/>
              <w:jc w:val="left"/>
            </w:pPr>
            <w:r>
              <w:rPr>
                <w:b/>
                <w:color w:val="000000"/>
                <w:sz w:val="16"/>
              </w:rPr>
              <w:t xml:space="preserve">GOSAT</w:t>
            </w:r>
          </w:p>
        </w:tc>
        <w:tc>
          <w:tcPr>
            <w:tcBorders>
              <w:bottom w:val="single" w:sz="6" w:color="000000"/>
            </w:tcBorders>
          </w:tcPr>
          <w:p>
            <w:pPr>
              <w:pStyle w:val="Compact"/>
              <w:spacing w:before="20" w:after="20" w:line="240" w:lineRule="auto"/>
              <w:jc w:val="left"/>
            </w:pPr>
            <w:r>
              <w:rPr>
                <w:b/>
                <w:color w:val="000000"/>
                <w:sz w:val="16"/>
              </w:rPr>
              <w:t xml:space="preserve">OCO-2/GOSAT mean</w:t>
            </w:r>
          </w:p>
        </w:tc>
      </w:tr>
      <w:tr>
        <w:tc>
          <w:tcPr/>
          <w:p>
            <w:pPr>
              <w:pStyle w:val="Compact"/>
              <w:spacing w:before="0" w:after="0" w:line="240" w:lineRule="auto"/>
              <w:jc w:val="right"/>
            </w:pPr>
            <w:r>
              <w:rPr>
                <w:b w:val="0"/>
                <w:color w:val="000000"/>
                <w:sz w:val="16"/>
              </w:rPr>
              <w:t xml:space="preserve">2015</w:t>
            </w:r>
          </w:p>
        </w:tc>
        <w:tc>
          <w:tcPr/>
          <w:p>
            <w:pPr>
              <w:pStyle w:val="Compact"/>
              <w:spacing w:before="0" w:after="0" w:line="240" w:lineRule="auto"/>
              <w:jc w:val="right"/>
            </w:pPr>
            <w:r>
              <w:rPr>
                <w:b w:val="0"/>
                <w:color w:val="000000"/>
                <w:sz w:val="16"/>
              </w:rPr>
              <w:t xml:space="preserve">2.92 [2.87, 2.98]</w:t>
            </w:r>
          </w:p>
        </w:tc>
        <w:tc>
          <w:tcPr/>
          <w:p>
            <w:pPr>
              <w:pStyle w:val="Compact"/>
              <w:spacing w:before="0" w:after="0" w:line="240" w:lineRule="auto"/>
              <w:jc w:val="right"/>
            </w:pPr>
            <w:r>
              <w:rPr>
                <w:b w:val="0"/>
                <w:color w:val="000000"/>
                <w:sz w:val="16"/>
              </w:rPr>
              <w:t xml:space="preserve">2.95 ± 0.07</w:t>
            </w:r>
          </w:p>
        </w:tc>
        <w:tc>
          <w:tcPr/>
          <w:p>
            <w:pPr>
              <w:pStyle w:val="Compact"/>
              <w:spacing w:before="0" w:after="0" w:line="240" w:lineRule="auto"/>
              <w:jc w:val="right"/>
            </w:pPr>
            <w:r>
              <w:rPr>
                <w:b w:val="0"/>
                <w:color w:val="000000"/>
                <w:sz w:val="16"/>
              </w:rPr>
              <w:t xml:space="preserve">3.00 ± 0.08</w:t>
            </w:r>
          </w:p>
        </w:tc>
        <w:tc>
          <w:tcPr/>
          <w:p>
            <w:pPr>
              <w:pStyle w:val="Compact"/>
              <w:spacing w:before="0" w:after="0" w:line="240" w:lineRule="auto"/>
              <w:jc w:val="right"/>
            </w:pPr>
            <w:r>
              <w:rPr>
                <w:b w:val="0"/>
                <w:color w:val="000000"/>
                <w:sz w:val="16"/>
              </w:rPr>
              <w:t xml:space="preserve">2.81 ± 0.10</w:t>
            </w:r>
          </w:p>
        </w:tc>
        <w:tc>
          <w:tcPr/>
          <w:p>
            <w:pPr>
              <w:pStyle w:val="Compact"/>
              <w:spacing w:before="0" w:after="0" w:line="240" w:lineRule="auto"/>
              <w:jc w:val="right"/>
            </w:pPr>
            <w:r>
              <w:rPr>
                <w:b w:val="0"/>
                <w:color w:val="000000"/>
                <w:sz w:val="16"/>
              </w:rPr>
              <w:t xml:space="preserve">2.91 ± 0.06</w:t>
            </w:r>
          </w:p>
        </w:tc>
      </w:tr>
      <w:tr>
        <w:tc>
          <w:tcPr/>
          <w:p>
            <w:pPr>
              <w:pStyle w:val="Compact"/>
              <w:spacing w:before="0" w:after="0" w:line="240" w:lineRule="auto"/>
              <w:jc w:val="right"/>
            </w:pPr>
            <w:r>
              <w:rPr>
                <w:b w:val="0"/>
                <w:color w:val="000000"/>
                <w:sz w:val="16"/>
              </w:rPr>
              <w:t xml:space="preserve">2016</w:t>
            </w:r>
          </w:p>
        </w:tc>
        <w:tc>
          <w:tcPr/>
          <w:p>
            <w:pPr>
              <w:pStyle w:val="Compact"/>
              <w:spacing w:before="0" w:after="0" w:line="240" w:lineRule="auto"/>
              <w:jc w:val="right"/>
            </w:pPr>
            <w:r>
              <w:rPr>
                <w:b w:val="0"/>
                <w:color w:val="000000"/>
                <w:sz w:val="16"/>
              </w:rPr>
              <w:t xml:space="preserve">2.77 [2.73, 2.81]</w:t>
            </w:r>
          </w:p>
        </w:tc>
        <w:tc>
          <w:tcPr/>
          <w:p>
            <w:pPr>
              <w:pStyle w:val="Compact"/>
              <w:spacing w:before="0" w:after="0" w:line="240" w:lineRule="auto"/>
              <w:jc w:val="right"/>
            </w:pPr>
            <w:r>
              <w:rPr>
                <w:b w:val="0"/>
                <w:color w:val="000000"/>
                <w:sz w:val="16"/>
              </w:rPr>
              <w:t xml:space="preserve">2.84 ± 0.09</w:t>
            </w:r>
          </w:p>
        </w:tc>
        <w:tc>
          <w:tcPr/>
          <w:p>
            <w:pPr>
              <w:pStyle w:val="Compact"/>
              <w:spacing w:before="0" w:after="0" w:line="240" w:lineRule="auto"/>
              <w:jc w:val="right"/>
            </w:pPr>
            <w:r>
              <w:rPr>
                <w:b w:val="0"/>
                <w:color w:val="000000"/>
                <w:sz w:val="16"/>
              </w:rPr>
              <w:t xml:space="preserve">2.71 ± 0.08</w:t>
            </w:r>
          </w:p>
        </w:tc>
        <w:tc>
          <w:tcPr/>
          <w:p>
            <w:pPr>
              <w:pStyle w:val="Compact"/>
              <w:spacing w:before="0" w:after="0" w:line="240" w:lineRule="auto"/>
              <w:jc w:val="right"/>
            </w:pPr>
            <w:r>
              <w:rPr>
                <w:b w:val="0"/>
                <w:color w:val="000000"/>
                <w:sz w:val="16"/>
              </w:rPr>
              <w:t xml:space="preserve">2.72 ± 0.08</w:t>
            </w:r>
          </w:p>
        </w:tc>
        <w:tc>
          <w:tcPr/>
          <w:p>
            <w:pPr>
              <w:pStyle w:val="Compact"/>
              <w:spacing w:before="0" w:after="0" w:line="240" w:lineRule="auto"/>
              <w:jc w:val="right"/>
            </w:pPr>
            <w:r>
              <w:rPr>
                <w:b w:val="0"/>
                <w:color w:val="000000"/>
                <w:sz w:val="16"/>
              </w:rPr>
              <w:t xml:space="preserve">2.71 ± 0.06</w:t>
            </w:r>
          </w:p>
        </w:tc>
      </w:tr>
      <w:tr>
        <w:tc>
          <w:tcPr/>
          <w:p>
            <w:pPr>
              <w:pStyle w:val="Compact"/>
              <w:spacing w:before="0" w:after="0" w:line="240" w:lineRule="auto"/>
              <w:jc w:val="right"/>
            </w:pPr>
            <w:r>
              <w:rPr>
                <w:b w:val="0"/>
                <w:color w:val="000000"/>
                <w:sz w:val="16"/>
              </w:rPr>
              <w:t xml:space="preserve">2017</w:t>
            </w:r>
          </w:p>
        </w:tc>
        <w:tc>
          <w:tcPr/>
          <w:p>
            <w:pPr>
              <w:pStyle w:val="Compact"/>
              <w:spacing w:before="0" w:after="0" w:line="240" w:lineRule="auto"/>
              <w:jc w:val="right"/>
            </w:pPr>
            <w:r>
              <w:rPr>
                <w:b w:val="0"/>
                <w:color w:val="000000"/>
                <w:sz w:val="16"/>
              </w:rPr>
              <w:t xml:space="preserve">2.15 [2.13, 2.16]</w:t>
            </w:r>
          </w:p>
        </w:tc>
        <w:tc>
          <w:tcPr/>
          <w:p>
            <w:pPr>
              <w:pStyle w:val="Compact"/>
              <w:spacing w:before="0" w:after="0" w:line="240" w:lineRule="auto"/>
              <w:jc w:val="right"/>
            </w:pPr>
            <w:r>
              <w:rPr>
                <w:b w:val="0"/>
                <w:color w:val="000000"/>
                <w:sz w:val="16"/>
              </w:rPr>
              <w:t xml:space="preserve">2.14 ± 0.10</w:t>
            </w:r>
          </w:p>
        </w:tc>
        <w:tc>
          <w:tcPr/>
          <w:p>
            <w:pPr>
              <w:pStyle w:val="Compact"/>
              <w:spacing w:before="0" w:after="0" w:line="240" w:lineRule="auto"/>
              <w:jc w:val="right"/>
            </w:pPr>
            <w:r>
              <w:rPr>
                <w:b w:val="0"/>
                <w:color w:val="000000"/>
                <w:sz w:val="16"/>
              </w:rPr>
              <w:t xml:space="preserve">2.05 ± 0.09</w:t>
            </w:r>
          </w:p>
        </w:tc>
        <w:tc>
          <w:tcPr/>
          <w:p>
            <w:pPr>
              <w:pStyle w:val="Compact"/>
              <w:spacing w:before="0" w:after="0" w:line="240" w:lineRule="auto"/>
              <w:jc w:val="right"/>
            </w:pPr>
            <w:r>
              <w:rPr>
                <w:b w:val="0"/>
                <w:color w:val="000000"/>
                <w:sz w:val="16"/>
              </w:rPr>
              <w:t xml:space="preserve">2.18 ± 0.08</w:t>
            </w:r>
          </w:p>
        </w:tc>
        <w:tc>
          <w:tcPr/>
          <w:p>
            <w:pPr>
              <w:pStyle w:val="Compact"/>
              <w:spacing w:before="0" w:after="0" w:line="240" w:lineRule="auto"/>
              <w:jc w:val="right"/>
            </w:pPr>
            <w:r>
              <w:rPr>
                <w:b w:val="0"/>
                <w:color w:val="000000"/>
                <w:sz w:val="16"/>
              </w:rPr>
              <w:t xml:space="preserve">2.12 ± 0.06</w:t>
            </w:r>
          </w:p>
        </w:tc>
      </w:tr>
      <w:tr>
        <w:tc>
          <w:tcPr/>
          <w:p>
            <w:pPr>
              <w:pStyle w:val="Compact"/>
              <w:spacing w:before="0" w:after="0" w:line="240" w:lineRule="auto"/>
              <w:jc w:val="right"/>
            </w:pPr>
            <w:r>
              <w:rPr>
                <w:b w:val="0"/>
                <w:color w:val="000000"/>
                <w:sz w:val="16"/>
              </w:rPr>
              <w:t xml:space="preserve">2018</w:t>
            </w:r>
          </w:p>
        </w:tc>
        <w:tc>
          <w:tcPr/>
          <w:p>
            <w:pPr>
              <w:pStyle w:val="Compact"/>
              <w:spacing w:before="0" w:after="0" w:line="240" w:lineRule="auto"/>
              <w:jc w:val="right"/>
            </w:pPr>
            <w:r>
              <w:rPr>
                <w:b w:val="0"/>
                <w:color w:val="000000"/>
                <w:sz w:val="16"/>
              </w:rPr>
              <w:t xml:space="preserve">2.32 [2.28, 2.34]</w:t>
            </w:r>
          </w:p>
        </w:tc>
        <w:tc>
          <w:tcPr/>
          <w:p>
            <w:pPr>
              <w:pStyle w:val="Compact"/>
              <w:spacing w:before="0" w:after="0" w:line="240" w:lineRule="auto"/>
              <w:jc w:val="right"/>
            </w:pPr>
            <w:r>
              <w:rPr>
                <w:b w:val="0"/>
                <w:color w:val="000000"/>
                <w:sz w:val="16"/>
              </w:rPr>
              <w:t xml:space="preserve">2.39 ± 0.09</w:t>
            </w:r>
          </w:p>
        </w:tc>
        <w:tc>
          <w:tcPr/>
          <w:p>
            <w:pPr>
              <w:pStyle w:val="Compact"/>
              <w:spacing w:before="0" w:after="0" w:line="240" w:lineRule="auto"/>
              <w:jc w:val="right"/>
            </w:pPr>
            <w:r>
              <w:rPr>
                <w:b w:val="0"/>
                <w:color w:val="000000"/>
                <w:sz w:val="16"/>
              </w:rPr>
              <w:t xml:space="preserve">2.47 ± 0.11</w:t>
            </w:r>
          </w:p>
        </w:tc>
        <w:tc>
          <w:tcPr/>
          <w:p>
            <w:pPr>
              <w:pStyle w:val="Compact"/>
              <w:spacing w:before="0" w:after="0" w:line="240" w:lineRule="auto"/>
              <w:jc w:val="right"/>
            </w:pPr>
            <w:r>
              <w:rPr>
                <w:b w:val="0"/>
                <w:color w:val="000000"/>
                <w:sz w:val="16"/>
              </w:rPr>
              <w:t xml:space="preserve">2.44 ± 0.10</w:t>
            </w:r>
          </w:p>
        </w:tc>
        <w:tc>
          <w:tcPr/>
          <w:p>
            <w:pPr>
              <w:pStyle w:val="Compact"/>
              <w:spacing w:before="0" w:after="0" w:line="240" w:lineRule="auto"/>
              <w:jc w:val="right"/>
            </w:pPr>
            <w:r>
              <w:rPr>
                <w:b w:val="0"/>
                <w:color w:val="000000"/>
                <w:sz w:val="16"/>
              </w:rPr>
              <w:t xml:space="preserve">2.46 ± 0.07</w:t>
            </w:r>
          </w:p>
        </w:tc>
      </w:tr>
      <w:tr>
        <w:tc>
          <w:tcPr/>
          <w:p>
            <w:pPr>
              <w:pStyle w:val="Compact"/>
              <w:spacing w:before="0" w:after="0" w:line="240" w:lineRule="auto"/>
              <w:jc w:val="right"/>
            </w:pPr>
            <w:r>
              <w:rPr>
                <w:b w:val="0"/>
                <w:color w:val="000000"/>
                <w:sz w:val="16"/>
              </w:rPr>
              <w:t xml:space="preserve">2019</w:t>
            </w:r>
          </w:p>
        </w:tc>
        <w:tc>
          <w:tcPr/>
          <w:p>
            <w:pPr>
              <w:pStyle w:val="Compact"/>
              <w:spacing w:before="0" w:after="0" w:line="240" w:lineRule="auto"/>
              <w:jc w:val="right"/>
            </w:pPr>
            <w:r>
              <w:rPr>
                <w:b w:val="0"/>
                <w:color w:val="000000"/>
                <w:sz w:val="16"/>
              </w:rPr>
              <w:t xml:space="preserve">2.74 [2.68, 2.79]</w:t>
            </w:r>
          </w:p>
        </w:tc>
        <w:tc>
          <w:tcPr/>
          <w:p>
            <w:pPr>
              <w:pStyle w:val="Compact"/>
              <w:spacing w:before="0" w:after="0" w:line="240" w:lineRule="auto"/>
              <w:jc w:val="right"/>
            </w:pPr>
            <w:r>
              <w:rPr>
                <w:b w:val="0"/>
                <w:color w:val="000000"/>
                <w:sz w:val="16"/>
              </w:rPr>
              <w:t xml:space="preserve">2.50 ± 0.06</w:t>
            </w:r>
          </w:p>
        </w:tc>
        <w:tc>
          <w:tcPr/>
          <w:p>
            <w:pPr>
              <w:pStyle w:val="Compact"/>
              <w:spacing w:before="0" w:after="0" w:line="240" w:lineRule="auto"/>
              <w:jc w:val="right"/>
            </w:pPr>
            <w:r>
              <w:rPr>
                <w:b w:val="0"/>
                <w:color w:val="000000"/>
                <w:sz w:val="16"/>
              </w:rPr>
              <w:t xml:space="preserve">2.75 ± 0.11</w:t>
            </w:r>
          </w:p>
        </w:tc>
        <w:tc>
          <w:tcPr/>
          <w:p>
            <w:pPr>
              <w:pStyle w:val="Compact"/>
              <w:spacing w:before="0" w:after="0" w:line="240" w:lineRule="auto"/>
              <w:jc w:val="right"/>
            </w:pPr>
            <w:r>
              <w:rPr>
                <w:b w:val="0"/>
                <w:color w:val="000000"/>
                <w:sz w:val="16"/>
              </w:rPr>
              <w:t xml:space="preserve">2.76 ± 0.10</w:t>
            </w:r>
          </w:p>
        </w:tc>
        <w:tc>
          <w:tcPr/>
          <w:p>
            <w:pPr>
              <w:pStyle w:val="Compact"/>
              <w:spacing w:before="0" w:after="0" w:line="240" w:lineRule="auto"/>
              <w:jc w:val="right"/>
            </w:pPr>
            <w:r>
              <w:rPr>
                <w:b w:val="0"/>
                <w:color w:val="000000"/>
                <w:sz w:val="16"/>
              </w:rPr>
              <w:t xml:space="preserve">2.75 ± 0.07</w:t>
            </w:r>
          </w:p>
        </w:tc>
      </w:tr>
      <w:tr>
        <w:tc>
          <w:tcPr/>
          <w:p>
            <w:pPr>
              <w:pStyle w:val="Compact"/>
              <w:spacing w:before="0" w:after="0" w:line="240" w:lineRule="auto"/>
              <w:jc w:val="right"/>
            </w:pPr>
            <w:r>
              <w:rPr>
                <w:b w:val="0"/>
                <w:color w:val="000000"/>
                <w:sz w:val="16"/>
              </w:rPr>
              <w:t xml:space="preserve">2020</w:t>
            </w:r>
          </w:p>
        </w:tc>
        <w:tc>
          <w:tcPr/>
          <w:p>
            <w:pPr>
              <w:pStyle w:val="Compact"/>
              <w:spacing w:before="0" w:after="0" w:line="240" w:lineRule="auto"/>
              <w:jc w:val="right"/>
            </w:pPr>
            <w:r>
              <w:rPr>
                <w:b w:val="0"/>
                <w:color w:val="000000"/>
                <w:sz w:val="16"/>
              </w:rPr>
              <w:t xml:space="preserve">2.40 [2.35, 2.52]</w:t>
            </w:r>
          </w:p>
        </w:tc>
        <w:tc>
          <w:tcPr/>
          <w:p>
            <w:pPr>
              <w:pStyle w:val="Compact"/>
              <w:spacing w:before="0" w:after="0" w:line="240" w:lineRule="auto"/>
              <w:jc w:val="right"/>
            </w:pPr>
            <w:r>
              <w:rPr>
                <w:b w:val="0"/>
                <w:color w:val="000000"/>
                <w:sz w:val="16"/>
              </w:rPr>
              <w:t xml:space="preserve">2.33 ± 0.08</w:t>
            </w:r>
          </w:p>
        </w:tc>
        <w:tc>
          <w:tcPr/>
          <w:p>
            <w:pPr>
              <w:pStyle w:val="Compact"/>
              <w:spacing w:before="0" w:after="0" w:line="240" w:lineRule="auto"/>
              <w:jc w:val="right"/>
            </w:pPr>
            <w:r>
              <w:rPr>
                <w:b w:val="0"/>
                <w:color w:val="000000"/>
                <w:sz w:val="16"/>
              </w:rPr>
              <w:t xml:space="preserve">2.31 ± 0.11</w:t>
            </w:r>
          </w:p>
        </w:tc>
        <w:tc>
          <w:tcPr/>
          <w:p>
            <w:pPr>
              <w:pStyle w:val="Compact"/>
              <w:spacing w:before="0" w:after="0" w:line="240" w:lineRule="auto"/>
              <w:jc w:val="right"/>
            </w:pPr>
            <w:r>
              <w:rPr>
                <w:b w:val="0"/>
                <w:color w:val="000000"/>
                <w:sz w:val="16"/>
              </w:rPr>
              <w:t xml:space="preserve">2.33 ± 0.08</w:t>
            </w:r>
          </w:p>
        </w:tc>
        <w:tc>
          <w:tcPr/>
          <w:p>
            <w:pPr>
              <w:pStyle w:val="Compact"/>
              <w:spacing w:before="0" w:after="0" w:line="240" w:lineRule="auto"/>
              <w:jc w:val="right"/>
            </w:pPr>
            <w:r>
              <w:rPr>
                <w:b w:val="0"/>
                <w:color w:val="000000"/>
                <w:sz w:val="16"/>
              </w:rPr>
              <w:t xml:space="preserve">2.32 ± 0.07</w:t>
            </w:r>
          </w:p>
        </w:tc>
      </w:tr>
      <w:tr>
        <w:tc>
          <w:tcPr/>
          <w:p>
            <w:pPr>
              <w:pStyle w:val="Compact"/>
              <w:spacing w:before="0" w:after="0" w:line="240" w:lineRule="auto"/>
              <w:jc w:val="right"/>
            </w:pPr>
            <w:r>
              <w:rPr>
                <w:b w:val="0"/>
                <w:color w:val="000000"/>
                <w:sz w:val="16"/>
              </w:rPr>
              <w:t xml:space="preserve">2021</w:t>
            </w:r>
          </w:p>
        </w:tc>
        <w:tc>
          <w:tcPr/>
          <w:p>
            <w:pPr>
              <w:pStyle w:val="Compact"/>
              <w:spacing w:before="0" w:after="0" w:line="240" w:lineRule="auto"/>
              <w:jc w:val="right"/>
            </w:pPr>
            <w:r>
              <w:rPr>
                <w:b w:val="0"/>
                <w:color w:val="000000"/>
                <w:sz w:val="16"/>
              </w:rPr>
              <w:t xml:space="preserve">2.31 [2.25, 2.41]</w:t>
            </w:r>
          </w:p>
        </w:tc>
        <w:tc>
          <w:tcPr/>
          <w:p>
            <w:pPr>
              <w:pStyle w:val="Compact"/>
              <w:spacing w:before="0" w:after="0" w:line="240" w:lineRule="auto"/>
              <w:jc w:val="right"/>
            </w:pPr>
            <w:r>
              <w:rPr>
                <w:b w:val="0"/>
                <w:color w:val="000000"/>
                <w:sz w:val="16"/>
              </w:rPr>
              <w:t xml:space="preserve">2.37 ± 0.07</w:t>
            </w:r>
          </w:p>
        </w:tc>
        <w:tc>
          <w:tcPr/>
          <w:p>
            <w:pPr>
              <w:pStyle w:val="Compact"/>
              <w:spacing w:before="0" w:after="0" w:line="240" w:lineRule="auto"/>
              <w:jc w:val="right"/>
            </w:pPr>
            <w:r>
              <w:rPr>
                <w:b w:val="0"/>
                <w:color w:val="000000"/>
                <w:sz w:val="16"/>
              </w:rPr>
              <w:t xml:space="preserve">2.29 ± 0.10</w:t>
            </w:r>
          </w:p>
        </w:tc>
        <w:tc>
          <w:tcPr/>
          <w:p>
            <w:pPr>
              <w:pStyle w:val="Compact"/>
              <w:spacing w:before="0" w:after="0" w:line="240" w:lineRule="auto"/>
              <w:jc w:val="right"/>
            </w:pPr>
            <w:r>
              <w:rPr>
                <w:b w:val="0"/>
                <w:color w:val="000000"/>
                <w:sz w:val="16"/>
              </w:rPr>
              <w:t xml:space="preserve">2.29 ± 0.09</w:t>
            </w:r>
          </w:p>
        </w:tc>
        <w:tc>
          <w:tcPr/>
          <w:p>
            <w:pPr>
              <w:pStyle w:val="Compact"/>
              <w:spacing w:before="0" w:after="0" w:line="240" w:lineRule="auto"/>
              <w:jc w:val="right"/>
            </w:pPr>
            <w:r>
              <w:rPr>
                <w:b w:val="0"/>
                <w:color w:val="000000"/>
                <w:sz w:val="16"/>
              </w:rPr>
              <w:t xml:space="preserve">2.29 ± 0.07</w:t>
            </w:r>
          </w:p>
        </w:tc>
      </w:tr>
      <w:tr>
        <w:tc>
          <w:tcPr/>
          <w:p>
            <w:pPr>
              <w:pStyle w:val="Compact"/>
              <w:spacing w:before="0" w:after="0" w:line="240" w:lineRule="auto"/>
              <w:jc w:val="right"/>
            </w:pPr>
            <w:r>
              <w:rPr>
                <w:b w:val="0"/>
                <w:color w:val="000000"/>
                <w:sz w:val="16"/>
              </w:rPr>
              <w:t xml:space="preserve">2022</w:t>
            </w:r>
          </w:p>
        </w:tc>
        <w:tc>
          <w:tcPr/>
          <w:p>
            <w:pPr>
              <w:pStyle w:val="Compact"/>
              <w:spacing w:before="0" w:after="0" w:line="240" w:lineRule="auto"/>
              <w:jc w:val="right"/>
            </w:pPr>
            <w:r>
              <w:rPr>
                <w:b w:val="0"/>
                <w:color w:val="000000"/>
                <w:sz w:val="16"/>
              </w:rPr>
              <w:t xml:space="preserve">1.97 [1.96, 2.09]</w:t>
            </w:r>
          </w:p>
        </w:tc>
        <w:tc>
          <w:tcPr/>
          <w:p>
            <w:pPr>
              <w:pStyle w:val="Compact"/>
              <w:spacing w:before="0" w:after="0" w:line="240" w:lineRule="auto"/>
              <w:jc w:val="right"/>
            </w:pPr>
            <w:r>
              <w:rPr>
                <w:b w:val="0"/>
                <w:color w:val="000000"/>
                <w:sz w:val="16"/>
              </w:rPr>
              <w:t xml:space="preserve">2.29 ± 0.12</w:t>
            </w:r>
          </w:p>
        </w:tc>
        <w:tc>
          <w:tcPr/>
          <w:p>
            <w:pPr>
              <w:pStyle w:val="Compact"/>
              <w:spacing w:before="0" w:after="0" w:line="240" w:lineRule="auto"/>
              <w:jc w:val="right"/>
            </w:pPr>
            <w:r>
              <w:rPr>
                <w:b w:val="0"/>
                <w:color w:val="000000"/>
                <w:sz w:val="16"/>
              </w:rPr>
              <w:t xml:space="preserve">1.92 ± 0.06</w:t>
            </w:r>
          </w:p>
        </w:tc>
        <w:tc>
          <w:tcPr/>
          <w:p>
            <w:pPr>
              <w:pStyle w:val="Compact"/>
              <w:spacing w:before="0" w:after="0" w:line="240" w:lineRule="auto"/>
              <w:jc w:val="right"/>
            </w:pPr>
            <w:r>
              <w:rPr>
                <w:b w:val="0"/>
                <w:color w:val="000000"/>
                <w:sz w:val="16"/>
              </w:rPr>
              <w:t xml:space="preserve">1.89 ± 0.09</w:t>
            </w:r>
          </w:p>
        </w:tc>
        <w:tc>
          <w:tcPr/>
          <w:p>
            <w:pPr>
              <w:pStyle w:val="Compact"/>
              <w:spacing w:before="0" w:after="0" w:line="240" w:lineRule="auto"/>
              <w:jc w:val="right"/>
            </w:pPr>
            <w:r>
              <w:rPr>
                <w:b w:val="0"/>
                <w:color w:val="000000"/>
                <w:sz w:val="16"/>
              </w:rPr>
              <w:t xml:space="preserve">1.90 ± 0.05</w:t>
            </w:r>
          </w:p>
        </w:tc>
      </w:tr>
      <w:tr>
        <w:tc>
          <w:tcPr/>
          <w:p>
            <w:pPr>
              <w:pStyle w:val="Compact"/>
              <w:spacing w:before="0" w:after="0" w:line="240" w:lineRule="auto"/>
              <w:jc w:val="right"/>
            </w:pPr>
            <w:r>
              <w:rPr>
                <w:b w:val="0"/>
                <w:color w:val="000000"/>
                <w:sz w:val="16"/>
              </w:rPr>
              <w:t xml:space="preserve">2023</w:t>
            </w:r>
          </w:p>
        </w:tc>
        <w:tc>
          <w:tcPr/>
          <w:p>
            <w:pPr>
              <w:pStyle w:val="Compact"/>
              <w:spacing w:before="0" w:after="0" w:line="240" w:lineRule="auto"/>
              <w:jc w:val="right"/>
            </w:pPr>
            <w:r>
              <w:rPr>
                <w:b w:val="0"/>
                <w:color w:val="000000"/>
                <w:sz w:val="16"/>
              </w:rPr>
              <w:t xml:space="preserve">2.99 [2.85, 3.13]</w:t>
            </w:r>
          </w:p>
        </w:tc>
        <w:tc>
          <w:tcPr/>
          <w:p>
            <w:pPr>
              <w:pStyle w:val="Compact"/>
              <w:spacing w:before="0" w:after="0" w:line="240" w:lineRule="auto"/>
              <w:jc w:val="right"/>
            </w:pPr>
            <w:r>
              <w:rPr>
                <w:b w:val="0"/>
                <w:color w:val="000000"/>
                <w:sz w:val="16"/>
              </w:rPr>
              <w:t xml:space="preserve">2.70 ± 0.16</w:t>
            </w:r>
          </w:p>
        </w:tc>
        <w:tc>
          <w:tcPr/>
          <w:p>
            <w:pPr>
              <w:pStyle w:val="Compact"/>
              <w:spacing w:before="0" w:after="0" w:line="240" w:lineRule="auto"/>
              <w:jc w:val="right"/>
            </w:pPr>
            <w:r>
              <w:rPr>
                <w:b w:val="0"/>
                <w:color w:val="000000"/>
                <w:sz w:val="16"/>
              </w:rPr>
              <w:t xml:space="preserve">3.06 ± 0.07</w:t>
            </w:r>
          </w:p>
        </w:tc>
        <w:tc>
          <w:tcPr/>
          <w:p>
            <w:pPr>
              <w:pStyle w:val="Compact"/>
              <w:spacing w:before="0" w:after="0" w:line="240" w:lineRule="auto"/>
              <w:jc w:val="right"/>
            </w:pPr>
            <w:r>
              <w:rPr>
                <w:b w:val="0"/>
                <w:color w:val="000000"/>
                <w:sz w:val="16"/>
              </w:rPr>
              <w:t xml:space="preserve">3.13 ± 0.08</w:t>
            </w:r>
          </w:p>
        </w:tc>
        <w:tc>
          <w:tcPr/>
          <w:p>
            <w:pPr>
              <w:pStyle w:val="Compact"/>
              <w:spacing w:before="0" w:after="0" w:line="240" w:lineRule="auto"/>
              <w:jc w:val="right"/>
            </w:pPr>
            <w:r>
              <w:rPr>
                <w:b w:val="0"/>
                <w:color w:val="000000"/>
                <w:sz w:val="16"/>
              </w:rPr>
              <w:t xml:space="preserve">3.09 ± 0.05</w:t>
            </w:r>
          </w:p>
        </w:tc>
      </w:tr>
      <w:tr>
        <w:tc>
          <w:tcPr/>
          <w:p>
            <w:pPr>
              <w:pStyle w:val="Compact"/>
              <w:spacing w:before="0" w:after="0" w:line="240" w:lineRule="auto"/>
              <w:jc w:val="right"/>
            </w:pPr>
            <w:r>
              <w:rPr>
                <w:b w:val="0"/>
                <w:color w:val="000000"/>
                <w:sz w:val="16"/>
              </w:rPr>
              <w:t xml:space="preserve">2024</w:t>
            </w:r>
          </w:p>
        </w:tc>
        <w:tc>
          <w:tcPr/>
          <w:p>
            <w:pPr>
              <w:pStyle w:val="Compact"/>
              <w:spacing w:before="0" w:after="0" w:line="240" w:lineRule="auto"/>
              <w:jc w:val="right"/>
            </w:pPr>
            <w:r>
              <w:rPr>
                <w:b w:val="0"/>
                <w:color w:val="000000"/>
                <w:sz w:val="16"/>
              </w:rPr>
              <w:t xml:space="preserve">3.34 [3.18, 3.51]</w:t>
            </w:r>
          </w:p>
        </w:tc>
        <w:tc>
          <w:tcPr/>
          <w:p>
            <w:pPr>
              <w:pStyle w:val="Compact"/>
              <w:spacing w:before="0" w:after="0" w:line="240" w:lineRule="auto"/>
              <w:jc w:val="right"/>
            </w:pPr>
            <w:r>
              <w:rPr>
                <w:b w:val="0"/>
                <w:color w:val="000000"/>
                <w:sz w:val="16"/>
              </w:rPr>
              <w:t xml:space="preserve">3.73 ± 0.09</w:t>
            </w:r>
          </w:p>
        </w:tc>
        <w:tc>
          <w:tcPr/>
          <w:p>
            <w:pPr>
              <w:pStyle w:val="Compact"/>
              <w:spacing w:before="0" w:after="0" w:line="240" w:lineRule="auto"/>
              <w:jc w:val="right"/>
            </w:pPr>
            <w:r>
              <w:rPr>
                <w:b w:val="0"/>
                <w:color w:val="000000"/>
                <w:sz w:val="16"/>
              </w:rPr>
              <w:t xml:space="preserve">3.20 ± 0.09</w:t>
            </w:r>
          </w:p>
        </w:tc>
        <w:tc>
          <w:tcPr/>
          <w:p>
            <w:pPr>
              <w:pStyle w:val="Compact"/>
              <w:spacing w:before="0" w:after="0" w:line="240" w:lineRule="auto"/>
              <w:jc w:val="right"/>
            </w:pPr>
            <w:r>
              <w:rPr>
                <w:b w:val="0"/>
                <w:color w:val="000000"/>
                <w:sz w:val="16"/>
              </w:rPr>
              <w:t xml:space="preserve">3.36 ± 0.09</w:t>
            </w:r>
          </w:p>
        </w:tc>
        <w:tc>
          <w:tcPr/>
          <w:p>
            <w:pPr>
              <w:pStyle w:val="Compact"/>
              <w:spacing w:before="0" w:after="0" w:line="240" w:lineRule="auto"/>
              <w:jc w:val="right"/>
            </w:pPr>
            <w:r>
              <w:rPr>
                <w:b w:val="0"/>
                <w:color w:val="000000"/>
                <w:sz w:val="16"/>
              </w:rPr>
              <w:t xml:space="preserve">3.28 ± 0.07</w:t>
            </w:r>
          </w:p>
        </w:tc>
      </w:tr>
    </w:tbl>
    <w:p>
      <w:pPr>
        <w:pStyle w:val="BodyText"/>
        <w:spacing w:before="40" w:after="200" w:line="240" w:lineRule="auto"/>
        <w:rPr>
          <w:sz w:val="22"/>
        </w:rPr>
      </w:pPr>
      <w:r>
        <w:rPr>
          <w:b/>
          <w:bCs/>
          <w:sz w:val="22"/>
        </w:rPr>
        <w:t xml:space="preserve">(b) Adjusted carbon budget imbalance (PgC yr⁻¹).</w:t>
      </w:r>
    </w:p>
    <w:tbl>
      <w:tblPr>
        <w:tblStyle w:val="Table"/>
        <w:jc w:val="center"/>
        <w:tblLayout w:type="fixed"/>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1320"/>
        <w:gridCol w:w="1320"/>
        <w:gridCol w:w="1320"/>
        <w:gridCol w:w="1320"/>
        <w:gridCol w:w="1320"/>
        <w:gridCol w:w="1320"/>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Year</w:t>
            </w:r>
          </w:p>
        </w:tc>
        <w:tc>
          <w:tcPr>
            <w:tcBorders>
              <w:bottom w:val="single" w:sz="6" w:color="000000"/>
            </w:tcBorders>
          </w:tcPr>
          <w:p>
            <w:pPr>
              <w:pStyle w:val="Compact"/>
              <w:spacing w:before="20" w:after="20" w:line="240" w:lineRule="auto"/>
              <w:jc w:val="left"/>
            </w:pPr>
            <w:r>
              <w:rPr>
                <w:b/>
                <w:color w:val="000000"/>
                <w:sz w:val="16"/>
              </w:rPr>
              <w:t xml:space="preserve">NOAA MBL</w:t>
            </w:r>
          </w:p>
        </w:tc>
        <w:tc>
          <w:tcPr>
            <w:tcBorders>
              <w:bottom w:val="single" w:sz="6" w:color="000000"/>
            </w:tcBorders>
          </w:tcPr>
          <w:p>
            <w:pPr>
              <w:pStyle w:val="Compact"/>
              <w:spacing w:before="20" w:after="20" w:line="240" w:lineRule="auto"/>
              <w:jc w:val="left"/>
            </w:pPr>
            <w:r>
              <w:rPr>
                <w:b/>
                <w:color w:val="000000"/>
                <w:sz w:val="16"/>
              </w:rPr>
              <w:t xml:space="preserve">GCB in situ inversion median</w:t>
            </w:r>
          </w:p>
        </w:tc>
        <w:tc>
          <w:tcPr>
            <w:tcBorders>
              <w:bottom w:val="single" w:sz="6" w:color="000000"/>
            </w:tcBorders>
          </w:tcPr>
          <w:p>
            <w:pPr>
              <w:pStyle w:val="Compact"/>
              <w:spacing w:before="20" w:after="20" w:line="240" w:lineRule="auto"/>
              <w:jc w:val="left"/>
            </w:pPr>
            <w:r>
              <w:rPr>
                <w:b/>
                <w:color w:val="000000"/>
                <w:sz w:val="16"/>
              </w:rPr>
              <w:t xml:space="preserve">OCO-2 GRESO</w:t>
            </w:r>
          </w:p>
        </w:tc>
        <w:tc>
          <w:tcPr>
            <w:tcBorders>
              <w:bottom w:val="single" w:sz="6" w:color="000000"/>
            </w:tcBorders>
          </w:tcPr>
          <w:p>
            <w:pPr>
              <w:pStyle w:val="Compact"/>
              <w:spacing w:before="20" w:after="20" w:line="240" w:lineRule="auto"/>
              <w:jc w:val="left"/>
            </w:pPr>
            <w:r>
              <w:rPr>
                <w:b/>
                <w:color w:val="000000"/>
                <w:sz w:val="16"/>
              </w:rPr>
              <w:t xml:space="preserve">GOSAT GRESO</w:t>
            </w:r>
          </w:p>
        </w:tc>
        <w:tc>
          <w:tcPr>
            <w:tcBorders>
              <w:bottom w:val="single" w:sz="6" w:color="000000"/>
            </w:tcBorders>
          </w:tcPr>
          <w:p>
            <w:pPr>
              <w:pStyle w:val="Compact"/>
              <w:spacing w:before="20" w:after="20" w:line="240" w:lineRule="auto"/>
              <w:jc w:val="left"/>
            </w:pPr>
            <w:r>
              <w:rPr>
                <w:b/>
                <w:color w:val="000000"/>
                <w:sz w:val="16"/>
              </w:rPr>
              <w:t xml:space="preserve">OCO-2/GOSAT GRESO mean</w:t>
            </w:r>
          </w:p>
        </w:tc>
      </w:tr>
      <w:tr>
        <w:tc>
          <w:tcPr/>
          <w:p>
            <w:pPr>
              <w:pStyle w:val="Compact"/>
              <w:spacing w:before="0" w:after="0" w:line="240" w:lineRule="auto"/>
              <w:jc w:val="right"/>
            </w:pPr>
            <w:r>
              <w:rPr>
                <w:b w:val="0"/>
                <w:color w:val="000000"/>
                <w:sz w:val="16"/>
              </w:rPr>
              <w:t xml:space="preserve">2015</w:t>
            </w:r>
          </w:p>
        </w:tc>
        <w:tc>
          <w:tcPr/>
          <w:p>
            <w:pPr>
              <w:pStyle w:val="Compact"/>
              <w:spacing w:before="0" w:after="0" w:line="240" w:lineRule="auto"/>
              <w:jc w:val="right"/>
            </w:pPr>
            <w:r>
              <w:rPr>
                <w:b w:val="0"/>
                <w:color w:val="000000"/>
                <w:sz w:val="16"/>
              </w:rPr>
              <w:t xml:space="preserve">0.04</w:t>
            </w:r>
          </w:p>
        </w:tc>
        <w:tc>
          <w:tcPr/>
          <w:p>
            <w:pPr>
              <w:pStyle w:val="Compact"/>
              <w:spacing w:before="0" w:after="0" w:line="240" w:lineRule="auto"/>
              <w:jc w:val="right"/>
            </w:pPr>
            <w:r>
              <w:rPr>
                <w:b w:val="0"/>
                <w:color w:val="000000"/>
                <w:sz w:val="16"/>
              </w:rPr>
              <w:t xml:space="preserve">0.11</w:t>
            </w:r>
          </w:p>
        </w:tc>
        <w:tc>
          <w:tcPr/>
          <w:p>
            <w:pPr>
              <w:pStyle w:val="Compact"/>
              <w:spacing w:before="0" w:after="0" w:line="240" w:lineRule="auto"/>
              <w:jc w:val="right"/>
            </w:pPr>
            <w:r>
              <w:rPr>
                <w:b w:val="0"/>
                <w:color w:val="000000"/>
                <w:sz w:val="16"/>
              </w:rPr>
              <w:t xml:space="preserve">−0.07</w:t>
            </w:r>
          </w:p>
        </w:tc>
        <w:tc>
          <w:tcPr/>
          <w:p>
            <w:pPr>
              <w:pStyle w:val="Compact"/>
              <w:spacing w:before="0" w:after="0" w:line="240" w:lineRule="auto"/>
              <w:jc w:val="right"/>
            </w:pPr>
            <w:r>
              <w:rPr>
                <w:b w:val="0"/>
                <w:color w:val="000000"/>
                <w:sz w:val="16"/>
              </w:rPr>
              <w:t xml:space="preserve">0.34</w:t>
            </w:r>
          </w:p>
        </w:tc>
        <w:tc>
          <w:tcPr/>
          <w:p>
            <w:pPr>
              <w:pStyle w:val="Compact"/>
              <w:spacing w:before="0" w:after="0" w:line="240" w:lineRule="auto"/>
              <w:jc w:val="right"/>
            </w:pPr>
            <w:r>
              <w:rPr>
                <w:b w:val="0"/>
                <w:color w:val="000000"/>
                <w:sz w:val="16"/>
              </w:rPr>
              <w:t xml:space="preserve">0.14</w:t>
            </w:r>
          </w:p>
        </w:tc>
      </w:tr>
      <w:tr>
        <w:tc>
          <w:tcPr/>
          <w:p>
            <w:pPr>
              <w:pStyle w:val="Compact"/>
              <w:spacing w:before="0" w:after="0" w:line="240" w:lineRule="auto"/>
              <w:jc w:val="right"/>
            </w:pPr>
            <w:r>
              <w:rPr>
                <w:b w:val="0"/>
                <w:color w:val="000000"/>
                <w:sz w:val="16"/>
              </w:rPr>
              <w:t xml:space="preserve">2016</w:t>
            </w:r>
          </w:p>
        </w:tc>
        <w:tc>
          <w:tcPr/>
          <w:p>
            <w:pPr>
              <w:pStyle w:val="Compact"/>
              <w:spacing w:before="0" w:after="0" w:line="240" w:lineRule="auto"/>
              <w:jc w:val="right"/>
            </w:pPr>
            <w:r>
              <w:rPr>
                <w:b w:val="0"/>
                <w:color w:val="000000"/>
                <w:sz w:val="16"/>
              </w:rPr>
              <w:t xml:space="preserve">−0.37</w:t>
            </w:r>
          </w:p>
        </w:tc>
        <w:tc>
          <w:tcPr/>
          <w:p>
            <w:pPr>
              <w:pStyle w:val="Compact"/>
              <w:spacing w:before="0" w:after="0" w:line="240" w:lineRule="auto"/>
              <w:jc w:val="right"/>
            </w:pPr>
            <w:r>
              <w:rPr>
                <w:b w:val="0"/>
                <w:color w:val="000000"/>
                <w:sz w:val="16"/>
              </w:rPr>
              <w:t xml:space="preserve">−0.23</w:t>
            </w:r>
          </w:p>
        </w:tc>
        <w:tc>
          <w:tcPr/>
          <w:p>
            <w:pPr>
              <w:pStyle w:val="Compact"/>
              <w:spacing w:before="0" w:after="0" w:line="240" w:lineRule="auto"/>
              <w:jc w:val="right"/>
            </w:pPr>
            <w:r>
              <w:rPr>
                <w:b w:val="0"/>
                <w:color w:val="000000"/>
                <w:sz w:val="16"/>
              </w:rPr>
              <w:t xml:space="preserve">−0.09</w:t>
            </w:r>
          </w:p>
        </w:tc>
        <w:tc>
          <w:tcPr/>
          <w:p>
            <w:pPr>
              <w:pStyle w:val="Compact"/>
              <w:spacing w:before="0" w:after="0" w:line="240" w:lineRule="auto"/>
              <w:jc w:val="right"/>
            </w:pPr>
            <w:r>
              <w:rPr>
                <w:b w:val="0"/>
                <w:color w:val="000000"/>
                <w:sz w:val="16"/>
              </w:rPr>
              <w:t xml:space="preserve">−0.11</w:t>
            </w:r>
          </w:p>
        </w:tc>
        <w:tc>
          <w:tcPr/>
          <w:p>
            <w:pPr>
              <w:pStyle w:val="Compact"/>
              <w:spacing w:before="0" w:after="0" w:line="240" w:lineRule="auto"/>
              <w:jc w:val="right"/>
            </w:pPr>
            <w:r>
              <w:rPr>
                <w:b w:val="0"/>
                <w:color w:val="000000"/>
                <w:sz w:val="16"/>
              </w:rPr>
              <w:t xml:space="preserve">−0.10</w:t>
            </w:r>
          </w:p>
        </w:tc>
      </w:tr>
      <w:tr>
        <w:tc>
          <w:tcPr/>
          <w:p>
            <w:pPr>
              <w:pStyle w:val="Compact"/>
              <w:spacing w:before="0" w:after="0" w:line="240" w:lineRule="auto"/>
              <w:jc w:val="right"/>
            </w:pPr>
            <w:r>
              <w:rPr>
                <w:b w:val="0"/>
                <w:color w:val="000000"/>
                <w:sz w:val="16"/>
              </w:rPr>
              <w:t xml:space="preserve">2017</w:t>
            </w:r>
          </w:p>
        </w:tc>
        <w:tc>
          <w:tcPr/>
          <w:p>
            <w:pPr>
              <w:pStyle w:val="Compact"/>
              <w:spacing w:before="0" w:after="0" w:line="240" w:lineRule="auto"/>
              <w:jc w:val="right"/>
            </w:pPr>
            <w:r>
              <w:rPr>
                <w:b w:val="0"/>
                <w:color w:val="000000"/>
                <w:sz w:val="16"/>
              </w:rPr>
              <w:t xml:space="preserve">0.55</w:t>
            </w:r>
          </w:p>
        </w:tc>
        <w:tc>
          <w:tcPr/>
          <w:p>
            <w:pPr>
              <w:pStyle w:val="Compact"/>
              <w:spacing w:before="0" w:after="0" w:line="240" w:lineRule="auto"/>
              <w:jc w:val="right"/>
            </w:pPr>
            <w:r>
              <w:rPr>
                <w:b w:val="0"/>
                <w:color w:val="000000"/>
                <w:sz w:val="16"/>
              </w:rPr>
              <w:t xml:space="preserve">0.53</w:t>
            </w:r>
          </w:p>
        </w:tc>
        <w:tc>
          <w:tcPr/>
          <w:p>
            <w:pPr>
              <w:pStyle w:val="Compact"/>
              <w:spacing w:before="0" w:after="0" w:line="240" w:lineRule="auto"/>
              <w:jc w:val="right"/>
            </w:pPr>
            <w:r>
              <w:rPr>
                <w:b w:val="0"/>
                <w:color w:val="000000"/>
                <w:sz w:val="16"/>
              </w:rPr>
              <w:t xml:space="preserve">0.74</w:t>
            </w:r>
          </w:p>
        </w:tc>
        <w:tc>
          <w:tcPr/>
          <w:p>
            <w:pPr>
              <w:pStyle w:val="Compact"/>
              <w:spacing w:before="0" w:after="0" w:line="240" w:lineRule="auto"/>
              <w:jc w:val="right"/>
            </w:pPr>
            <w:r>
              <w:rPr>
                <w:b w:val="0"/>
                <w:color w:val="000000"/>
                <w:sz w:val="16"/>
              </w:rPr>
              <w:t xml:space="preserve">0.47</w:t>
            </w:r>
          </w:p>
        </w:tc>
        <w:tc>
          <w:tcPr/>
          <w:p>
            <w:pPr>
              <w:pStyle w:val="Compact"/>
              <w:spacing w:before="0" w:after="0" w:line="240" w:lineRule="auto"/>
              <w:jc w:val="right"/>
            </w:pPr>
            <w:r>
              <w:rPr>
                <w:b w:val="0"/>
                <w:color w:val="000000"/>
                <w:sz w:val="16"/>
              </w:rPr>
              <w:t xml:space="preserve">0.61</w:t>
            </w:r>
          </w:p>
        </w:tc>
      </w:tr>
      <w:tr>
        <w:tc>
          <w:tcPr/>
          <w:p>
            <w:pPr>
              <w:pStyle w:val="Compact"/>
              <w:spacing w:before="0" w:after="0" w:line="240" w:lineRule="auto"/>
              <w:jc w:val="right"/>
            </w:pPr>
            <w:r>
              <w:rPr>
                <w:b w:val="0"/>
                <w:color w:val="000000"/>
                <w:sz w:val="16"/>
              </w:rPr>
              <w:t xml:space="preserve">2018</w:t>
            </w:r>
          </w:p>
        </w:tc>
        <w:tc>
          <w:tcPr/>
          <w:p>
            <w:pPr>
              <w:pStyle w:val="Compact"/>
              <w:spacing w:before="0" w:after="0" w:line="240" w:lineRule="auto"/>
              <w:jc w:val="right"/>
            </w:pPr>
            <w:r>
              <w:rPr>
                <w:b w:val="0"/>
                <w:color w:val="000000"/>
                <w:sz w:val="16"/>
              </w:rPr>
              <w:t xml:space="preserve">−0.01</w:t>
            </w:r>
          </w:p>
        </w:tc>
        <w:tc>
          <w:tcPr/>
          <w:p>
            <w:pPr>
              <w:pStyle w:val="Compact"/>
              <w:spacing w:before="0" w:after="0" w:line="240" w:lineRule="auto"/>
              <w:jc w:val="right"/>
            </w:pPr>
            <w:r>
              <w:rPr>
                <w:b w:val="0"/>
                <w:color w:val="000000"/>
                <w:sz w:val="16"/>
              </w:rPr>
              <w:t xml:space="preserve">0.14</w:t>
            </w:r>
          </w:p>
        </w:tc>
        <w:tc>
          <w:tcPr/>
          <w:p>
            <w:pPr>
              <w:pStyle w:val="Compact"/>
              <w:spacing w:before="0" w:after="0" w:line="240" w:lineRule="auto"/>
              <w:jc w:val="right"/>
            </w:pPr>
            <w:r>
              <w:rPr>
                <w:b w:val="0"/>
                <w:color w:val="000000"/>
                <w:sz w:val="16"/>
              </w:rPr>
              <w:t xml:space="preserve">−0.18</w:t>
            </w:r>
          </w:p>
        </w:tc>
        <w:tc>
          <w:tcPr/>
          <w:p>
            <w:pPr>
              <w:pStyle w:val="Compact"/>
              <w:spacing w:before="0" w:after="0" w:line="240" w:lineRule="auto"/>
              <w:jc w:val="right"/>
            </w:pPr>
            <w:r>
              <w:rPr>
                <w:b w:val="0"/>
                <w:color w:val="000000"/>
                <w:sz w:val="16"/>
              </w:rPr>
              <w:t xml:space="preserve">−0.12</w:t>
            </w:r>
          </w:p>
        </w:tc>
        <w:tc>
          <w:tcPr/>
          <w:p>
            <w:pPr>
              <w:pStyle w:val="Compact"/>
              <w:spacing w:before="0" w:after="0" w:line="240" w:lineRule="auto"/>
              <w:jc w:val="right"/>
            </w:pPr>
            <w:r>
              <w:rPr>
                <w:b w:val="0"/>
                <w:color w:val="000000"/>
                <w:sz w:val="16"/>
              </w:rPr>
              <w:t xml:space="preserve">−0.15</w:t>
            </w:r>
          </w:p>
        </w:tc>
      </w:tr>
      <w:tr>
        <w:tc>
          <w:tcPr/>
          <w:p>
            <w:pPr>
              <w:pStyle w:val="Compact"/>
              <w:spacing w:before="0" w:after="0" w:line="240" w:lineRule="auto"/>
              <w:jc w:val="right"/>
            </w:pPr>
            <w:r>
              <w:rPr>
                <w:b w:val="0"/>
                <w:color w:val="000000"/>
                <w:sz w:val="16"/>
              </w:rPr>
              <w:t xml:space="preserve">2019</w:t>
            </w:r>
          </w:p>
        </w:tc>
        <w:tc>
          <w:tcPr/>
          <w:p>
            <w:pPr>
              <w:pStyle w:val="Compact"/>
              <w:spacing w:before="0" w:after="0" w:line="240" w:lineRule="auto"/>
              <w:jc w:val="right"/>
            </w:pPr>
            <w:r>
              <w:rPr>
                <w:b w:val="0"/>
                <w:color w:val="000000"/>
                <w:sz w:val="16"/>
              </w:rPr>
              <w:t xml:space="preserve">0.31</w:t>
            </w:r>
          </w:p>
        </w:tc>
        <w:tc>
          <w:tcPr/>
          <w:p>
            <w:pPr>
              <w:pStyle w:val="Compact"/>
              <w:spacing w:before="0" w:after="0" w:line="240" w:lineRule="auto"/>
              <w:jc w:val="right"/>
            </w:pPr>
            <w:r>
              <w:rPr>
                <w:b w:val="0"/>
                <w:color w:val="000000"/>
                <w:sz w:val="16"/>
              </w:rPr>
              <w:t xml:space="preserve">−0.21</w:t>
            </w:r>
          </w:p>
        </w:tc>
        <w:tc>
          <w:tcPr/>
          <w:p>
            <w:pPr>
              <w:pStyle w:val="Compact"/>
              <w:spacing w:before="0" w:after="0" w:line="240" w:lineRule="auto"/>
              <w:jc w:val="right"/>
            </w:pPr>
            <w:r>
              <w:rPr>
                <w:b w:val="0"/>
                <w:color w:val="000000"/>
                <w:sz w:val="16"/>
              </w:rPr>
              <w:t xml:space="preserve">−0.22</w:t>
            </w:r>
          </w:p>
        </w:tc>
        <w:tc>
          <w:tcPr/>
          <w:p>
            <w:pPr>
              <w:pStyle w:val="Compact"/>
              <w:spacing w:before="0" w:after="0" w:line="240" w:lineRule="auto"/>
              <w:jc w:val="right"/>
            </w:pPr>
            <w:r>
              <w:rPr>
                <w:b w:val="0"/>
                <w:color w:val="000000"/>
                <w:sz w:val="16"/>
              </w:rPr>
              <w:t xml:space="preserve">−0.24</w:t>
            </w:r>
          </w:p>
        </w:tc>
        <w:tc>
          <w:tcPr/>
          <w:p>
            <w:pPr>
              <w:pStyle w:val="Compact"/>
              <w:spacing w:before="0" w:after="0" w:line="240" w:lineRule="auto"/>
              <w:jc w:val="right"/>
            </w:pPr>
            <w:r>
              <w:rPr>
                <w:b w:val="0"/>
                <w:color w:val="000000"/>
                <w:sz w:val="16"/>
              </w:rPr>
              <w:t xml:space="preserve">−0.23</w:t>
            </w:r>
          </w:p>
        </w:tc>
      </w:tr>
      <w:tr>
        <w:tc>
          <w:tcPr/>
          <w:p>
            <w:pPr>
              <w:pStyle w:val="Compact"/>
              <w:spacing w:before="0" w:after="0" w:line="240" w:lineRule="auto"/>
              <w:jc w:val="right"/>
            </w:pPr>
            <w:r>
              <w:rPr>
                <w:b w:val="0"/>
                <w:color w:val="000000"/>
                <w:sz w:val="16"/>
              </w:rPr>
              <w:t xml:space="preserve">2020</w:t>
            </w:r>
          </w:p>
        </w:tc>
        <w:tc>
          <w:tcPr/>
          <w:p>
            <w:pPr>
              <w:pStyle w:val="Compact"/>
              <w:spacing w:before="0" w:after="0" w:line="240" w:lineRule="auto"/>
              <w:jc w:val="right"/>
            </w:pPr>
            <w:r>
              <w:rPr>
                <w:b w:val="0"/>
                <w:color w:val="000000"/>
                <w:sz w:val="16"/>
              </w:rPr>
              <w:t xml:space="preserve">0.32</w:t>
            </w:r>
          </w:p>
        </w:tc>
        <w:tc>
          <w:tcPr/>
          <w:p>
            <w:pPr>
              <w:pStyle w:val="Compact"/>
              <w:spacing w:before="0" w:after="0" w:line="240" w:lineRule="auto"/>
              <w:jc w:val="right"/>
            </w:pPr>
            <w:r>
              <w:rPr>
                <w:b w:val="0"/>
                <w:color w:val="000000"/>
                <w:sz w:val="16"/>
              </w:rPr>
              <w:t xml:space="preserve">0.17</w:t>
            </w:r>
          </w:p>
        </w:tc>
        <w:tc>
          <w:tcPr/>
          <w:p>
            <w:pPr>
              <w:pStyle w:val="Compact"/>
              <w:spacing w:before="0" w:after="0" w:line="240" w:lineRule="auto"/>
              <w:jc w:val="right"/>
            </w:pPr>
            <w:r>
              <w:rPr>
                <w:b w:val="0"/>
                <w:color w:val="000000"/>
                <w:sz w:val="16"/>
              </w:rPr>
              <w:t xml:space="preserve">0.36</w:t>
            </w:r>
          </w:p>
        </w:tc>
        <w:tc>
          <w:tcPr/>
          <w:p>
            <w:pPr>
              <w:pStyle w:val="Compact"/>
              <w:spacing w:before="0" w:after="0" w:line="240" w:lineRule="auto"/>
              <w:jc w:val="right"/>
            </w:pPr>
            <w:r>
              <w:rPr>
                <w:b w:val="0"/>
                <w:color w:val="000000"/>
                <w:sz w:val="16"/>
              </w:rPr>
              <w:t xml:space="preserve">0.32</w:t>
            </w:r>
          </w:p>
        </w:tc>
        <w:tc>
          <w:tcPr/>
          <w:p>
            <w:pPr>
              <w:pStyle w:val="Compact"/>
              <w:spacing w:before="0" w:after="0" w:line="240" w:lineRule="auto"/>
              <w:jc w:val="right"/>
            </w:pPr>
            <w:r>
              <w:rPr>
                <w:b w:val="0"/>
                <w:color w:val="000000"/>
                <w:sz w:val="16"/>
              </w:rPr>
              <w:t xml:space="preserve">0.34</w:t>
            </w:r>
          </w:p>
        </w:tc>
      </w:tr>
      <w:tr>
        <w:tc>
          <w:tcPr/>
          <w:p>
            <w:pPr>
              <w:pStyle w:val="Compact"/>
              <w:spacing w:before="0" w:after="0" w:line="240" w:lineRule="auto"/>
              <w:jc w:val="right"/>
            </w:pPr>
            <w:r>
              <w:rPr>
                <w:b w:val="0"/>
                <w:color w:val="000000"/>
                <w:sz w:val="16"/>
              </w:rPr>
              <w:t xml:space="preserve">2021</w:t>
            </w:r>
          </w:p>
        </w:tc>
        <w:tc>
          <w:tcPr/>
          <w:p>
            <w:pPr>
              <w:pStyle w:val="Compact"/>
              <w:spacing w:before="0" w:after="0" w:line="240" w:lineRule="auto"/>
              <w:jc w:val="right"/>
            </w:pPr>
            <w:r>
              <w:rPr>
                <w:b w:val="0"/>
                <w:color w:val="000000"/>
                <w:sz w:val="16"/>
              </w:rPr>
              <w:t xml:space="preserve">0.33</w:t>
            </w:r>
          </w:p>
        </w:tc>
        <w:tc>
          <w:tcPr/>
          <w:p>
            <w:pPr>
              <w:pStyle w:val="Compact"/>
              <w:spacing w:before="0" w:after="0" w:line="240" w:lineRule="auto"/>
              <w:jc w:val="right"/>
            </w:pPr>
            <w:r>
              <w:rPr>
                <w:b w:val="0"/>
                <w:color w:val="000000"/>
                <w:sz w:val="16"/>
              </w:rPr>
              <w:t xml:space="preserve">0.47</w:t>
            </w:r>
          </w:p>
        </w:tc>
        <w:tc>
          <w:tcPr/>
          <w:p>
            <w:pPr>
              <w:pStyle w:val="Compact"/>
              <w:spacing w:before="0" w:after="0" w:line="240" w:lineRule="auto"/>
              <w:jc w:val="right"/>
            </w:pPr>
            <w:r>
              <w:rPr>
                <w:b w:val="0"/>
                <w:color w:val="000000"/>
                <w:sz w:val="16"/>
              </w:rPr>
              <w:t xml:space="preserve">0.50</w:t>
            </w:r>
          </w:p>
        </w:tc>
        <w:tc>
          <w:tcPr/>
          <w:p>
            <w:pPr>
              <w:pStyle w:val="Compact"/>
              <w:spacing w:before="0" w:after="0" w:line="240" w:lineRule="auto"/>
              <w:jc w:val="right"/>
            </w:pPr>
            <w:r>
              <w:rPr>
                <w:b w:val="0"/>
                <w:color w:val="000000"/>
                <w:sz w:val="16"/>
              </w:rPr>
              <w:t xml:space="preserve">0.50</w:t>
            </w:r>
          </w:p>
        </w:tc>
        <w:tc>
          <w:tcPr/>
          <w:p>
            <w:pPr>
              <w:pStyle w:val="Compact"/>
              <w:spacing w:before="0" w:after="0" w:line="240" w:lineRule="auto"/>
              <w:jc w:val="right"/>
            </w:pPr>
            <w:r>
              <w:rPr>
                <w:b w:val="0"/>
                <w:color w:val="000000"/>
                <w:sz w:val="16"/>
              </w:rPr>
              <w:t xml:space="preserve">0.50</w:t>
            </w:r>
          </w:p>
        </w:tc>
      </w:tr>
      <w:tr>
        <w:tc>
          <w:tcPr/>
          <w:p>
            <w:pPr>
              <w:pStyle w:val="Compact"/>
              <w:spacing w:before="0" w:after="0" w:line="240" w:lineRule="auto"/>
              <w:jc w:val="right"/>
            </w:pPr>
            <w:r>
              <w:rPr>
                <w:b w:val="0"/>
                <w:color w:val="000000"/>
                <w:sz w:val="16"/>
              </w:rPr>
              <w:t xml:space="preserve">2022</w:t>
            </w:r>
          </w:p>
        </w:tc>
        <w:tc>
          <w:tcPr/>
          <w:p>
            <w:pPr>
              <w:pStyle w:val="Compact"/>
              <w:spacing w:before="0" w:after="0" w:line="240" w:lineRule="auto"/>
              <w:jc w:val="right"/>
            </w:pPr>
            <w:r>
              <w:rPr>
                <w:b w:val="0"/>
                <w:color w:val="000000"/>
                <w:sz w:val="16"/>
              </w:rPr>
              <w:t xml:space="preserve">0.24</w:t>
            </w:r>
          </w:p>
        </w:tc>
        <w:tc>
          <w:tcPr/>
          <w:p>
            <w:pPr>
              <w:pStyle w:val="Compact"/>
              <w:spacing w:before="0" w:after="0" w:line="240" w:lineRule="auto"/>
              <w:jc w:val="right"/>
            </w:pPr>
            <w:r>
              <w:rPr>
                <w:b w:val="0"/>
                <w:color w:val="000000"/>
                <w:sz w:val="16"/>
              </w:rPr>
              <w:t xml:space="preserve">0.91</w:t>
            </w:r>
          </w:p>
        </w:tc>
        <w:tc>
          <w:tcPr/>
          <w:p>
            <w:pPr>
              <w:pStyle w:val="Compact"/>
              <w:spacing w:before="0" w:after="0" w:line="240" w:lineRule="auto"/>
              <w:jc w:val="right"/>
            </w:pPr>
            <w:r>
              <w:rPr>
                <w:b w:val="0"/>
                <w:color w:val="000000"/>
                <w:sz w:val="16"/>
              </w:rPr>
              <w:t xml:space="preserve">1.02</w:t>
            </w:r>
          </w:p>
        </w:tc>
        <w:tc>
          <w:tcPr/>
          <w:p>
            <w:pPr>
              <w:pStyle w:val="Compact"/>
              <w:spacing w:before="0" w:after="0" w:line="240" w:lineRule="auto"/>
              <w:jc w:val="right"/>
            </w:pPr>
            <w:r>
              <w:rPr>
                <w:b w:val="0"/>
                <w:color w:val="000000"/>
                <w:sz w:val="16"/>
              </w:rPr>
              <w:t xml:space="preserve">1.09</w:t>
            </w:r>
          </w:p>
        </w:tc>
        <w:tc>
          <w:tcPr/>
          <w:p>
            <w:pPr>
              <w:pStyle w:val="Compact"/>
              <w:spacing w:before="0" w:after="0" w:line="240" w:lineRule="auto"/>
              <w:jc w:val="right"/>
            </w:pPr>
            <w:r>
              <w:rPr>
                <w:b w:val="0"/>
                <w:color w:val="000000"/>
                <w:sz w:val="16"/>
              </w:rPr>
              <w:t xml:space="preserve">1.05</w:t>
            </w:r>
          </w:p>
        </w:tc>
      </w:tr>
      <w:tr>
        <w:tc>
          <w:tcPr/>
          <w:p>
            <w:pPr>
              <w:pStyle w:val="Compact"/>
              <w:spacing w:before="0" w:after="0" w:line="240" w:lineRule="auto"/>
              <w:jc w:val="right"/>
            </w:pPr>
            <w:r>
              <w:rPr>
                <w:b w:val="0"/>
                <w:color w:val="000000"/>
                <w:sz w:val="16"/>
              </w:rPr>
              <w:t xml:space="preserve">2023</w:t>
            </w:r>
          </w:p>
        </w:tc>
        <w:tc>
          <w:tcPr/>
          <w:p>
            <w:pPr>
              <w:pStyle w:val="Compact"/>
              <w:spacing w:before="0" w:after="0" w:line="240" w:lineRule="auto"/>
              <w:jc w:val="right"/>
            </w:pPr>
            <w:r>
              <w:rPr>
                <w:b w:val="0"/>
                <w:color w:val="000000"/>
                <w:sz w:val="16"/>
              </w:rPr>
              <w:t xml:space="preserve">0.44</w:t>
            </w:r>
          </w:p>
        </w:tc>
        <w:tc>
          <w:tcPr/>
          <w:p>
            <w:pPr>
              <w:pStyle w:val="Compact"/>
              <w:spacing w:before="0" w:after="0" w:line="240" w:lineRule="auto"/>
              <w:jc w:val="right"/>
            </w:pPr>
            <w:r>
              <w:rPr>
                <w:b w:val="0"/>
                <w:color w:val="000000"/>
                <w:sz w:val="16"/>
              </w:rPr>
              <w:t xml:space="preserve">−0.19</w:t>
            </w:r>
          </w:p>
        </w:tc>
        <w:tc>
          <w:tcPr/>
          <w:p>
            <w:pPr>
              <w:pStyle w:val="Compact"/>
              <w:spacing w:before="0" w:after="0" w:line="240" w:lineRule="auto"/>
              <w:jc w:val="right"/>
            </w:pPr>
            <w:r>
              <w:rPr>
                <w:b w:val="0"/>
                <w:color w:val="000000"/>
                <w:sz w:val="16"/>
              </w:rPr>
              <w:t xml:space="preserve">−0.33</w:t>
            </w:r>
          </w:p>
        </w:tc>
        <w:tc>
          <w:tcPr/>
          <w:p>
            <w:pPr>
              <w:pStyle w:val="Compact"/>
              <w:spacing w:before="0" w:after="0" w:line="240" w:lineRule="auto"/>
              <w:jc w:val="right"/>
            </w:pPr>
            <w:r>
              <w:rPr>
                <w:b w:val="0"/>
                <w:color w:val="000000"/>
                <w:sz w:val="16"/>
              </w:rPr>
              <w:t xml:space="preserve">−0.48</w:t>
            </w:r>
          </w:p>
        </w:tc>
        <w:tc>
          <w:tcPr/>
          <w:p>
            <w:pPr>
              <w:pStyle w:val="Compact"/>
              <w:spacing w:before="0" w:after="0" w:line="240" w:lineRule="auto"/>
              <w:jc w:val="right"/>
            </w:pPr>
            <w:r>
              <w:rPr>
                <w:b w:val="0"/>
                <w:color w:val="000000"/>
                <w:sz w:val="16"/>
              </w:rPr>
              <w:t xml:space="preserve">−0.40</w:t>
            </w:r>
          </w:p>
        </w:tc>
      </w:tr>
      <w:tr>
        <w:tc>
          <w:tcPr/>
          <w:p>
            <w:pPr>
              <w:pStyle w:val="Compact"/>
              <w:spacing w:before="0" w:after="0" w:line="240" w:lineRule="auto"/>
              <w:jc w:val="right"/>
            </w:pPr>
            <w:r>
              <w:rPr>
                <w:b w:val="0"/>
                <w:color w:val="000000"/>
                <w:sz w:val="16"/>
              </w:rPr>
              <w:t xml:space="preserve">2024</w:t>
            </w:r>
          </w:p>
        </w:tc>
        <w:tc>
          <w:tcPr/>
          <w:p>
            <w:pPr>
              <w:pStyle w:val="Compact"/>
              <w:spacing w:before="0" w:after="0" w:line="240" w:lineRule="auto"/>
              <w:jc w:val="right"/>
            </w:pPr>
            <w:r>
              <w:rPr>
                <w:b w:val="0"/>
                <w:color w:val="000000"/>
                <w:sz w:val="16"/>
              </w:rPr>
              <w:t xml:space="preserve">−1.69</w:t>
            </w:r>
          </w:p>
        </w:tc>
        <w:tc>
          <w:tcPr/>
          <w:p>
            <w:pPr>
              <w:pStyle w:val="Compact"/>
              <w:spacing w:before="0" w:after="0" w:line="240" w:lineRule="auto"/>
              <w:jc w:val="right"/>
            </w:pPr>
            <w:r>
              <w:rPr>
                <w:b w:val="0"/>
                <w:color w:val="000000"/>
                <w:sz w:val="16"/>
              </w:rPr>
              <w:t xml:space="preserve">−0.86</w:t>
            </w:r>
          </w:p>
        </w:tc>
        <w:tc>
          <w:tcPr/>
          <w:p>
            <w:pPr>
              <w:pStyle w:val="Compact"/>
              <w:spacing w:before="0" w:after="0" w:line="240" w:lineRule="auto"/>
              <w:jc w:val="right"/>
            </w:pPr>
            <w:r>
              <w:rPr>
                <w:b w:val="0"/>
                <w:color w:val="000000"/>
                <w:sz w:val="16"/>
              </w:rPr>
              <w:t xml:space="preserve">−0.57</w:t>
            </w:r>
          </w:p>
        </w:tc>
        <w:tc>
          <w:tcPr/>
          <w:p>
            <w:pPr>
              <w:pStyle w:val="Compact"/>
              <w:spacing w:before="0" w:after="0" w:line="240" w:lineRule="auto"/>
              <w:jc w:val="right"/>
            </w:pPr>
            <w:r>
              <w:rPr>
                <w:b w:val="0"/>
                <w:color w:val="000000"/>
                <w:sz w:val="16"/>
              </w:rPr>
              <w:t xml:space="preserve">−0.91</w:t>
            </w:r>
          </w:p>
        </w:tc>
        <w:tc>
          <w:tcPr/>
          <w:p>
            <w:pPr>
              <w:pStyle w:val="Compact"/>
              <w:spacing w:before="0" w:after="0" w:line="240" w:lineRule="auto"/>
              <w:jc w:val="right"/>
            </w:pPr>
            <w:r>
              <w:rPr>
                <w:b w:val="0"/>
                <w:color w:val="000000"/>
                <w:sz w:val="16"/>
              </w:rPr>
              <w:t xml:space="preserve">−0.74</w:t>
            </w:r>
          </w:p>
        </w:tc>
      </w:tr>
    </w:tbl>
    <w:p>
      <w:pPr>
        <w:pStyle w:val="BodyText"/>
        <w:spacing w:before="40" w:after="200" w:line="240" w:lineRule="auto"/>
        <w:rPr>
          <w:sz w:val="22"/>
        </w:rPr>
      </w:pPr>
      <w:r>
        <w:rPr>
          <w:b/>
          <w:bCs/>
          <w:sz w:val="22"/>
        </w:rPr>
        <w:t xml:space="preserve">(c) Summary metrics over 2015–2024.</w:t>
      </w:r>
    </w:p>
    <w:tbl>
      <w:tblPr>
        <w:tblStyle w:val="Table"/>
        <w:jc w:val="center"/>
        <w:tblLayout w:type="fixed"/>
        <w:tblLook w:firstRow="1" w:lastRow="0" w:firstColumn="0" w:lastColumn="0" w:noHBand="0" w:noVBand="0" w:val="0020"/>
        <w:tblW w:w="5000" w:type="pct"/>
        <w:tblCellMar>
          <w:top w:w="15" w:type="dxa"/>
          <w:bottom w:w="15" w:type="dxa"/>
          <w:left w:w="40" w:type="dxa"/>
          <w:right w:w="40" w:type="dxa"/>
        </w:tblCellMar>
        <w:tblBorders>
          <w:top w:val="single" w:sz="6" w:color="000000"/>
          <w:bottom w:val="single" w:sz="6" w:color="000000"/>
          <w:left w:val="none"/>
          <w:right w:val="none"/>
          <w:insideH w:val="none"/>
          <w:insideV w:val="none"/>
        </w:tblBorders>
      </w:tblPr>
      <w:tblGrid>
        <w:gridCol w:w="1584"/>
        <w:gridCol w:w="2112"/>
        <w:gridCol w:w="2112"/>
        <w:gridCol w:w="2112"/>
      </w:tblGrid>
      <w:tr>
        <w:trPr>
          <w:tblHeader w:val="on"/>
        </w:trPr>
        <w:tc>
          <w:tcPr>
            <w:tcBorders>
              <w:bottom w:val="single" w:sz="6" w:color="000000"/>
            </w:tcBorders>
          </w:tcPr>
          <w:p>
            <w:pPr>
              <w:pStyle w:val="Compact"/>
              <w:spacing w:before="20" w:after="20" w:line="240" w:lineRule="auto"/>
              <w:jc w:val="left"/>
            </w:pPr>
            <w:r>
              <w:rPr>
                <w:b/>
                <w:color w:val="000000"/>
                <w:sz w:val="16"/>
              </w:rPr>
              <w:t xml:space="preserve">Product</w:t>
            </w:r>
          </w:p>
        </w:tc>
        <w:tc>
          <w:tcPr>
            <w:tcBorders>
              <w:bottom w:val="single" w:sz="6" w:color="000000"/>
            </w:tcBorders>
          </w:tcPr>
          <w:p>
            <w:pPr>
              <w:pStyle w:val="Compact"/>
              <w:spacing w:before="20" w:after="20" w:line="240" w:lineRule="auto"/>
              <w:jc w:val="left"/>
            </w:pPr>
            <w:r>
              <w:rPr>
                <w:b/>
                <w:i/>
                <w:iCs/>
                <w:color w:val="000000"/>
                <w:sz w:val="16"/>
              </w:rPr>
              <w:t xml:space="preserve">r</w:t>
            </w:r>
            <w:r>
              <w:rPr>
                <w:b/>
                <w:color w:val="000000"/>
                <w:sz w:val="16"/>
              </w:rPr>
              <w:t xml:space="preserve"> </w:t>
            </w:r>
            <w:r>
              <w:rPr>
                <w:b/>
                <w:color w:val="000000"/>
                <w:sz w:val="16"/>
              </w:rPr>
              <w:t xml:space="preserve">vs inversion</w:t>
            </w:r>
          </w:p>
        </w:tc>
        <w:tc>
          <w:tcPr>
            <w:tcBorders>
              <w:bottom w:val="single" w:sz="6" w:color="000000"/>
            </w:tcBorders>
          </w:tcPr>
          <w:p>
            <w:pPr>
              <w:pStyle w:val="Compact"/>
              <w:spacing w:before="20" w:after="20" w:line="240" w:lineRule="auto"/>
              <w:jc w:val="left"/>
            </w:pPr>
            <w:r>
              <w:rPr>
                <w:b/>
                <w:color w:val="000000"/>
                <w:sz w:val="16"/>
              </w:rPr>
              <w:t xml:space="preserve">Growth-rate RMSE (ppm yr⁻¹)</w:t>
            </w:r>
          </w:p>
        </w:tc>
        <w:tc>
          <w:tcPr>
            <w:tcBorders>
              <w:bottom w:val="single" w:sz="6" w:color="000000"/>
            </w:tcBorders>
          </w:tcPr>
          <w:p>
            <w:pPr>
              <w:pStyle w:val="Compact"/>
              <w:spacing w:before="20" w:after="20" w:line="240" w:lineRule="auto"/>
              <w:jc w:val="left"/>
            </w:pPr>
            <w:r>
              <w:rPr>
                <w:b/>
                <w:color w:val="000000"/>
                <w:sz w:val="16"/>
              </w:rPr>
              <w:t xml:space="preserve">BIM RMS (PgC yr⁻¹)</w:t>
            </w:r>
          </w:p>
        </w:tc>
      </w:tr>
      <w:tr>
        <w:tc>
          <w:tcPr/>
          <w:p>
            <w:pPr>
              <w:pStyle w:val="Compact"/>
              <w:spacing w:before="0" w:after="0" w:line="240" w:lineRule="auto"/>
            </w:pPr>
            <w:r>
              <w:rPr>
                <w:b w:val="0"/>
                <w:color w:val="000000"/>
                <w:sz w:val="16"/>
              </w:rPr>
              <w:t xml:space="preserve">NOAA MBL</w:t>
            </w:r>
          </w:p>
        </w:tc>
        <w:tc>
          <w:tcPr/>
          <w:p>
            <w:pPr>
              <w:pStyle w:val="Compact"/>
              <w:spacing w:before="0" w:after="0" w:line="240" w:lineRule="auto"/>
              <w:jc w:val="right"/>
            </w:pPr>
            <w:r>
              <w:rPr>
                <w:b w:val="0"/>
                <w:color w:val="000000"/>
                <w:sz w:val="16"/>
              </w:rPr>
              <w:t xml:space="preserve">0.889</w:t>
            </w:r>
          </w:p>
        </w:tc>
        <w:tc>
          <w:tcPr/>
          <w:p>
            <w:pPr>
              <w:pStyle w:val="Compact"/>
              <w:spacing w:before="0" w:after="0" w:line="240" w:lineRule="auto"/>
              <w:jc w:val="right"/>
            </w:pPr>
            <w:r>
              <w:rPr>
                <w:b w:val="0"/>
                <w:color w:val="000000"/>
                <w:sz w:val="16"/>
              </w:rPr>
              <w:t xml:space="preserve">0.205</w:t>
            </w:r>
          </w:p>
        </w:tc>
        <w:tc>
          <w:tcPr/>
          <w:p>
            <w:pPr>
              <w:pStyle w:val="Compact"/>
              <w:spacing w:before="0" w:after="0" w:line="240" w:lineRule="auto"/>
              <w:jc w:val="right"/>
            </w:pPr>
            <w:r>
              <w:rPr>
                <w:b w:val="0"/>
                <w:color w:val="000000"/>
                <w:sz w:val="16"/>
              </w:rPr>
              <w:t xml:space="preserve">0.622</w:t>
            </w:r>
          </w:p>
        </w:tc>
      </w:tr>
      <w:tr>
        <w:tc>
          <w:tcPr/>
          <w:p>
            <w:pPr>
              <w:pStyle w:val="Compact"/>
              <w:spacing w:before="0" w:after="0" w:line="240" w:lineRule="auto"/>
            </w:pPr>
            <w:r>
              <w:rPr>
                <w:b w:val="0"/>
                <w:color w:val="000000"/>
                <w:sz w:val="16"/>
              </w:rPr>
              <w:t xml:space="preserve">GCB in situ inversion median</w:t>
            </w:r>
          </w:p>
        </w:tc>
        <w:tc>
          <w:tcPr/>
          <w:p>
            <w:pPr>
              <w:pStyle w:val="Compact"/>
              <w:spacing w:before="0" w:after="0" w:line="240" w:lineRule="auto"/>
              <w:jc w:val="right"/>
            </w:pPr>
            <w:r>
              <w:rPr>
                <w:b w:val="0"/>
                <w:color w:val="000000"/>
                <w:sz w:val="16"/>
              </w:rPr>
              <w:t xml:space="preserve">n/a</w:t>
            </w:r>
          </w:p>
        </w:tc>
        <w:tc>
          <w:tcPr/>
          <w:p>
            <w:pPr>
              <w:pStyle w:val="Compact"/>
              <w:spacing w:before="0" w:after="0" w:line="240" w:lineRule="auto"/>
              <w:jc w:val="right"/>
            </w:pPr>
            <w:r>
              <w:rPr>
                <w:b w:val="0"/>
                <w:color w:val="000000"/>
                <w:sz w:val="16"/>
              </w:rPr>
              <w:t xml:space="preserve">n/a</w:t>
            </w:r>
          </w:p>
        </w:tc>
        <w:tc>
          <w:tcPr/>
          <w:p>
            <w:pPr>
              <w:pStyle w:val="Compact"/>
              <w:spacing w:before="0" w:after="0" w:line="240" w:lineRule="auto"/>
              <w:jc w:val="right"/>
            </w:pPr>
            <w:r>
              <w:rPr>
                <w:b w:val="0"/>
                <w:color w:val="000000"/>
                <w:sz w:val="16"/>
              </w:rPr>
              <w:t xml:space="preserve">0.475</w:t>
            </w:r>
          </w:p>
        </w:tc>
      </w:tr>
      <w:tr>
        <w:tc>
          <w:tcPr/>
          <w:p>
            <w:pPr>
              <w:pStyle w:val="Compact"/>
              <w:spacing w:before="0" w:after="0" w:line="240" w:lineRule="auto"/>
            </w:pPr>
            <w:r>
              <w:rPr>
                <w:b w:val="0"/>
                <w:color w:val="000000"/>
                <w:sz w:val="16"/>
              </w:rPr>
              <w:t xml:space="preserve">OCO-2 GRESO</w:t>
            </w:r>
          </w:p>
        </w:tc>
        <w:tc>
          <w:tcPr/>
          <w:p>
            <w:pPr>
              <w:pStyle w:val="Compact"/>
              <w:spacing w:before="0" w:after="0" w:line="240" w:lineRule="auto"/>
              <w:jc w:val="right"/>
            </w:pPr>
            <w:r>
              <w:rPr>
                <w:b w:val="0"/>
                <w:color w:val="000000"/>
                <w:sz w:val="16"/>
              </w:rPr>
              <w:t xml:space="preserve">0.978</w:t>
            </w:r>
          </w:p>
        </w:tc>
        <w:tc>
          <w:tcPr/>
          <w:p>
            <w:pPr>
              <w:pStyle w:val="Compact"/>
              <w:spacing w:before="0" w:after="0" w:line="240" w:lineRule="auto"/>
              <w:jc w:val="right"/>
            </w:pPr>
            <w:r>
              <w:rPr>
                <w:b w:val="0"/>
                <w:color w:val="000000"/>
                <w:sz w:val="16"/>
              </w:rPr>
              <w:t xml:space="preserve">0.089</w:t>
            </w:r>
          </w:p>
        </w:tc>
        <w:tc>
          <w:tcPr/>
          <w:p>
            <w:pPr>
              <w:pStyle w:val="Compact"/>
              <w:spacing w:before="0" w:after="0" w:line="240" w:lineRule="auto"/>
              <w:jc w:val="right"/>
            </w:pPr>
            <w:r>
              <w:rPr>
                <w:b w:val="0"/>
                <w:color w:val="000000"/>
                <w:sz w:val="16"/>
              </w:rPr>
              <w:t xml:space="preserve">0.501</w:t>
            </w:r>
          </w:p>
        </w:tc>
      </w:tr>
      <w:tr>
        <w:tc>
          <w:tcPr/>
          <w:p>
            <w:pPr>
              <w:pStyle w:val="Compact"/>
              <w:spacing w:before="0" w:after="0" w:line="240" w:lineRule="auto"/>
            </w:pPr>
            <w:r>
              <w:rPr>
                <w:b w:val="0"/>
                <w:color w:val="000000"/>
                <w:sz w:val="16"/>
              </w:rPr>
              <w:t xml:space="preserve">GOSAT GRESO</w:t>
            </w:r>
          </w:p>
        </w:tc>
        <w:tc>
          <w:tcPr/>
          <w:p>
            <w:pPr>
              <w:pStyle w:val="Compact"/>
              <w:spacing w:before="0" w:after="0" w:line="240" w:lineRule="auto"/>
              <w:jc w:val="right"/>
            </w:pPr>
            <w:r>
              <w:rPr>
                <w:b w:val="0"/>
                <w:color w:val="000000"/>
                <w:sz w:val="16"/>
              </w:rPr>
              <w:t xml:space="preserve">0.983</w:t>
            </w:r>
          </w:p>
        </w:tc>
        <w:tc>
          <w:tcPr/>
          <w:p>
            <w:pPr>
              <w:pStyle w:val="Compact"/>
              <w:spacing w:before="0" w:after="0" w:line="240" w:lineRule="auto"/>
              <w:jc w:val="right"/>
            </w:pPr>
            <w:r>
              <w:rPr>
                <w:b w:val="0"/>
                <w:color w:val="000000"/>
                <w:sz w:val="16"/>
              </w:rPr>
              <w:t xml:space="preserve">0.079</w:t>
            </w:r>
          </w:p>
        </w:tc>
        <w:tc>
          <w:tcPr/>
          <w:p>
            <w:pPr>
              <w:pStyle w:val="Compact"/>
              <w:spacing w:before="0" w:after="0" w:line="240" w:lineRule="auto"/>
              <w:jc w:val="right"/>
            </w:pPr>
            <w:r>
              <w:rPr>
                <w:b w:val="0"/>
                <w:color w:val="000000"/>
                <w:sz w:val="16"/>
              </w:rPr>
              <w:t xml:space="preserve">0.548</w:t>
            </w:r>
          </w:p>
        </w:tc>
      </w:tr>
      <w:tr>
        <w:tc>
          <w:tcPr/>
          <w:p>
            <w:pPr>
              <w:pStyle w:val="Compact"/>
              <w:spacing w:before="0" w:after="0" w:line="240" w:lineRule="auto"/>
            </w:pPr>
            <w:r>
              <w:rPr>
                <w:b w:val="0"/>
                <w:color w:val="000000"/>
                <w:sz w:val="16"/>
              </w:rPr>
              <w:t xml:space="preserve">OCO-2/GOSAT mean</w:t>
            </w:r>
          </w:p>
        </w:tc>
        <w:tc>
          <w:tcPr/>
          <w:p>
            <w:pPr>
              <w:pStyle w:val="Compact"/>
              <w:spacing w:before="0" w:after="0" w:line="240" w:lineRule="auto"/>
              <w:jc w:val="right"/>
            </w:pPr>
            <w:r>
              <w:rPr>
                <w:b w:val="0"/>
                <w:color w:val="000000"/>
                <w:sz w:val="16"/>
              </w:rPr>
              <w:t xml:space="preserve">0.986</w:t>
            </w:r>
          </w:p>
        </w:tc>
        <w:tc>
          <w:tcPr/>
          <w:p>
            <w:pPr>
              <w:pStyle w:val="Compact"/>
              <w:spacing w:before="0" w:after="0" w:line="240" w:lineRule="auto"/>
              <w:jc w:val="right"/>
            </w:pPr>
            <w:r>
              <w:rPr>
                <w:b w:val="0"/>
                <w:color w:val="000000"/>
                <w:sz w:val="16"/>
              </w:rPr>
              <w:t xml:space="preserve">0.070</w:t>
            </w:r>
          </w:p>
        </w:tc>
        <w:tc>
          <w:tcPr/>
          <w:p>
            <w:pPr>
              <w:pStyle w:val="Compact"/>
              <w:spacing w:before="0" w:after="0" w:line="240" w:lineRule="auto"/>
              <w:jc w:val="right"/>
            </w:pPr>
            <w:r>
              <w:rPr>
                <w:b w:val="0"/>
                <w:color w:val="000000"/>
                <w:sz w:val="16"/>
              </w:rPr>
              <w:t xml:space="preserve">0.516</w:t>
            </w:r>
          </w:p>
        </w:tc>
      </w:tr>
    </w:tbl>
    <w:bookmarkEnd w:id="57"/>
    <w:bookmarkStart w:id="81" w:name="references"/>
    <w:p>
      <w:pPr>
        <w:pStyle w:val="Heading2"/>
        <w:spacing w:before="160" w:after="80" w:line="240" w:lineRule="auto"/>
      </w:pPr>
      <w:r>
        <w:t xml:space="preserve">References</w:t>
      </w:r>
    </w:p>
    <w:bookmarkStart w:id="80" w:name="refs"/>
    <w:bookmarkStart w:id="59" w:name="ref-Pandey2024"/>
    <w:p>
      <w:pPr>
        <w:pStyle w:val="Bibliography"/>
        <w:spacing w:before="40" w:after="200" w:line="240" w:lineRule="auto"/>
        <w:rPr>
          <w:sz w:val="22"/>
        </w:rPr>
      </w:pPr>
      <w:r>
        <w:rPr>
          <w:sz w:val="22"/>
        </w:rPr>
        <w:t xml:space="preserve">1.</w:t>
      </w:r>
      <w:r>
        <w:rPr>
          <w:sz w:val="22"/>
        </w:rPr>
        <w:t xml:space="preserve"> </w:t>
      </w:r>
      <w:r>
        <w:rPr>
          <w:sz w:val="22"/>
        </w:rPr>
        <w:t xml:space="preserve">	</w:t>
      </w:r>
      <w:r>
        <w:rPr>
          <w:sz w:val="22"/>
        </w:rPr>
        <w:t xml:space="preserve">Pandey, S.</w:t>
      </w:r>
      <w:r>
        <w:rPr>
          <w:sz w:val="22"/>
        </w:rPr>
        <w:t xml:space="preserve"> </w:t>
      </w:r>
      <w:r>
        <w:rPr>
          <w:i/>
          <w:iCs/>
          <w:sz w:val="22"/>
        </w:rPr>
        <w:t xml:space="preserve">et al.</w:t>
      </w:r>
      <w:r>
        <w:rPr>
          <w:sz w:val="22"/>
        </w:rPr>
        <w:t xml:space="preserve"> </w:t>
      </w:r>
      <w:hyperlink r:id="rId58">
        <w:r>
          <w:rPr>
            <w:rStyle w:val="Hyperlink"/>
          </w:rPr>
          <w:t xml:space="preserve">Toward Low‐Latency Estimation of Atmospheric CO</w:t>
        </w:r>
        <w:r>
          <w:rPr>
            <w:rStyle w:val="Hyperlink"/>
          </w:rPr>
          <w:t xml:space="preserve"> </w:t>
        </w:r>
        <m:oMath>
          <m:sSub>
            <m:e>
              <m:r>
                <m:t>​</m:t>
              </m:r>
            </m:e>
            <m:sub>
              <m:r>
                <m:t>2</m:t>
              </m:r>
            </m:sub>
          </m:sSub>
        </m:oMath>
        <w:r>
          <w:rPr>
            <w:rStyle w:val="Hyperlink"/>
          </w:rPr>
          <w:t xml:space="preserve"> </w:t>
        </w:r>
        <w:r>
          <w:rPr>
            <w:rStyle w:val="Hyperlink"/>
          </w:rPr>
          <w:t xml:space="preserve">Growth Rates Using Satellite Observations: Evaluating Sampling Errors of Satellite and In Situ Observing Approaches</w:t>
        </w:r>
      </w:hyperlink>
      <w:r>
        <w:rPr>
          <w:sz w:val="22"/>
        </w:rPr>
        <w:t xml:space="preserve">.</w:t>
      </w:r>
      <w:r>
        <w:rPr>
          <w:sz w:val="22"/>
        </w:rPr>
        <w:t xml:space="preserve"> </w:t>
      </w:r>
      <w:r>
        <w:rPr>
          <w:i/>
          <w:iCs/>
          <w:sz w:val="22"/>
        </w:rPr>
        <w:t xml:space="preserve">AGU Advances</w:t>
      </w:r>
      <w:r>
        <w:rPr>
          <w:sz w:val="22"/>
        </w:rPr>
        <w:t xml:space="preserve"> </w:t>
      </w:r>
      <w:r>
        <w:rPr>
          <w:b/>
          <w:bCs/>
          <w:sz w:val="22"/>
        </w:rPr>
        <w:t xml:space="preserve">5</w:t>
      </w:r>
      <w:r>
        <w:rPr>
          <w:sz w:val="22"/>
        </w:rPr>
        <w:t xml:space="preserve">, (2024).</w:t>
      </w:r>
    </w:p>
    <w:bookmarkEnd w:id="59"/>
    <w:bookmarkStart w:id="61" w:name="ref-Pandey2025b"/>
    <w:p>
      <w:pPr>
        <w:pStyle w:val="Bibliography"/>
        <w:spacing w:before="40" w:after="200" w:line="240" w:lineRule="auto"/>
        <w:rPr>
          <w:sz w:val="22"/>
        </w:rPr>
      </w:pPr>
      <w:r>
        <w:rPr>
          <w:sz w:val="22"/>
        </w:rPr>
        <w:t xml:space="preserve">2.</w:t>
      </w:r>
      <w:r>
        <w:rPr>
          <w:sz w:val="22"/>
        </w:rPr>
        <w:t xml:space="preserve"> </w:t>
      </w:r>
      <w:r>
        <w:rPr>
          <w:sz w:val="22"/>
        </w:rPr>
        <w:t xml:space="preserve">	</w:t>
      </w:r>
      <w:r>
        <w:rPr>
          <w:sz w:val="22"/>
        </w:rPr>
        <w:t xml:space="preserve">Pandey, S.</w:t>
      </w:r>
      <w:r>
        <w:rPr>
          <w:sz w:val="22"/>
        </w:rPr>
        <w:t xml:space="preserve"> </w:t>
      </w:r>
      <w:r>
        <w:rPr>
          <w:i/>
          <w:iCs/>
          <w:sz w:val="22"/>
        </w:rPr>
        <w:t xml:space="preserve">et al.</w:t>
      </w:r>
      <w:r>
        <w:rPr>
          <w:sz w:val="22"/>
        </w:rPr>
        <w:t xml:space="preserve"> </w:t>
      </w:r>
      <w:hyperlink r:id="rId60">
        <w:r>
          <w:rPr>
            <w:rStyle w:val="Hyperlink"/>
          </w:rPr>
          <w:t xml:space="preserve">Reduction in Earth’s carbon budget imbalance</w:t>
        </w:r>
      </w:hyperlink>
      <w:r>
        <w:rPr>
          <w:sz w:val="22"/>
        </w:rPr>
        <w:t xml:space="preserve">.</w:t>
      </w:r>
      <w:r>
        <w:rPr>
          <w:sz w:val="22"/>
        </w:rPr>
        <w:t xml:space="preserve"> </w:t>
      </w:r>
      <w:r>
        <w:rPr>
          <w:i/>
          <w:iCs/>
          <w:sz w:val="22"/>
        </w:rPr>
        <w:t xml:space="preserve">Nature Communications</w:t>
      </w:r>
      <w:r>
        <w:rPr>
          <w:sz w:val="22"/>
        </w:rPr>
        <w:t xml:space="preserve"> </w:t>
      </w:r>
      <w:r>
        <w:rPr>
          <w:b/>
          <w:bCs/>
          <w:sz w:val="22"/>
        </w:rPr>
        <w:t xml:space="preserve">16</w:t>
      </w:r>
      <w:r>
        <w:rPr>
          <w:sz w:val="22"/>
        </w:rPr>
        <w:t xml:space="preserve">, (2025).</w:t>
      </w:r>
    </w:p>
    <w:bookmarkEnd w:id="61"/>
    <w:bookmarkStart w:id="63" w:name="ref-Friedlingstein2025b"/>
    <w:p>
      <w:pPr>
        <w:pStyle w:val="Bibliography"/>
        <w:spacing w:before="40" w:after="200" w:line="240" w:lineRule="auto"/>
        <w:rPr>
          <w:sz w:val="22"/>
        </w:rPr>
      </w:pPr>
      <w:r>
        <w:rPr>
          <w:sz w:val="22"/>
        </w:rPr>
        <w:t xml:space="preserve">3.</w:t>
      </w:r>
      <w:r>
        <w:rPr>
          <w:sz w:val="22"/>
        </w:rPr>
        <w:t xml:space="preserve"> </w:t>
      </w:r>
      <w:r>
        <w:rPr>
          <w:sz w:val="22"/>
        </w:rPr>
        <w:t xml:space="preserve">	</w:t>
      </w:r>
      <w:r>
        <w:rPr>
          <w:sz w:val="22"/>
        </w:rPr>
        <w:t xml:space="preserve">Friedlingstein, P.</w:t>
      </w:r>
      <w:r>
        <w:rPr>
          <w:sz w:val="22"/>
        </w:rPr>
        <w:t xml:space="preserve"> </w:t>
      </w:r>
      <w:r>
        <w:rPr>
          <w:i/>
          <w:iCs/>
          <w:sz w:val="22"/>
        </w:rPr>
        <w:t xml:space="preserve">et al.</w:t>
      </w:r>
      <w:r>
        <w:rPr>
          <w:sz w:val="22"/>
        </w:rPr>
        <w:t xml:space="preserve"> </w:t>
      </w:r>
      <w:hyperlink r:id="rId62">
        <w:r>
          <w:rPr>
            <w:rStyle w:val="Hyperlink"/>
          </w:rPr>
          <w:t xml:space="preserve">Emerging climate impact on carbon sinks in a consolidated carbon budget</w:t>
        </w:r>
      </w:hyperlink>
      <w:r>
        <w:rPr>
          <w:sz w:val="22"/>
        </w:rPr>
        <w:t xml:space="preserve">.</w:t>
      </w:r>
      <w:r>
        <w:rPr>
          <w:sz w:val="22"/>
        </w:rPr>
        <w:t xml:space="preserve"> </w:t>
      </w:r>
      <w:r>
        <w:rPr>
          <w:i/>
          <w:iCs/>
          <w:sz w:val="22"/>
        </w:rPr>
        <w:t xml:space="preserve">Nature</w:t>
      </w:r>
      <w:r>
        <w:rPr>
          <w:sz w:val="22"/>
        </w:rPr>
        <w:t xml:space="preserve"> </w:t>
      </w:r>
      <w:r>
        <w:rPr>
          <w:b/>
          <w:bCs/>
          <w:sz w:val="22"/>
        </w:rPr>
        <w:t xml:space="preserve">649</w:t>
      </w:r>
      <w:r>
        <w:rPr>
          <w:sz w:val="22"/>
        </w:rPr>
        <w:t xml:space="preserve">, 98–103 (2025).</w:t>
      </w:r>
    </w:p>
    <w:bookmarkEnd w:id="63"/>
    <w:bookmarkStart w:id="65" w:name="ref-Taylor2023a"/>
    <w:p>
      <w:pPr>
        <w:pStyle w:val="Bibliography"/>
        <w:spacing w:before="40" w:after="200" w:line="240" w:lineRule="auto"/>
        <w:rPr>
          <w:sz w:val="22"/>
        </w:rPr>
      </w:pPr>
      <w:r>
        <w:rPr>
          <w:sz w:val="22"/>
        </w:rPr>
        <w:t xml:space="preserve">4.</w:t>
      </w:r>
      <w:r>
        <w:rPr>
          <w:sz w:val="22"/>
        </w:rPr>
        <w:t xml:space="preserve"> </w:t>
      </w:r>
      <w:r>
        <w:rPr>
          <w:sz w:val="22"/>
        </w:rPr>
        <w:t xml:space="preserve">	</w:t>
      </w:r>
      <w:r>
        <w:rPr>
          <w:sz w:val="22"/>
        </w:rPr>
        <w:t xml:space="preserve">Taylor, T. E.</w:t>
      </w:r>
      <w:r>
        <w:rPr>
          <w:sz w:val="22"/>
        </w:rPr>
        <w:t xml:space="preserve"> </w:t>
      </w:r>
      <w:r>
        <w:rPr>
          <w:i/>
          <w:iCs/>
          <w:sz w:val="22"/>
        </w:rPr>
        <w:t xml:space="preserve">et al.</w:t>
      </w:r>
      <w:r>
        <w:rPr>
          <w:sz w:val="22"/>
        </w:rPr>
        <w:t xml:space="preserve"> </w:t>
      </w:r>
      <w:hyperlink r:id="rId64">
        <w:r>
          <w:rPr>
            <w:rStyle w:val="Hyperlink"/>
          </w:rPr>
          <w:t xml:space="preserve">Evaluating the consistency between OCO-2 and OCO-3 XCO</w:t>
        </w:r>
        <w:r>
          <w:rPr>
            <w:rStyle w:val="Hyperlink"/>
            <w:vertAlign w:val="subscript"/>
          </w:rPr>
          <w:t xml:space="preserve">2</w:t>
        </w:r>
        <w:r>
          <w:rPr>
            <w:rStyle w:val="Hyperlink"/>
          </w:rPr>
          <w:t xml:space="preserve"> </w:t>
        </w:r>
        <w:r>
          <w:rPr>
            <w:rStyle w:val="Hyperlink"/>
          </w:rPr>
          <w:t xml:space="preserve">estimates derived from the NASA ACOS version 10 retrieval algorithm</w:t>
        </w:r>
      </w:hyperlink>
      <w:r>
        <w:rPr>
          <w:sz w:val="22"/>
        </w:rPr>
        <w:t xml:space="preserve">.</w:t>
      </w:r>
      <w:r>
        <w:rPr>
          <w:sz w:val="22"/>
        </w:rPr>
        <w:t xml:space="preserve"> </w:t>
      </w:r>
      <w:r>
        <w:rPr>
          <w:i/>
          <w:iCs/>
          <w:sz w:val="22"/>
        </w:rPr>
        <w:t xml:space="preserve">Atmospheric Measurement Techniques</w:t>
      </w:r>
      <w:r>
        <w:rPr>
          <w:sz w:val="22"/>
        </w:rPr>
        <w:t xml:space="preserve"> </w:t>
      </w:r>
      <w:r>
        <w:rPr>
          <w:b/>
          <w:bCs/>
          <w:sz w:val="22"/>
        </w:rPr>
        <w:t xml:space="preserve">16</w:t>
      </w:r>
      <w:r>
        <w:rPr>
          <w:sz w:val="22"/>
        </w:rPr>
        <w:t xml:space="preserve">, 3173–3209 (2023).</w:t>
      </w:r>
    </w:p>
    <w:bookmarkEnd w:id="65"/>
    <w:bookmarkStart w:id="67" w:name="ref-Wunch2017"/>
    <w:p>
      <w:pPr>
        <w:pStyle w:val="Bibliography"/>
        <w:spacing w:before="40" w:after="200" w:line="240" w:lineRule="auto"/>
        <w:rPr>
          <w:sz w:val="22"/>
        </w:rPr>
      </w:pPr>
      <w:r>
        <w:rPr>
          <w:sz w:val="22"/>
        </w:rPr>
        <w:t xml:space="preserve">5.</w:t>
      </w:r>
      <w:r>
        <w:rPr>
          <w:sz w:val="22"/>
        </w:rPr>
        <w:t xml:space="preserve"> </w:t>
      </w:r>
      <w:r>
        <w:rPr>
          <w:sz w:val="22"/>
        </w:rPr>
        <w:t xml:space="preserve">	</w:t>
      </w:r>
      <w:r>
        <w:rPr>
          <w:sz w:val="22"/>
        </w:rPr>
        <w:t xml:space="preserve">Wunch, D.</w:t>
      </w:r>
      <w:r>
        <w:rPr>
          <w:sz w:val="22"/>
        </w:rPr>
        <w:t xml:space="preserve"> </w:t>
      </w:r>
      <w:r>
        <w:rPr>
          <w:i/>
          <w:iCs/>
          <w:sz w:val="22"/>
        </w:rPr>
        <w:t xml:space="preserve">et al.</w:t>
      </w:r>
      <w:r>
        <w:rPr>
          <w:sz w:val="22"/>
        </w:rPr>
        <w:t xml:space="preserve"> </w:t>
      </w:r>
      <w:hyperlink r:id="rId66">
        <w:r>
          <w:rPr>
            <w:rStyle w:val="Hyperlink"/>
          </w:rPr>
          <w:t xml:space="preserve">Comparisons of the Orbiting Carbon Observatory-2 (OCO-2) XCO</w:t>
        </w:r>
        <m:oMath>
          <m:sSub>
            <m:e>
              <m:r>
                <m:t>​</m:t>
              </m:r>
            </m:e>
            <m:sub>
              <m:r>
                <m:t>2</m:t>
              </m:r>
            </m:sub>
          </m:sSub>
        </m:oMath>
        <w:r>
          <w:rPr>
            <w:rStyle w:val="Hyperlink"/>
          </w:rPr>
          <w:t xml:space="preserve"> </w:t>
        </w:r>
        <w:r>
          <w:rPr>
            <w:rStyle w:val="Hyperlink"/>
          </w:rPr>
          <w:t xml:space="preserve">measurements with TCCON</w:t>
        </w:r>
      </w:hyperlink>
      <w:r>
        <w:rPr>
          <w:sz w:val="22"/>
        </w:rPr>
        <w:t xml:space="preserve">.</w:t>
      </w:r>
      <w:r>
        <w:rPr>
          <w:sz w:val="22"/>
        </w:rPr>
        <w:t xml:space="preserve"> </w:t>
      </w:r>
      <w:r>
        <w:rPr>
          <w:i/>
          <w:iCs/>
          <w:sz w:val="22"/>
        </w:rPr>
        <w:t xml:space="preserve">Atmospheric Measurement Techniques</w:t>
      </w:r>
      <w:r>
        <w:rPr>
          <w:sz w:val="22"/>
        </w:rPr>
        <w:t xml:space="preserve"> </w:t>
      </w:r>
      <w:r>
        <w:rPr>
          <w:b/>
          <w:bCs/>
          <w:sz w:val="22"/>
        </w:rPr>
        <w:t xml:space="preserve">10</w:t>
      </w:r>
      <w:r>
        <w:rPr>
          <w:sz w:val="22"/>
        </w:rPr>
        <w:t xml:space="preserve">, 2209–2238 (2017).</w:t>
      </w:r>
    </w:p>
    <w:bookmarkEnd w:id="67"/>
    <w:bookmarkStart w:id="69" w:name="ref-Bertaux2020"/>
    <w:p>
      <w:pPr>
        <w:pStyle w:val="Bibliography"/>
        <w:spacing w:before="40" w:after="200" w:line="240" w:lineRule="auto"/>
        <w:rPr>
          <w:sz w:val="22"/>
        </w:rPr>
      </w:pPr>
      <w:r>
        <w:rPr>
          <w:sz w:val="22"/>
        </w:rPr>
        <w:t xml:space="preserve">6.</w:t>
      </w:r>
      <w:r>
        <w:rPr>
          <w:sz w:val="22"/>
        </w:rPr>
        <w:t xml:space="preserve"> </w:t>
      </w:r>
      <w:r>
        <w:rPr>
          <w:sz w:val="22"/>
        </w:rPr>
        <w:t xml:space="preserve">	</w:t>
      </w:r>
      <w:r>
        <w:rPr>
          <w:sz w:val="22"/>
        </w:rPr>
        <w:t xml:space="preserve">Bertaux, J.-L.</w:t>
      </w:r>
      <w:r>
        <w:rPr>
          <w:sz w:val="22"/>
        </w:rPr>
        <w:t xml:space="preserve"> </w:t>
      </w:r>
      <w:r>
        <w:rPr>
          <w:i/>
          <w:iCs/>
          <w:sz w:val="22"/>
        </w:rPr>
        <w:t xml:space="preserve">et al.</w:t>
      </w:r>
      <w:r>
        <w:rPr>
          <w:sz w:val="22"/>
        </w:rPr>
        <w:t xml:space="preserve"> </w:t>
      </w:r>
      <w:hyperlink r:id="rId68">
        <w:r>
          <w:rPr>
            <w:rStyle w:val="Hyperlink"/>
          </w:rPr>
          <w:t xml:space="preserve">The use of the 1.27 </w:t>
        </w:r>
        <w:r>
          <w:rPr>
            <w:rStyle w:val="Hyperlink"/>
          </w:rPr>
          <w:t xml:space="preserve">m O</w:t>
        </w:r>
        <m:oMath>
          <m:sSub>
            <m:e>
              <m:r>
                <m:t>​</m:t>
              </m:r>
            </m:e>
            <m:sub>
              <m:r>
                <m:t>2</m:t>
              </m:r>
            </m:sub>
          </m:sSub>
        </m:oMath>
        <w:r>
          <w:rPr>
            <w:rStyle w:val="Hyperlink"/>
          </w:rPr>
          <w:t xml:space="preserve"> </w:t>
        </w:r>
        <w:r>
          <w:rPr>
            <w:rStyle w:val="Hyperlink"/>
          </w:rPr>
          <w:t xml:space="preserve">absorption band for greenhouse gas monitoring from space and application to MicroCarb</w:t>
        </w:r>
      </w:hyperlink>
      <w:r>
        <w:rPr>
          <w:sz w:val="22"/>
        </w:rPr>
        <w:t xml:space="preserve">.</w:t>
      </w:r>
      <w:r>
        <w:rPr>
          <w:sz w:val="22"/>
        </w:rPr>
        <w:t xml:space="preserve"> </w:t>
      </w:r>
      <w:r>
        <w:rPr>
          <w:i/>
          <w:iCs/>
          <w:sz w:val="22"/>
        </w:rPr>
        <w:t xml:space="preserve">Atmospheric Measurement Techniques</w:t>
      </w:r>
      <w:r>
        <w:rPr>
          <w:sz w:val="22"/>
        </w:rPr>
        <w:t xml:space="preserve"> </w:t>
      </w:r>
      <w:r>
        <w:rPr>
          <w:b/>
          <w:bCs/>
          <w:sz w:val="22"/>
        </w:rPr>
        <w:t xml:space="preserve">13</w:t>
      </w:r>
      <w:r>
        <w:rPr>
          <w:sz w:val="22"/>
        </w:rPr>
        <w:t xml:space="preserve">, 3329–3374 (2020).</w:t>
      </w:r>
    </w:p>
    <w:bookmarkEnd w:id="69"/>
    <w:bookmarkStart w:id="71" w:name="ref-Imasu2023"/>
    <w:p>
      <w:pPr>
        <w:pStyle w:val="Bibliography"/>
        <w:spacing w:before="40" w:after="200" w:line="240" w:lineRule="auto"/>
        <w:rPr>
          <w:sz w:val="22"/>
        </w:rPr>
      </w:pPr>
      <w:r>
        <w:rPr>
          <w:sz w:val="22"/>
        </w:rPr>
        <w:t xml:space="preserve">7.</w:t>
      </w:r>
      <w:r>
        <w:rPr>
          <w:sz w:val="22"/>
        </w:rPr>
        <w:t xml:space="preserve"> </w:t>
      </w:r>
      <w:r>
        <w:rPr>
          <w:sz w:val="22"/>
        </w:rPr>
        <w:t xml:space="preserve">	</w:t>
      </w:r>
      <w:r>
        <w:rPr>
          <w:sz w:val="22"/>
        </w:rPr>
        <w:t xml:space="preserve">Imasu, R.</w:t>
      </w:r>
      <w:r>
        <w:rPr>
          <w:sz w:val="22"/>
        </w:rPr>
        <w:t xml:space="preserve"> </w:t>
      </w:r>
      <w:r>
        <w:rPr>
          <w:i/>
          <w:iCs/>
          <w:sz w:val="22"/>
        </w:rPr>
        <w:t xml:space="preserve">et al.</w:t>
      </w:r>
      <w:r>
        <w:rPr>
          <w:sz w:val="22"/>
        </w:rPr>
        <w:t xml:space="preserve"> </w:t>
      </w:r>
      <w:hyperlink r:id="rId70">
        <w:r>
          <w:rPr>
            <w:rStyle w:val="Hyperlink"/>
          </w:rPr>
          <w:t xml:space="preserve">Greenhouse gases Observing SATellite 2 (GOSAT-2): mission overview</w:t>
        </w:r>
      </w:hyperlink>
      <w:r>
        <w:rPr>
          <w:sz w:val="22"/>
        </w:rPr>
        <w:t xml:space="preserve">.</w:t>
      </w:r>
      <w:r>
        <w:rPr>
          <w:sz w:val="22"/>
        </w:rPr>
        <w:t xml:space="preserve"> </w:t>
      </w:r>
      <w:r>
        <w:rPr>
          <w:i/>
          <w:iCs/>
          <w:sz w:val="22"/>
        </w:rPr>
        <w:t xml:space="preserve">Progress in Earth and Planetary Science</w:t>
      </w:r>
      <w:r>
        <w:rPr>
          <w:sz w:val="22"/>
        </w:rPr>
        <w:t xml:space="preserve"> </w:t>
      </w:r>
      <w:r>
        <w:rPr>
          <w:b/>
          <w:bCs/>
          <w:sz w:val="22"/>
        </w:rPr>
        <w:t xml:space="preserve">10</w:t>
      </w:r>
      <w:r>
        <w:rPr>
          <w:sz w:val="22"/>
        </w:rPr>
        <w:t xml:space="preserve">, (2023).</w:t>
      </w:r>
    </w:p>
    <w:bookmarkEnd w:id="71"/>
    <w:bookmarkStart w:id="73" w:name="ref-Sierk2021"/>
    <w:p>
      <w:pPr>
        <w:pStyle w:val="Bibliography"/>
        <w:spacing w:before="40" w:after="200" w:line="240" w:lineRule="auto"/>
        <w:rPr>
          <w:sz w:val="22"/>
        </w:rPr>
      </w:pPr>
      <w:r>
        <w:rPr>
          <w:sz w:val="22"/>
        </w:rPr>
        <w:t xml:space="preserve">8.</w:t>
      </w:r>
      <w:r>
        <w:rPr>
          <w:sz w:val="22"/>
        </w:rPr>
        <w:t xml:space="preserve"> </w:t>
      </w:r>
      <w:r>
        <w:rPr>
          <w:sz w:val="22"/>
        </w:rPr>
        <w:t xml:space="preserve">	</w:t>
      </w:r>
      <w:r>
        <w:rPr>
          <w:sz w:val="22"/>
        </w:rPr>
        <w:t xml:space="preserve">Sierk, B.</w:t>
      </w:r>
      <w:r>
        <w:rPr>
          <w:sz w:val="22"/>
        </w:rPr>
        <w:t xml:space="preserve"> </w:t>
      </w:r>
      <w:r>
        <w:rPr>
          <w:i/>
          <w:iCs/>
          <w:sz w:val="22"/>
        </w:rPr>
        <w:t xml:space="preserve">et al.</w:t>
      </w:r>
      <w:r>
        <w:rPr>
          <w:sz w:val="22"/>
        </w:rPr>
        <w:t xml:space="preserve"> </w:t>
      </w:r>
      <w:hyperlink r:id="rId72">
        <w:r>
          <w:rPr>
            <w:rStyle w:val="Hyperlink"/>
          </w:rPr>
          <w:t xml:space="preserve">The Copernicus CO</w:t>
        </w:r>
        <m:oMath>
          <m:sSub>
            <m:e>
              <m:r>
                <m:t>​</m:t>
              </m:r>
            </m:e>
            <m:sub>
              <m:r>
                <m:t>2</m:t>
              </m:r>
            </m:sub>
          </m:sSub>
        </m:oMath>
        <w:r>
          <w:rPr>
            <w:rStyle w:val="Hyperlink"/>
          </w:rPr>
          <w:t xml:space="preserve"> </w:t>
        </w:r>
        <w:r>
          <w:rPr>
            <w:rStyle w:val="Hyperlink"/>
          </w:rPr>
          <w:t xml:space="preserve">Monitoring (CO2M) mission for monitoring anthropogenic carbon dioxide emissions from space</w:t>
        </w:r>
      </w:hyperlink>
      <w:r>
        <w:rPr>
          <w:sz w:val="22"/>
        </w:rPr>
        <w:t xml:space="preserve">.</w:t>
      </w:r>
      <w:r>
        <w:rPr>
          <w:sz w:val="22"/>
        </w:rPr>
        <w:t xml:space="preserve"> </w:t>
      </w:r>
      <w:r>
        <w:rPr>
          <w:i/>
          <w:iCs/>
          <w:sz w:val="22"/>
        </w:rPr>
        <w:t xml:space="preserve">Proceedings of SPIE</w:t>
      </w:r>
      <w:r>
        <w:rPr>
          <w:sz w:val="22"/>
        </w:rPr>
        <w:t xml:space="preserve"> </w:t>
      </w:r>
      <w:r>
        <w:rPr>
          <w:b/>
          <w:bCs/>
          <w:sz w:val="22"/>
        </w:rPr>
        <w:t xml:space="preserve">11852</w:t>
      </w:r>
      <w:r>
        <w:rPr>
          <w:sz w:val="22"/>
        </w:rPr>
        <w:t xml:space="preserve">, (2021).</w:t>
      </w:r>
    </w:p>
    <w:bookmarkEnd w:id="73"/>
    <w:bookmarkStart w:id="75" w:name="ref-Kuze2009"/>
    <w:p>
      <w:pPr>
        <w:pStyle w:val="Bibliography"/>
        <w:spacing w:before="40" w:after="200" w:line="240" w:lineRule="auto"/>
        <w:rPr>
          <w:sz w:val="22"/>
        </w:rPr>
      </w:pPr>
      <w:r>
        <w:rPr>
          <w:sz w:val="22"/>
        </w:rPr>
        <w:t xml:space="preserve">9.</w:t>
      </w:r>
      <w:r>
        <w:rPr>
          <w:sz w:val="22"/>
        </w:rPr>
        <w:t xml:space="preserve"> </w:t>
      </w:r>
      <w:r>
        <w:rPr>
          <w:sz w:val="22"/>
        </w:rPr>
        <w:t xml:space="preserve">	</w:t>
      </w:r>
      <w:r>
        <w:rPr>
          <w:sz w:val="22"/>
        </w:rPr>
        <w:t xml:space="preserve">Kuze, A., Suto, H., Nakajima, M. &amp; Hamazaki, T.</w:t>
      </w:r>
      <w:r>
        <w:rPr>
          <w:sz w:val="22"/>
        </w:rPr>
        <w:t xml:space="preserve"> </w:t>
      </w:r>
      <w:hyperlink r:id="rId74">
        <w:r>
          <w:rPr>
            <w:rStyle w:val="Hyperlink"/>
          </w:rPr>
          <w:t xml:space="preserve">Thermal and near infrared sensor for carbon observation Fourier-transform spectrometer on the Greenhouse Gases Observing Satellite for greenhouse gases monitoring</w:t>
        </w:r>
      </w:hyperlink>
      <w:r>
        <w:rPr>
          <w:sz w:val="22"/>
        </w:rPr>
        <w:t xml:space="preserve">.</w:t>
      </w:r>
      <w:r>
        <w:rPr>
          <w:sz w:val="22"/>
        </w:rPr>
        <w:t xml:space="preserve"> </w:t>
      </w:r>
      <w:r>
        <w:rPr>
          <w:i/>
          <w:iCs/>
          <w:sz w:val="22"/>
        </w:rPr>
        <w:t xml:space="preserve">Applied Optics</w:t>
      </w:r>
      <w:r>
        <w:rPr>
          <w:sz w:val="22"/>
        </w:rPr>
        <w:t xml:space="preserve"> </w:t>
      </w:r>
      <w:r>
        <w:rPr>
          <w:b/>
          <w:bCs/>
          <w:sz w:val="22"/>
        </w:rPr>
        <w:t xml:space="preserve">48</w:t>
      </w:r>
      <w:r>
        <w:rPr>
          <w:sz w:val="22"/>
        </w:rPr>
        <w:t xml:space="preserve">, 6716–6733 (2009).</w:t>
      </w:r>
    </w:p>
    <w:bookmarkEnd w:id="75"/>
    <w:bookmarkStart w:id="77" w:name="ref-Buchwitz2018"/>
    <w:p>
      <w:pPr>
        <w:pStyle w:val="Bibliography"/>
        <w:spacing w:before="40" w:after="200" w:line="240" w:lineRule="auto"/>
        <w:rPr>
          <w:sz w:val="22"/>
        </w:rPr>
      </w:pPr>
      <w:r>
        <w:rPr>
          <w:sz w:val="22"/>
        </w:rPr>
        <w:t xml:space="preserve">10.</w:t>
      </w:r>
      <w:r>
        <w:rPr>
          <w:sz w:val="22"/>
        </w:rPr>
        <w:t xml:space="preserve"> </w:t>
      </w:r>
      <w:r>
        <w:rPr>
          <w:sz w:val="22"/>
        </w:rPr>
        <w:t xml:space="preserve">	</w:t>
      </w:r>
      <w:r>
        <w:rPr>
          <w:sz w:val="22"/>
        </w:rPr>
        <w:t xml:space="preserve">Buchwitz, M.</w:t>
      </w:r>
      <w:r>
        <w:rPr>
          <w:sz w:val="22"/>
        </w:rPr>
        <w:t xml:space="preserve"> </w:t>
      </w:r>
      <w:r>
        <w:rPr>
          <w:i/>
          <w:iCs/>
          <w:sz w:val="22"/>
        </w:rPr>
        <w:t xml:space="preserve">et al.</w:t>
      </w:r>
      <w:r>
        <w:rPr>
          <w:sz w:val="22"/>
        </w:rPr>
        <w:t xml:space="preserve"> </w:t>
      </w:r>
      <w:hyperlink r:id="rId76">
        <w:r>
          <w:rPr>
            <w:rStyle w:val="Hyperlink"/>
          </w:rPr>
          <w:t xml:space="preserve">Computation and analysis of atmospheric carbon dioxide annual mean growth rates from satellite observations during 2003–2016</w:t>
        </w:r>
      </w:hyperlink>
      <w:r>
        <w:rPr>
          <w:sz w:val="22"/>
        </w:rPr>
        <w:t xml:space="preserve">.</w:t>
      </w:r>
      <w:r>
        <w:rPr>
          <w:sz w:val="22"/>
        </w:rPr>
        <w:t xml:space="preserve"> </w:t>
      </w:r>
      <w:r>
        <w:rPr>
          <w:i/>
          <w:iCs/>
          <w:sz w:val="22"/>
        </w:rPr>
        <w:t xml:space="preserve">Atmospheric Measurement Techniques</w:t>
      </w:r>
      <w:r>
        <w:rPr>
          <w:sz w:val="22"/>
        </w:rPr>
        <w:t xml:space="preserve"> </w:t>
      </w:r>
      <w:r>
        <w:rPr>
          <w:b/>
          <w:bCs/>
          <w:sz w:val="22"/>
        </w:rPr>
        <w:t xml:space="preserve">11</w:t>
      </w:r>
      <w:r>
        <w:rPr>
          <w:sz w:val="22"/>
        </w:rPr>
        <w:t xml:space="preserve">, 5765–5782 (2018).</w:t>
      </w:r>
    </w:p>
    <w:bookmarkEnd w:id="77"/>
    <w:bookmarkStart w:id="79" w:name="ref-LeQuere2020"/>
    <w:p>
      <w:pPr>
        <w:pStyle w:val="Bibliography"/>
        <w:spacing w:before="40" w:after="200" w:line="240" w:lineRule="auto"/>
        <w:rPr>
          <w:sz w:val="22"/>
        </w:rPr>
      </w:pPr>
      <w:r>
        <w:rPr>
          <w:sz w:val="22"/>
        </w:rPr>
        <w:t xml:space="preserve">11.</w:t>
      </w:r>
      <w:r>
        <w:rPr>
          <w:sz w:val="22"/>
        </w:rPr>
        <w:t xml:space="preserve"> </w:t>
      </w:r>
      <w:r>
        <w:rPr>
          <w:sz w:val="22"/>
        </w:rPr>
        <w:t xml:space="preserve">	</w:t>
      </w:r>
      <w:r>
        <w:rPr>
          <w:sz w:val="22"/>
        </w:rPr>
        <w:t xml:space="preserve">Le Quéré, C.</w:t>
      </w:r>
      <w:r>
        <w:rPr>
          <w:sz w:val="22"/>
        </w:rPr>
        <w:t xml:space="preserve"> </w:t>
      </w:r>
      <w:r>
        <w:rPr>
          <w:i/>
          <w:iCs/>
          <w:sz w:val="22"/>
        </w:rPr>
        <w:t xml:space="preserve">et al.</w:t>
      </w:r>
      <w:r>
        <w:rPr>
          <w:sz w:val="22"/>
        </w:rPr>
        <w:t xml:space="preserve"> </w:t>
      </w:r>
      <w:hyperlink r:id="rId78">
        <w:r>
          <w:rPr>
            <w:rStyle w:val="Hyperlink"/>
          </w:rPr>
          <w:t xml:space="preserve">Temporary reduction in daily global CO2 emissions during the COVID-19 forced confinement</w:t>
        </w:r>
      </w:hyperlink>
      <w:r>
        <w:rPr>
          <w:sz w:val="22"/>
        </w:rPr>
        <w:t xml:space="preserve">.</w:t>
      </w:r>
      <w:r>
        <w:rPr>
          <w:sz w:val="22"/>
        </w:rPr>
        <w:t xml:space="preserve"> </w:t>
      </w:r>
      <w:r>
        <w:rPr>
          <w:i/>
          <w:iCs/>
          <w:sz w:val="22"/>
        </w:rPr>
        <w:t xml:space="preserve">Nature Climate Change</w:t>
      </w:r>
      <w:r>
        <w:rPr>
          <w:sz w:val="22"/>
        </w:rPr>
        <w:t xml:space="preserve"> </w:t>
      </w:r>
      <w:r>
        <w:rPr>
          <w:b/>
          <w:bCs/>
          <w:sz w:val="22"/>
        </w:rPr>
        <w:t xml:space="preserve">10</w:t>
      </w:r>
      <w:r>
        <w:rPr>
          <w:sz w:val="22"/>
        </w:rPr>
        <w:t xml:space="preserve">, 647–653 (2020).</w:t>
      </w:r>
    </w:p>
    <w:bookmarkEnd w:id="79"/>
    <w:bookmarkEnd w:id="80"/>
    <w:bookmarkEnd w:id="81"/>
    <w:bookmarkEnd w:id="82"/>
    <w:sectPr>
      <w:footnotePr>
        <w:numRestart w:val="eachSect"/>
      </w:footnotePr>
      <w:pgMar w:top="1134" w:bottom="1134" w:left="1134" w:right="1134"/>
      <w:lnNumType w:countBy="1" w:restart="continuous"/>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24" Type="http://schemas.openxmlformats.org/officeDocument/2006/relationships/image" Target="media/rId24.png"/><Relationship Id="rId27" Type="http://schemas.openxmlformats.org/officeDocument/2006/relationships/image" Target="media/rId27.png"/><Relationship Id="rId30" Type="http://schemas.openxmlformats.org/officeDocument/2006/relationships/image" Target="media/rId30.png"/><Relationship Id="rId33" Type="http://schemas.openxmlformats.org/officeDocument/2006/relationships/image" Target="media/rId33.png"/><Relationship Id="rId36" Type="http://schemas.openxmlformats.org/officeDocument/2006/relationships/image" Target="media/rId36.png"/><Relationship Id="rId39" Type="http://schemas.openxmlformats.org/officeDocument/2006/relationships/image" Target="media/rId39.png"/><Relationship Id="rId42" Type="http://schemas.openxmlformats.org/officeDocument/2006/relationships/image" Target="media/rId42.png"/><Relationship Id="rId45" Type="http://schemas.openxmlformats.org/officeDocument/2006/relationships/image" Target="media/rId45.png"/><Relationship Id="rId48" Type="http://schemas.openxmlformats.org/officeDocument/2006/relationships/image" Target="media/rId48.png"/><Relationship Id="rId51" Type="http://schemas.openxmlformats.org/officeDocument/2006/relationships/image" Target="media/rId51.png"/><Relationship Id="rId58" Type="http://schemas.openxmlformats.org/officeDocument/2006/relationships/hyperlink" Target="https://doi.org/10.1029/2023av001145" TargetMode="External"/><Relationship Id="rId60" Type="http://schemas.openxmlformats.org/officeDocument/2006/relationships/hyperlink" Target="https://doi.org/10.1038/s41467-025-61588-2" TargetMode="External"/><Relationship Id="rId78" Type="http://schemas.openxmlformats.org/officeDocument/2006/relationships/hyperlink" Target="https://doi.org/10.1038/s41558-020-0797-x" TargetMode="External"/><Relationship Id="rId62" Type="http://schemas.openxmlformats.org/officeDocument/2006/relationships/hyperlink" Target="https://doi.org/10.1038/s41586-025-09802-5" TargetMode="External"/><Relationship Id="rId72" Type="http://schemas.openxmlformats.org/officeDocument/2006/relationships/hyperlink" Target="https://doi.org/10.1117/12.2599613" TargetMode="External"/><Relationship Id="rId70" Type="http://schemas.openxmlformats.org/officeDocument/2006/relationships/hyperlink" Target="https://doi.org/10.1186/s40645-023-00562-2" TargetMode="External"/><Relationship Id="rId74" Type="http://schemas.openxmlformats.org/officeDocument/2006/relationships/hyperlink" Target="https://doi.org/10.1364/AO.48.006716" TargetMode="External"/><Relationship Id="rId66" Type="http://schemas.openxmlformats.org/officeDocument/2006/relationships/hyperlink" Target="https://doi.org/10.5194/amt-10-2209-2017" TargetMode="External"/><Relationship Id="rId76" Type="http://schemas.openxmlformats.org/officeDocument/2006/relationships/hyperlink" Target="https://doi.org/10.5194/amt-11-5765-2018" TargetMode="External"/><Relationship Id="rId68" Type="http://schemas.openxmlformats.org/officeDocument/2006/relationships/hyperlink" Target="https://doi.org/10.5194/amt-13-3329-2020" TargetMode="External"/><Relationship Id="rId64" Type="http://schemas.openxmlformats.org/officeDocument/2006/relationships/hyperlink" Target="https://doi.org/10.5194/amt-16-3173-2023" TargetMode="External"/></Relationships>
</file>

<file path=word/_rels/footnotes.xml.rels><?xml version='1.0' encoding='UTF-8' standalone='yes'?>
<Relationships xmlns="http://schemas.openxmlformats.org/package/2006/relationships"><Relationship Id="rId58" Type="http://schemas.openxmlformats.org/officeDocument/2006/relationships/hyperlink" Target="https://doi.org/10.1029/2023av001145" TargetMode="External"/><Relationship Id="rId60" Type="http://schemas.openxmlformats.org/officeDocument/2006/relationships/hyperlink" Target="https://doi.org/10.1038/s41467-025-61588-2" TargetMode="External"/><Relationship Id="rId78" Type="http://schemas.openxmlformats.org/officeDocument/2006/relationships/hyperlink" Target="https://doi.org/10.1038/s41558-020-0797-x" TargetMode="External"/><Relationship Id="rId62" Type="http://schemas.openxmlformats.org/officeDocument/2006/relationships/hyperlink" Target="https://doi.org/10.1038/s41586-025-09802-5" TargetMode="External"/><Relationship Id="rId72" Type="http://schemas.openxmlformats.org/officeDocument/2006/relationships/hyperlink" Target="https://doi.org/10.1117/12.2599613" TargetMode="External"/><Relationship Id="rId70" Type="http://schemas.openxmlformats.org/officeDocument/2006/relationships/hyperlink" Target="https://doi.org/10.1186/s40645-023-00562-2" TargetMode="External"/><Relationship Id="rId74" Type="http://schemas.openxmlformats.org/officeDocument/2006/relationships/hyperlink" Target="https://doi.org/10.1364/AO.48.006716" TargetMode="External"/><Relationship Id="rId66" Type="http://schemas.openxmlformats.org/officeDocument/2006/relationships/hyperlink" Target="https://doi.org/10.5194/amt-10-2209-2017" TargetMode="External"/><Relationship Id="rId76" Type="http://schemas.openxmlformats.org/officeDocument/2006/relationships/hyperlink" Target="https://doi.org/10.5194/amt-11-5765-2018" TargetMode="External"/><Relationship Id="rId68" Type="http://schemas.openxmlformats.org/officeDocument/2006/relationships/hyperlink" Target="https://doi.org/10.5194/amt-13-3329-2020" TargetMode="External"/><Relationship Id="rId64" Type="http://schemas.openxmlformats.org/officeDocument/2006/relationships/hyperlink" Target="https://doi.org/10.5194/amt-16-3173-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2026-05-28T23:10:49Z</dcterms:created>
  <dcterms:modified xsi:type="dcterms:W3CDTF">2026-05-28T23:10:49Z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../references.bib</vt:lpwstr>
  </property>
  <property fmtid="{D5CDD505-2E9C-101B-9397-08002B2CF9AE}" pid="3" name="csl">
    <vt:lpwstr>../nature.csl</vt:lpwstr>
  </property>
</Properties>
</file>