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AE38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Materials</w:t>
      </w:r>
    </w:p>
    <w:p w14:paraId="77F66FC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442A192D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Figures</w:t>
      </w:r>
    </w:p>
    <w:p w14:paraId="1E14BA14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1C3345DE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S1. Encoder validation: seizure detection on HUP dataset</w:t>
      </w:r>
    </w:p>
    <w:p w14:paraId="760C1CC1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49B8006A" w14:textId="0D816D46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6C3A5F5" wp14:editId="5B4756BF">
            <wp:extent cx="5731510" cy="1965325"/>
            <wp:effectExtent l="0" t="0" r="2540" b="0"/>
            <wp:docPr id="6442963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B65B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71047E5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Supplementary Figure S1. Validation of the pre-trained encoder on the HUP dataset (n=195 seizure runs, 55 patients), demonstrating clinically meaningful signal structure. (A) Onset jump distance vs. pre-seizure drift speed (Spearman r=0.28, p&lt;0.001). (B) Time-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normalised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mean ictal velocity profile confirming acceleration into termination. (C) Velocity by seizure phase; termination exceeds onset (Wilcoxon p=0.0241).</w:t>
      </w:r>
    </w:p>
    <w:p w14:paraId="54700C8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699C6131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S2. Seizure reversibility in the AI feature space</w:t>
      </w:r>
    </w:p>
    <w:p w14:paraId="2F4974B6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00F30C7" w14:textId="3AE3E6DD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AC26346" wp14:editId="4CD9D182">
            <wp:extent cx="5731510" cy="1965325"/>
            <wp:effectExtent l="0" t="0" r="2540" b="0"/>
            <wp:docPr id="12644969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00C8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0D5DE53B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Supplementary Figure S2. Reversibility analysis (SWEC-ETHZ long-term; 244 seizures, 18 patients). (A) 75% of seizures are partially reversible (ratio&lt;1.0; median=0.55). (B) </w:t>
      </w:r>
      <w:r>
        <w:rPr>
          <w:rFonts w:ascii="Times New Roman" w:hAnsi="Times New Roman" w:cs="Times New Roman"/>
          <w:i/>
          <w:iCs/>
          <w:sz w:val="24"/>
        </w:rPr>
        <w:lastRenderedPageBreak/>
        <w:t xml:space="preserve">Reversibility vs. seizure duration (r=0.12, p=0.051). (C) Per-patient </w:t>
      </w:r>
      <w:proofErr w:type="gramStart"/>
      <w:r>
        <w:rPr>
          <w:rFonts w:ascii="Times New Roman" w:hAnsi="Times New Roman" w:cs="Times New Roman"/>
          <w:i/>
          <w:iCs/>
          <w:sz w:val="24"/>
        </w:rPr>
        <w:t>mean</w:t>
      </w:r>
      <w:proofErr w:type="gramEnd"/>
      <w:r>
        <w:rPr>
          <w:rFonts w:ascii="Times New Roman" w:hAnsi="Times New Roman" w:cs="Times New Roman"/>
          <w:i/>
          <w:iCs/>
          <w:sz w:val="24"/>
        </w:rPr>
        <w:t xml:space="preserve"> reversibility sorted by seizure count; ID03 (n=4) shows extreme irreversibility; ID08 (n=70) and ID14 (n=60) near-complete reversibility.</w:t>
      </w:r>
    </w:p>
    <w:p w14:paraId="662FC37A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16AFE41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S3. Cross-patient seizure trajectory similarity</w:t>
      </w:r>
    </w:p>
    <w:p w14:paraId="10A8E2C7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A1093A2" w14:textId="03FAFFE5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6741E8" wp14:editId="782C0C1E">
            <wp:extent cx="5731510" cy="1965325"/>
            <wp:effectExtent l="0" t="0" r="2540" b="0"/>
            <wp:docPr id="997103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6F31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77426D42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Supplementary Figure S3. Within-patient vs. between-patient trajectory similarity (SWEC-ETHZ long-term). (A) Trajectory shape distances: within-patient pairs (blue; n=3,593; median=19.2) vs. between-patient pairs (grey; n=20,278; median=21.7); Mann-Whitney p&lt;0.0001. (B) Per-patient </w:t>
      </w:r>
      <w:proofErr w:type="gramStart"/>
      <w:r>
        <w:rPr>
          <w:rFonts w:ascii="Times New Roman" w:hAnsi="Times New Roman" w:cs="Times New Roman"/>
          <w:i/>
          <w:iCs/>
          <w:sz w:val="24"/>
        </w:rPr>
        <w:t>mean</w:t>
      </w:r>
      <w:proofErr w:type="gramEnd"/>
      <w:r>
        <w:rPr>
          <w:rFonts w:ascii="Times New Roman" w:hAnsi="Times New Roman" w:cs="Times New Roman"/>
          <w:i/>
          <w:iCs/>
          <w:sz w:val="24"/>
        </w:rPr>
        <w:t xml:space="preserve"> seizure trajectories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centred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at onset. (C) 18×18 inter-patient trajectory distance matrix.</w:t>
      </w:r>
    </w:p>
    <w:p w14:paraId="4A66819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986B7E7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S4. Clinical determinants of seizure electrophysiological fingerprints</w:t>
      </w:r>
    </w:p>
    <w:p w14:paraId="2049F34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006ED3E" w14:textId="5F654E2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A583413" wp14:editId="7A6E652B">
            <wp:extent cx="5731510" cy="3246120"/>
            <wp:effectExtent l="0" t="0" r="2540" b="0"/>
            <wp:docPr id="324689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466E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0242BAD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Supplementary Figure S4. Association between clinical variables and AI-derived fingerprint metrics (HUP). (A-D) SOZ lobe (TEMPORAL n=16, FRONTAL n=9): no significant differences for onset jump (Kruskal p=0.734), offset jump (p=0.910), ictal AI-SOZ overlap (p=0.615), or consistency (p=0.711) - consistent with the Network Disruption Theory prediction that functional network identity, not anatomical lobe, determines the fingerprint. (E) Lesional vs. non-lesional onset jump: not significant. (F) Engel grade vs. offset jump: not significant (p=0.640). (G) Age of onset vs. ictal AI-SOZ overlap (r=−0.15, p=0.414; not significant). (H) Age of onset vs. ictal-interictal consistency (r=0.48, p=0.005): the sole significant clinical predictor.</w:t>
      </w:r>
    </w:p>
    <w:p w14:paraId="550570AA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4CBFFEF4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S5. Spatial SOZ characteristics and fingerprint metrics</w:t>
      </w:r>
    </w:p>
    <w:p w14:paraId="7CA4B546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5CB2814" w14:textId="2444649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D2B217" wp14:editId="5C8F243F">
            <wp:extent cx="5731510" cy="3582035"/>
            <wp:effectExtent l="0" t="0" r="2540" b="0"/>
            <wp:docPr id="1456821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659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7BBF92B8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Supplementary Figure S5. Spearman correlation between five SOZ spatial features and four fingerprint metrics (HUP; n=45-52 patients). (A) Heatmap: all correlations small and non-significant (max |r|=0.23, p=0.12). Under the Network Disruption Theory, this null result is expected: functional network identity rather than anatomical geometry governs the fingerprint. (B-G) Representative scatter plots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coloured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by hemisphere; no hemisphere-dependent effects (all p&gt;0.05).</w:t>
      </w:r>
    </w:p>
    <w:p w14:paraId="7F6C8BA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0236C51D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S6. Yeo-7 functional network affiliation of SOZ channels</w:t>
      </w:r>
    </w:p>
    <w:p w14:paraId="0A34A09C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2002478F" w14:textId="3A6E8229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206F97E" wp14:editId="12478392">
            <wp:extent cx="5731510" cy="3582035"/>
            <wp:effectExtent l="0" t="0" r="2540" b="0"/>
            <wp:docPr id="7870288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FCFA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318CAB7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Supplementary Figure S6. Functional network analysis at 7-network granularity. (A) Ictal AI anomaly score of SOZ channels by Yeo-7 network (Kruskal p=0.048); Limbic network SOZ channels show the highest scores. (B) AI-top channel network enrichment vs. baseline (49% above baseline; Wilcoxon p=0.253; not significant at 7-network granularity). (C) Same-network vs. different-network fingerprint distance (p=0.636). (D) SOZ channel Yeo-7 distribution: Limbic 28% (n=115), Default 17% (n=71),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SalVentAttn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13% (n=53),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Cont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11% (n=47),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SomMot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9% (n=37), Vis 16% (n=68),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DorsAttn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6% (n=25). (E-G) Representative brain maps for SOZ in Limbic (HUP088), Default (HUP065), and </w:t>
      </w:r>
      <w:proofErr w:type="spellStart"/>
      <w:r>
        <w:rPr>
          <w:rFonts w:ascii="Times New Roman" w:hAnsi="Times New Roman" w:cs="Times New Roman"/>
          <w:i/>
          <w:iCs/>
          <w:sz w:val="24"/>
        </w:rPr>
        <w:t>Somatomotor</w:t>
      </w:r>
      <w:proofErr w:type="spellEnd"/>
      <w:r>
        <w:rPr>
          <w:rFonts w:ascii="Times New Roman" w:hAnsi="Times New Roman" w:cs="Times New Roman"/>
          <w:i/>
          <w:iCs/>
          <w:sz w:val="24"/>
        </w:rPr>
        <w:t xml:space="preserve"> (HUP064) networks.</w:t>
      </w:r>
    </w:p>
    <w:p w14:paraId="7925A00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37981CA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S7. CNN surgical outcome prediction (Schaefer 400-region)</w:t>
      </w:r>
    </w:p>
    <w:p w14:paraId="5774FA6C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DB7EB7C" w14:textId="2100DB64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09E2825" wp14:editId="601B4C35">
            <wp:extent cx="5731510" cy="3582035"/>
            <wp:effectExtent l="0" t="0" r="2540" b="0"/>
            <wp:docPr id="1714586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BD4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0562BD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 xml:space="preserve">Supplementary Figure S7. CNN classification of surgical outcome (Engel I vs. II-IV; HUP n=46; LOO-AUC=0.609). (A) Shared SOZ parcel vs. fingerprint distance (p=0.897). (B) ROC curve (AUC=0.609). (C) Network importance: Frontoparietal Control and Salience/Ventral Attention ranked highest. (D) </w:t>
      </w:r>
      <w:proofErr w:type="gramStart"/>
      <w:r>
        <w:rPr>
          <w:rFonts w:ascii="Times New Roman" w:hAnsi="Times New Roman" w:cs="Times New Roman"/>
          <w:i/>
          <w:iCs/>
          <w:sz w:val="24"/>
        </w:rPr>
        <w:t>Top-40</w:t>
      </w:r>
      <w:proofErr w:type="gramEnd"/>
      <w:r>
        <w:rPr>
          <w:rFonts w:ascii="Times New Roman" w:hAnsi="Times New Roman" w:cs="Times New Roman"/>
          <w:i/>
          <w:iCs/>
          <w:sz w:val="24"/>
        </w:rPr>
        <w:t xml:space="preserve"> important parcels in MNI space. (E) Full parcel importance spectrum. (F) Top-10 parcels (all in right-hemisphere Default Mode Network; RH_Default_Par_5: 0.681; RH_Default_Par_4: 0.647; RH_Default_Temp_4: 0.642; RH_Default_Temp_3: 0.639; RH_Default_Temp_1: 0.637; RH_Default_Temp_5: 0.626; RH_Default_Par_3: 0.596; RH_Default_Temp_8: 0.585; RH_Default_Temp_7: 0.583; RH_Default_Par_1: 0.581). (G) MNI axial distribution of </w:t>
      </w:r>
      <w:proofErr w:type="gramStart"/>
      <w:r>
        <w:rPr>
          <w:rFonts w:ascii="Times New Roman" w:hAnsi="Times New Roman" w:cs="Times New Roman"/>
          <w:i/>
          <w:iCs/>
          <w:sz w:val="24"/>
        </w:rPr>
        <w:t>top-10</w:t>
      </w:r>
      <w:proofErr w:type="gramEnd"/>
      <w:r>
        <w:rPr>
          <w:rFonts w:ascii="Times New Roman" w:hAnsi="Times New Roman" w:cs="Times New Roman"/>
          <w:i/>
          <w:iCs/>
          <w:sz w:val="24"/>
        </w:rPr>
        <w:t xml:space="preserve"> Default network parcels (right temporoparietal junction).</w:t>
      </w:r>
    </w:p>
    <w:p w14:paraId="74DCF76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C0B0C05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S8. Transformer surgical outcome prediction (reference analysis)</w:t>
      </w:r>
    </w:p>
    <w:p w14:paraId="2ED8F642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546BFEAB" w14:textId="271466B6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E76F752" wp14:editId="3949D273">
            <wp:extent cx="5731510" cy="3582035"/>
            <wp:effectExtent l="0" t="0" r="2540" b="0"/>
            <wp:docPr id="158697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5C4E8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42FC981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Supplementary Figure S8. Transformer-based classification using the same 400-region feature vectors (LOO-AUC=0.404; n=46). The below-chance performance reflects the data requirements of self-attention at this sample size (45 training samples/fold). Top gradient parcels (RH_SomMot_33: 0.300; LH_Cont_PFCmp_1: 0.278; LH_SomMot_37: 0.129) differ from the CNN result and are not interpretable given the underfitted model. This confirms that the CNN AUC=0.609 reflects genuine biological signal.</w:t>
      </w:r>
    </w:p>
    <w:p w14:paraId="28522FCF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7400D8C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Methods</w:t>
      </w:r>
    </w:p>
    <w:p w14:paraId="5F8986E3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3A0893A6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Encoder architecture details</w:t>
      </w:r>
    </w:p>
    <w:p w14:paraId="76151155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2146D567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Six </w:t>
      </w:r>
      <w:proofErr w:type="spellStart"/>
      <w:r>
        <w:rPr>
          <w:rFonts w:ascii="Times New Roman" w:hAnsi="Times New Roman" w:cs="Times New Roman"/>
          <w:sz w:val="24"/>
        </w:rPr>
        <w:t>TransformerBlock</w:t>
      </w:r>
      <w:proofErr w:type="spellEnd"/>
      <w:r>
        <w:rPr>
          <w:rFonts w:ascii="Times New Roman" w:hAnsi="Times New Roman" w:cs="Times New Roman"/>
          <w:sz w:val="24"/>
        </w:rPr>
        <w:t xml:space="preserve"> layers, each with multi-head self-attention (4 heads, dropout 0.1) and position-wise feedforward (dimension 512, GELU). Pre-norm architecture. Input: 256 samples divided into 16 patches of 16 samples, linearly projected to 128 dimensions, with sinusoidal positional encodings for positions 0–16. For MAE: 75% patch masking with learnable mask token; 2-layer Transformer decoder (64 dimensions) reconstructs original patches. Contrastive: NT-</w:t>
      </w:r>
      <w:proofErr w:type="spellStart"/>
      <w:r>
        <w:rPr>
          <w:rFonts w:ascii="Times New Roman" w:hAnsi="Times New Roman" w:cs="Times New Roman"/>
          <w:sz w:val="24"/>
        </w:rPr>
        <w:t>Xent</w:t>
      </w:r>
      <w:proofErr w:type="spellEnd"/>
      <w:r>
        <w:rPr>
          <w:rFonts w:ascii="Times New Roman" w:hAnsi="Times New Roman" w:cs="Times New Roman"/>
          <w:sz w:val="24"/>
        </w:rPr>
        <w:t xml:space="preserve"> loss (temperature 0.1).</w:t>
      </w:r>
    </w:p>
    <w:p w14:paraId="35759D12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7C178E68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Schaefer atlas parcellation procedure</w:t>
      </w:r>
    </w:p>
    <w:p w14:paraId="2EBF27F0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766BFB46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Electrode MNI coordinates mapped to Schaefer 2018 400-parcel atlas at 1-mm resolution via </w:t>
      </w:r>
      <w:proofErr w:type="spellStart"/>
      <w:r>
        <w:rPr>
          <w:rFonts w:ascii="Times New Roman" w:hAnsi="Times New Roman" w:cs="Times New Roman"/>
          <w:sz w:val="24"/>
        </w:rPr>
        <w:t>nilearn</w:t>
      </w:r>
      <w:proofErr w:type="spellEnd"/>
      <w:r>
        <w:rPr>
          <w:rFonts w:ascii="Times New Roman" w:hAnsi="Times New Roman" w:cs="Times New Roman"/>
          <w:sz w:val="24"/>
        </w:rPr>
        <w:t xml:space="preserve">. For atlas-value-0 electrodes, nearest non-zero voxel within 3-mm radius </w:t>
      </w:r>
      <w:proofErr w:type="gramStart"/>
      <w:r>
        <w:rPr>
          <w:rFonts w:ascii="Times New Roman" w:hAnsi="Times New Roman" w:cs="Times New Roman"/>
          <w:sz w:val="24"/>
        </w:rPr>
        <w:t>used</w:t>
      </w:r>
      <w:proofErr w:type="gramEnd"/>
      <w:r>
        <w:rPr>
          <w:rFonts w:ascii="Times New Roman" w:hAnsi="Times New Roman" w:cs="Times New Roman"/>
          <w:sz w:val="24"/>
        </w:rPr>
        <w:t>. Electrodes without assignment within 3 mm labelled "Unknown" and excluded (219/4,950; 4.4%).</w:t>
      </w:r>
    </w:p>
    <w:p w14:paraId="2793AB83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67277676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Within-network synchrony ratio computation</w:t>
      </w:r>
    </w:p>
    <w:p w14:paraId="6FF87DB5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</w:p>
    <w:p w14:paraId="2AFB77B9" w14:textId="77777777" w:rsidR="001F4833" w:rsidRDefault="001F4833" w:rsidP="001F4833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Activation time = first time point during seizure at which channel anomaly score exceeded interictal mean + 2 SD; channels never reaching threshold assigned the maximum observed activation time. Only networks with ≥2 channels per patient included. SR = </w:t>
      </w:r>
      <w:proofErr w:type="gramStart"/>
      <w:r>
        <w:rPr>
          <w:rFonts w:ascii="Times New Roman" w:hAnsi="Times New Roman" w:cs="Times New Roman"/>
          <w:sz w:val="24"/>
        </w:rPr>
        <w:t>mean(</w:t>
      </w:r>
      <w:proofErr w:type="gramEnd"/>
      <w:r>
        <w:rPr>
          <w:rFonts w:ascii="Times New Roman" w:hAnsi="Times New Roman" w:cs="Times New Roman"/>
          <w:sz w:val="24"/>
        </w:rPr>
        <w:t xml:space="preserve">within-network SD) / </w:t>
      </w:r>
      <w:proofErr w:type="gramStart"/>
      <w:r>
        <w:rPr>
          <w:rFonts w:ascii="Times New Roman" w:hAnsi="Times New Roman" w:cs="Times New Roman"/>
          <w:sz w:val="24"/>
        </w:rPr>
        <w:t>SD(</w:t>
      </w:r>
      <w:proofErr w:type="gramEnd"/>
      <w:r>
        <w:rPr>
          <w:rFonts w:ascii="Times New Roman" w:hAnsi="Times New Roman" w:cs="Times New Roman"/>
          <w:sz w:val="24"/>
        </w:rPr>
        <w:t>all channels). SR=1.0 expected under random propagation; SR&lt;1.0 indicates within-network synchrony.</w:t>
      </w:r>
    </w:p>
    <w:p w14:paraId="0197C058" w14:textId="77777777" w:rsidR="00767E38" w:rsidRDefault="00767E38"/>
    <w:sectPr w:rsidR="00767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833"/>
    <w:rsid w:val="001F4833"/>
    <w:rsid w:val="006419D5"/>
    <w:rsid w:val="00767E38"/>
    <w:rsid w:val="00866F7D"/>
    <w:rsid w:val="00EE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7EA46"/>
  <w15:chartTrackingRefBased/>
  <w15:docId w15:val="{E3054B1C-2BBB-48FC-9866-96C810699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833"/>
    <w:pPr>
      <w:widowControl w:val="0"/>
      <w:spacing w:after="0" w:line="240" w:lineRule="auto"/>
      <w:jc w:val="both"/>
    </w:pPr>
    <w:rPr>
      <w:rFonts w:eastAsiaTheme="minorEastAsia"/>
      <w:sz w:val="21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833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833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833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4833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4833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833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833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833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833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8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8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8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48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48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8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8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8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8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4833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F48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833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F48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4833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F48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833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F48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83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8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8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2026-06-02T12:36:00Z</dcterms:created>
  <dcterms:modified xsi:type="dcterms:W3CDTF">2026-06-02T12:36:00Z</dcterms:modified>
</cp:coreProperties>
</file>