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6DA7CB">
      <w:pPr>
        <w:spacing w:after="120"/>
        <w:jc w:val="center"/>
      </w:pPr>
      <w:r>
        <w:rPr>
          <w:rFonts w:ascii="Times New Roman" w:hAnsi="Times New Roman"/>
          <w:b/>
          <w:sz w:val="32"/>
        </w:rPr>
        <w:t>Supplementary Materials</w:t>
      </w:r>
    </w:p>
    <w:p w14:paraId="0E38BF0A">
      <w:pPr>
        <w:spacing w:after="480"/>
        <w:jc w:val="center"/>
      </w:pPr>
      <w:r>
        <w:rPr>
          <w:rFonts w:ascii="Times New Roman" w:hAnsi="Times New Roman"/>
          <w:i/>
          <w:sz w:val="24"/>
        </w:rPr>
        <w:t>Evidence for reduced migraine reporting with GLP-1 receptor agonists</w:t>
      </w:r>
    </w:p>
    <w:p w14:paraId="68414520">
      <w:pPr>
        <w:pStyle w:val="3"/>
      </w:pPr>
      <w:r>
        <w:t>Supplementary Methods</w:t>
      </w:r>
    </w:p>
    <w:p w14:paraId="328375A3">
      <w:pPr>
        <w:pStyle w:val="4"/>
      </w:pPr>
      <w:r>
        <w:t>Network Pharmacology</w:t>
      </w:r>
    </w:p>
    <w:p w14:paraId="646BBAEC">
      <w:pPr>
        <w:spacing w:after="120"/>
        <w:jc w:val="both"/>
      </w:pPr>
      <w:r>
        <w:rPr>
          <w:rFonts w:ascii="Times New Roman" w:hAnsi="Times New Roman"/>
          <w:b w:val="0"/>
          <w:i w:val="0"/>
          <w:sz w:val="22"/>
        </w:rPr>
        <w:t>GLP-1 RA drug targets were retrieved from multiple pharmacological databases including STITCH, DrugBank, and published literature. Migraine disease targets were obtained from DisGeNET (score &gt;0.1) and GeneCards (relevance score &gt;1.0). The intersection of drug and disease target sets yielded 17 shared targets. A protein-protein interaction (PPI) network was constructed using STRING v11.5 (confidence &gt;0.4). Hub genes were identified by integrated centrality analysis (degree, betweenness, closeness, and eigenvector centrality). Gene Ontology and KEGG pathway enrichment analyses were performed using Enrichr with Benjamini-Hochberg correction (adjusted P &lt; 0.05).</w:t>
      </w:r>
    </w:p>
    <w:p w14:paraId="0A1085E6">
      <w:pPr>
        <w:pStyle w:val="4"/>
      </w:pPr>
      <w:r>
        <w:t>Molecular Docking</w:t>
      </w:r>
    </w:p>
    <w:p w14:paraId="74C15667">
      <w:pPr>
        <w:spacing w:after="120"/>
        <w:jc w:val="both"/>
      </w:pPr>
      <w:r>
        <w:rPr>
          <w:rFonts w:ascii="Times New Roman" w:hAnsi="Times New Roman"/>
          <w:b w:val="0"/>
          <w:i w:val="0"/>
          <w:sz w:val="22"/>
        </w:rPr>
        <w:t>Small-molecule docking was conducted using AutoDock Vina v1.2.5 for two oral GLP-1 RAs (orforglipron, danuglipron) against eight migraine-relevant protein targets (NOS3, TRPV1, CALCRL/RAMP1, PTGS2, TNF, IL6, NFKB1, IL1B). Receptor structures were obtained from the Protein Data Bank. Preparation included removal of water molecules and co-crystallised ligands, addition of polar hydrogens, and Gasteiger charge assignment. Reference compounds included olcegepant (CGRP antagonist), capsazepine (TRPV1 antagonist), and acetazolamide (carbonic anhydrase inhibitor). Grid boxes were centred on known active sites with exhaustiveness = 32.</w:t>
      </w:r>
    </w:p>
    <w:p w14:paraId="622DD6A4">
      <w:pPr>
        <w:spacing w:after="120"/>
        <w:jc w:val="both"/>
      </w:pPr>
      <w:r>
        <w:rPr>
          <w:rFonts w:ascii="Times New Roman" w:hAnsi="Times New Roman"/>
          <w:b w:val="0"/>
          <w:i w:val="0"/>
          <w:sz w:val="22"/>
        </w:rPr>
        <w:t>Peptide-protein docking was performed using HDOCK for the GLP-1(7-36) peptide against five key targets selected by highest degree centrality in the PPI network (TRPV1, TNF, CALCRL/RAMP1, NOS3, CA2). The remaining three AutoDock Vina targets (IL6, NFKB1, IL1B) were excluded from HDOCK analysis as peptide docking for these targets requires experimentally validated complex structures not available in the PDB. Docking scores (lower values indicate stronger binding) were used to rank binding affinity.</w:t>
      </w:r>
    </w:p>
    <w:p w14:paraId="46F96C30">
      <w:pPr>
        <w:pStyle w:val="4"/>
      </w:pPr>
      <w:r>
        <w:t>Transcriptomic Corroboration</w:t>
      </w:r>
    </w:p>
    <w:p w14:paraId="4CC0A5CA">
      <w:pPr>
        <w:spacing w:after="240"/>
        <w:jc w:val="both"/>
      </w:pPr>
      <w:r>
        <w:rPr>
          <w:rFonts w:ascii="Times New Roman" w:hAnsi="Times New Roman"/>
          <w:b w:val="0"/>
          <w:i w:val="0"/>
          <w:sz w:val="22"/>
        </w:rPr>
        <w:t>GEO dataset GSE109558 (vestibular migraine peripheral blood, n = 6 vs 6) and GSE53195 (migraine blood transcriptome) were analysed. Normalised expression matrices were obtained from GEO. Differential expression was assessed using Welch's t-test with Benjamini-Hochberg correction. Genes meeting |log2FC| &gt; 0.5 and adjusted P &lt; 0.05 were considered differentially expressed. Target gene expression was compared between migraine and control samples.</w:t>
      </w:r>
    </w:p>
    <w:p w14:paraId="79ACBBE1">
      <w:r/>
    </w:p>
    <w:p w14:paraId="48D1799D">
      <w:pPr>
        <w:pStyle w:val="4"/>
      </w:pPr>
      <w:r>
        <w:t>Supplementary Table 1. Omega Shrinkage-Adjusted Estimates</w:t>
      </w:r>
    </w:p>
    <w:p w14:paraId="47B01838">
      <w:pPr>
        <w:spacing w:after="80"/>
      </w:pPr>
      <w:r>
        <w:rPr>
          <w:rFonts w:ascii="Times New Roman" w:hAnsi="Times New Roman"/>
          <w:b/>
          <w:sz w:val="20"/>
        </w:rPr>
        <w:t>Supplementary Table 1.</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0"/>
        <w:gridCol w:w="1560"/>
        <w:gridCol w:w="1560"/>
        <w:gridCol w:w="1560"/>
        <w:gridCol w:w="1560"/>
        <w:gridCol w:w="1560"/>
      </w:tblGrid>
      <w:tr w14:paraId="26BB2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shd w:val="clear" w:color="auto" w:fill="D9E2F3"/>
          </w:tcPr>
          <w:p w14:paraId="300B1A57">
            <w:pPr>
              <w:jc w:val="center"/>
            </w:pPr>
            <w:r>
              <w:rPr>
                <w:rFonts w:ascii="Times New Roman" w:hAnsi="Times New Roman"/>
                <w:b/>
                <w:sz w:val="18"/>
              </w:rPr>
              <w:t>Tier</w:t>
            </w:r>
          </w:p>
        </w:tc>
        <w:tc>
          <w:tcPr>
            <w:tcW w:w="1560" w:type="dxa"/>
            <w:shd w:val="clear" w:color="auto" w:fill="D9E2F3"/>
          </w:tcPr>
          <w:p w14:paraId="5967C8B4">
            <w:pPr>
              <w:jc w:val="center"/>
            </w:pPr>
            <w:r>
              <w:rPr>
                <w:rFonts w:ascii="Times New Roman" w:hAnsi="Times New Roman"/>
                <w:b/>
                <w:sz w:val="18"/>
              </w:rPr>
              <w:t>Drug</w:t>
            </w:r>
          </w:p>
        </w:tc>
        <w:tc>
          <w:tcPr>
            <w:tcW w:w="1560" w:type="dxa"/>
            <w:shd w:val="clear" w:color="auto" w:fill="D9E2F3"/>
          </w:tcPr>
          <w:p w14:paraId="27469396">
            <w:pPr>
              <w:jc w:val="center"/>
            </w:pPr>
            <w:r>
              <w:rPr>
                <w:rFonts w:ascii="Times New Roman" w:hAnsi="Times New Roman"/>
                <w:b/>
                <w:sz w:val="18"/>
              </w:rPr>
              <w:t>Population</w:t>
            </w:r>
          </w:p>
        </w:tc>
        <w:tc>
          <w:tcPr>
            <w:tcW w:w="1560" w:type="dxa"/>
            <w:shd w:val="clear" w:color="auto" w:fill="D9E2F3"/>
          </w:tcPr>
          <w:p w14:paraId="43FAD149">
            <w:pPr>
              <w:jc w:val="center"/>
            </w:pPr>
            <w:r>
              <w:rPr>
                <w:rFonts w:ascii="Times New Roman" w:hAnsi="Times New Roman"/>
                <w:b/>
                <w:sz w:val="18"/>
              </w:rPr>
              <w:t>Original ROR</w:t>
            </w:r>
          </w:p>
        </w:tc>
        <w:tc>
          <w:tcPr>
            <w:tcW w:w="1560" w:type="dxa"/>
            <w:shd w:val="clear" w:color="auto" w:fill="D9E2F3"/>
          </w:tcPr>
          <w:p w14:paraId="5CC3C180">
            <w:pPr>
              <w:jc w:val="center"/>
            </w:pPr>
            <w:r>
              <w:rPr>
                <w:rFonts w:ascii="Times New Roman" w:hAnsi="Times New Roman"/>
                <w:b/>
                <w:sz w:val="18"/>
              </w:rPr>
              <w:t>Omega ROR (95% CI)</w:t>
            </w:r>
          </w:p>
        </w:tc>
        <w:tc>
          <w:tcPr>
            <w:tcW w:w="1560" w:type="dxa"/>
            <w:shd w:val="clear" w:color="auto" w:fill="D9E2F3"/>
          </w:tcPr>
          <w:p w14:paraId="006CA72E">
            <w:pPr>
              <w:jc w:val="center"/>
            </w:pPr>
            <w:r>
              <w:rPr>
                <w:rFonts w:ascii="Times New Roman" w:hAnsi="Times New Roman"/>
                <w:b/>
                <w:sz w:val="18"/>
              </w:rPr>
              <w:t>Diff (%)</w:t>
            </w:r>
          </w:p>
        </w:tc>
      </w:tr>
      <w:tr w14:paraId="50295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tcPr>
          <w:p w14:paraId="6999A8EC">
            <w:pPr>
              <w:jc w:val="center"/>
            </w:pPr>
            <w:r>
              <w:rPr>
                <w:rFonts w:ascii="Times New Roman" w:hAnsi="Times New Roman"/>
                <w:sz w:val="18"/>
              </w:rPr>
              <w:t>Tier 1: Full DB</w:t>
            </w:r>
          </w:p>
        </w:tc>
        <w:tc>
          <w:tcPr>
            <w:tcW w:w="1560" w:type="dxa"/>
          </w:tcPr>
          <w:p w14:paraId="377E3BEA">
            <w:pPr>
              <w:jc w:val="center"/>
            </w:pPr>
            <w:r>
              <w:rPr>
                <w:rFonts w:ascii="Times New Roman" w:hAnsi="Times New Roman"/>
                <w:sz w:val="18"/>
              </w:rPr>
              <w:t>GLP-1 RA (pooled)</w:t>
            </w:r>
          </w:p>
        </w:tc>
        <w:tc>
          <w:tcPr>
            <w:tcW w:w="1560" w:type="dxa"/>
          </w:tcPr>
          <w:p w14:paraId="3F1BB5F5">
            <w:pPr>
              <w:jc w:val="center"/>
            </w:pPr>
            <w:r>
              <w:rPr>
                <w:rFonts w:ascii="Times New Roman" w:hAnsi="Times New Roman"/>
                <w:sz w:val="18"/>
              </w:rPr>
              <w:t>All</w:t>
            </w:r>
          </w:p>
        </w:tc>
        <w:tc>
          <w:tcPr>
            <w:tcW w:w="1560" w:type="dxa"/>
          </w:tcPr>
          <w:p w14:paraId="6FD02878">
            <w:pPr>
              <w:jc w:val="center"/>
            </w:pPr>
            <w:r>
              <w:rPr>
                <w:rFonts w:ascii="Times New Roman" w:hAnsi="Times New Roman"/>
                <w:sz w:val="18"/>
              </w:rPr>
              <w:t>0.759</w:t>
            </w:r>
          </w:p>
        </w:tc>
        <w:tc>
          <w:tcPr>
            <w:tcW w:w="1560" w:type="dxa"/>
          </w:tcPr>
          <w:p w14:paraId="2AA8A657">
            <w:pPr>
              <w:jc w:val="center"/>
            </w:pPr>
            <w:r>
              <w:rPr>
                <w:rFonts w:ascii="Times New Roman" w:hAnsi="Times New Roman"/>
                <w:sz w:val="18"/>
              </w:rPr>
              <w:t>0.759 (0.720–0.801)</w:t>
            </w:r>
          </w:p>
        </w:tc>
        <w:tc>
          <w:tcPr>
            <w:tcW w:w="1560" w:type="dxa"/>
          </w:tcPr>
          <w:p w14:paraId="34671CDD">
            <w:pPr>
              <w:jc w:val="center"/>
            </w:pPr>
            <w:r>
              <w:rPr>
                <w:rFonts w:ascii="Times New Roman" w:hAnsi="Times New Roman"/>
                <w:sz w:val="18"/>
              </w:rPr>
              <w:t>0.1%</w:t>
            </w:r>
          </w:p>
        </w:tc>
      </w:tr>
      <w:tr w14:paraId="7EF66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tcPr>
          <w:p w14:paraId="0132061C">
            <w:pPr>
              <w:jc w:val="center"/>
            </w:pPr>
            <w:r>
              <w:rPr>
                <w:rFonts w:ascii="Times New Roman" w:hAnsi="Times New Roman"/>
                <w:sz w:val="18"/>
              </w:rPr>
              <w:t>Tier 1: Full DB</w:t>
            </w:r>
          </w:p>
        </w:tc>
        <w:tc>
          <w:tcPr>
            <w:tcW w:w="1560" w:type="dxa"/>
          </w:tcPr>
          <w:p w14:paraId="0237180D">
            <w:pPr>
              <w:jc w:val="center"/>
            </w:pPr>
            <w:r>
              <w:rPr>
                <w:rFonts w:ascii="Times New Roman" w:hAnsi="Times New Roman"/>
                <w:sz w:val="18"/>
              </w:rPr>
              <w:t>GLP-1 RA (pooled)</w:t>
            </w:r>
          </w:p>
        </w:tc>
        <w:tc>
          <w:tcPr>
            <w:tcW w:w="1560" w:type="dxa"/>
          </w:tcPr>
          <w:p w14:paraId="3AB0A930">
            <w:pPr>
              <w:jc w:val="center"/>
            </w:pPr>
            <w:r>
              <w:rPr>
                <w:rFonts w:ascii="Times New Roman" w:hAnsi="Times New Roman"/>
                <w:sz w:val="18"/>
              </w:rPr>
              <w:t>Female</w:t>
            </w:r>
          </w:p>
        </w:tc>
        <w:tc>
          <w:tcPr>
            <w:tcW w:w="1560" w:type="dxa"/>
          </w:tcPr>
          <w:p w14:paraId="6D2657D6">
            <w:pPr>
              <w:jc w:val="center"/>
            </w:pPr>
            <w:r>
              <w:rPr>
                <w:rFonts w:ascii="Times New Roman" w:hAnsi="Times New Roman"/>
                <w:sz w:val="18"/>
              </w:rPr>
              <w:t>0.544</w:t>
            </w:r>
          </w:p>
        </w:tc>
        <w:tc>
          <w:tcPr>
            <w:tcW w:w="1560" w:type="dxa"/>
          </w:tcPr>
          <w:p w14:paraId="40298A56">
            <w:pPr>
              <w:jc w:val="center"/>
            </w:pPr>
            <w:r>
              <w:rPr>
                <w:rFonts w:ascii="Times New Roman" w:hAnsi="Times New Roman"/>
                <w:sz w:val="18"/>
              </w:rPr>
              <w:t>0.544 (0.513–0.578)</w:t>
            </w:r>
          </w:p>
        </w:tc>
        <w:tc>
          <w:tcPr>
            <w:tcW w:w="1560" w:type="dxa"/>
          </w:tcPr>
          <w:p w14:paraId="4F48B4EE">
            <w:pPr>
              <w:jc w:val="center"/>
            </w:pPr>
            <w:r>
              <w:rPr>
                <w:rFonts w:ascii="Times New Roman" w:hAnsi="Times New Roman"/>
                <w:sz w:val="18"/>
              </w:rPr>
              <w:t>0.0%</w:t>
            </w:r>
          </w:p>
        </w:tc>
      </w:tr>
      <w:tr w14:paraId="79AD7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tcPr>
          <w:p w14:paraId="4B0FD5FA">
            <w:pPr>
              <w:jc w:val="center"/>
            </w:pPr>
            <w:r>
              <w:rPr>
                <w:rFonts w:ascii="Times New Roman" w:hAnsi="Times New Roman"/>
                <w:sz w:val="18"/>
              </w:rPr>
              <w:t>Tier 1: Full DB</w:t>
            </w:r>
          </w:p>
        </w:tc>
        <w:tc>
          <w:tcPr>
            <w:tcW w:w="1560" w:type="dxa"/>
          </w:tcPr>
          <w:p w14:paraId="2258267D">
            <w:pPr>
              <w:jc w:val="center"/>
            </w:pPr>
            <w:r>
              <w:rPr>
                <w:rFonts w:ascii="Times New Roman" w:hAnsi="Times New Roman"/>
                <w:sz w:val="18"/>
              </w:rPr>
              <w:t>GLP-1 RA (pooled)</w:t>
            </w:r>
          </w:p>
        </w:tc>
        <w:tc>
          <w:tcPr>
            <w:tcW w:w="1560" w:type="dxa"/>
          </w:tcPr>
          <w:p w14:paraId="45753326">
            <w:pPr>
              <w:jc w:val="center"/>
            </w:pPr>
            <w:r>
              <w:rPr>
                <w:rFonts w:ascii="Times New Roman" w:hAnsi="Times New Roman"/>
                <w:sz w:val="18"/>
              </w:rPr>
              <w:t>Male</w:t>
            </w:r>
          </w:p>
        </w:tc>
        <w:tc>
          <w:tcPr>
            <w:tcW w:w="1560" w:type="dxa"/>
          </w:tcPr>
          <w:p w14:paraId="75286437">
            <w:pPr>
              <w:jc w:val="center"/>
            </w:pPr>
            <w:r>
              <w:rPr>
                <w:rFonts w:ascii="Times New Roman" w:hAnsi="Times New Roman"/>
                <w:sz w:val="18"/>
              </w:rPr>
              <w:t>0.102</w:t>
            </w:r>
          </w:p>
        </w:tc>
        <w:tc>
          <w:tcPr>
            <w:tcW w:w="1560" w:type="dxa"/>
          </w:tcPr>
          <w:p w14:paraId="2DD3A666">
            <w:pPr>
              <w:jc w:val="center"/>
            </w:pPr>
            <w:r>
              <w:rPr>
                <w:rFonts w:ascii="Times New Roman" w:hAnsi="Times New Roman"/>
                <w:sz w:val="18"/>
              </w:rPr>
              <w:t>0.102 (0.088–0.119)</w:t>
            </w:r>
          </w:p>
        </w:tc>
        <w:tc>
          <w:tcPr>
            <w:tcW w:w="1560" w:type="dxa"/>
          </w:tcPr>
          <w:p w14:paraId="792634C2">
            <w:pPr>
              <w:jc w:val="center"/>
            </w:pPr>
            <w:r>
              <w:rPr>
                <w:rFonts w:ascii="Times New Roman" w:hAnsi="Times New Roman"/>
                <w:sz w:val="18"/>
              </w:rPr>
              <w:t>0.0%</w:t>
            </w:r>
          </w:p>
        </w:tc>
      </w:tr>
      <w:tr w14:paraId="19341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tcPr>
          <w:p w14:paraId="049CF4A5">
            <w:pPr>
              <w:jc w:val="center"/>
            </w:pPr>
            <w:r>
              <w:rPr>
                <w:rFonts w:ascii="Times New Roman" w:hAnsi="Times New Roman"/>
                <w:sz w:val="18"/>
              </w:rPr>
              <w:t>Tier 2: Metabolic restricted</w:t>
            </w:r>
          </w:p>
        </w:tc>
        <w:tc>
          <w:tcPr>
            <w:tcW w:w="1560" w:type="dxa"/>
          </w:tcPr>
          <w:p w14:paraId="2A785CB3">
            <w:pPr>
              <w:jc w:val="center"/>
            </w:pPr>
            <w:r>
              <w:rPr>
                <w:rFonts w:ascii="Times New Roman" w:hAnsi="Times New Roman"/>
                <w:sz w:val="18"/>
              </w:rPr>
              <w:t>GLP-1 RA (pooled)</w:t>
            </w:r>
          </w:p>
        </w:tc>
        <w:tc>
          <w:tcPr>
            <w:tcW w:w="1560" w:type="dxa"/>
          </w:tcPr>
          <w:p w14:paraId="73386476">
            <w:pPr>
              <w:jc w:val="center"/>
            </w:pPr>
            <w:r>
              <w:rPr>
                <w:rFonts w:ascii="Times New Roman" w:hAnsi="Times New Roman"/>
                <w:sz w:val="18"/>
              </w:rPr>
              <w:t>All</w:t>
            </w:r>
          </w:p>
        </w:tc>
        <w:tc>
          <w:tcPr>
            <w:tcW w:w="1560" w:type="dxa"/>
          </w:tcPr>
          <w:p w14:paraId="5EA5212F">
            <w:pPr>
              <w:jc w:val="center"/>
            </w:pPr>
            <w:r>
              <w:rPr>
                <w:rFonts w:ascii="Times New Roman" w:hAnsi="Times New Roman"/>
                <w:sz w:val="18"/>
              </w:rPr>
              <w:t>0.020</w:t>
            </w:r>
          </w:p>
        </w:tc>
        <w:tc>
          <w:tcPr>
            <w:tcW w:w="1560" w:type="dxa"/>
          </w:tcPr>
          <w:p w14:paraId="1963673C">
            <w:pPr>
              <w:jc w:val="center"/>
            </w:pPr>
            <w:r>
              <w:rPr>
                <w:rFonts w:ascii="Times New Roman" w:hAnsi="Times New Roman"/>
                <w:sz w:val="18"/>
              </w:rPr>
              <w:t>0.020 (0.019–0.021)</w:t>
            </w:r>
          </w:p>
        </w:tc>
        <w:tc>
          <w:tcPr>
            <w:tcW w:w="1560" w:type="dxa"/>
          </w:tcPr>
          <w:p w14:paraId="2FE03801">
            <w:pPr>
              <w:jc w:val="center"/>
            </w:pPr>
            <w:r>
              <w:rPr>
                <w:rFonts w:ascii="Times New Roman" w:hAnsi="Times New Roman"/>
                <w:sz w:val="18"/>
              </w:rPr>
              <w:t>1.0%</w:t>
            </w:r>
          </w:p>
        </w:tc>
      </w:tr>
      <w:tr w14:paraId="71A23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tcPr>
          <w:p w14:paraId="62AFA650">
            <w:pPr>
              <w:jc w:val="center"/>
            </w:pPr>
            <w:r>
              <w:rPr>
                <w:rFonts w:ascii="Times New Roman" w:hAnsi="Times New Roman"/>
                <w:sz w:val="18"/>
              </w:rPr>
              <w:t>Tier 2: Metabolic restricted</w:t>
            </w:r>
          </w:p>
        </w:tc>
        <w:tc>
          <w:tcPr>
            <w:tcW w:w="1560" w:type="dxa"/>
          </w:tcPr>
          <w:p w14:paraId="6BB633E5">
            <w:pPr>
              <w:jc w:val="center"/>
            </w:pPr>
            <w:r>
              <w:rPr>
                <w:rFonts w:ascii="Times New Roman" w:hAnsi="Times New Roman"/>
                <w:sz w:val="18"/>
              </w:rPr>
              <w:t>GLP-1 RA (pooled)</w:t>
            </w:r>
          </w:p>
        </w:tc>
        <w:tc>
          <w:tcPr>
            <w:tcW w:w="1560" w:type="dxa"/>
          </w:tcPr>
          <w:p w14:paraId="638EA6ED">
            <w:pPr>
              <w:jc w:val="center"/>
            </w:pPr>
            <w:r>
              <w:rPr>
                <w:rFonts w:ascii="Times New Roman" w:hAnsi="Times New Roman"/>
                <w:sz w:val="18"/>
              </w:rPr>
              <w:t>Female</w:t>
            </w:r>
          </w:p>
        </w:tc>
        <w:tc>
          <w:tcPr>
            <w:tcW w:w="1560" w:type="dxa"/>
          </w:tcPr>
          <w:p w14:paraId="0286BAF2">
            <w:pPr>
              <w:jc w:val="center"/>
            </w:pPr>
            <w:r>
              <w:rPr>
                <w:rFonts w:ascii="Times New Roman" w:hAnsi="Times New Roman"/>
                <w:sz w:val="18"/>
              </w:rPr>
              <w:t>0.010</w:t>
            </w:r>
          </w:p>
        </w:tc>
        <w:tc>
          <w:tcPr>
            <w:tcW w:w="1560" w:type="dxa"/>
          </w:tcPr>
          <w:p w14:paraId="1315EAA4">
            <w:pPr>
              <w:jc w:val="center"/>
            </w:pPr>
            <w:r>
              <w:rPr>
                <w:rFonts w:ascii="Times New Roman" w:hAnsi="Times New Roman"/>
                <w:sz w:val="18"/>
              </w:rPr>
              <w:t>0.010 (0.010–0.011)</w:t>
            </w:r>
          </w:p>
        </w:tc>
        <w:tc>
          <w:tcPr>
            <w:tcW w:w="1560" w:type="dxa"/>
          </w:tcPr>
          <w:p w14:paraId="6294F5C7">
            <w:pPr>
              <w:jc w:val="center"/>
            </w:pPr>
            <w:r>
              <w:rPr>
                <w:rFonts w:ascii="Times New Roman" w:hAnsi="Times New Roman"/>
                <w:sz w:val="18"/>
              </w:rPr>
              <w:t>2.4%</w:t>
            </w:r>
          </w:p>
        </w:tc>
      </w:tr>
      <w:tr w14:paraId="4FFB9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tcPr>
          <w:p w14:paraId="03A91FAE">
            <w:pPr>
              <w:jc w:val="center"/>
            </w:pPr>
            <w:r>
              <w:rPr>
                <w:rFonts w:ascii="Times New Roman" w:hAnsi="Times New Roman"/>
                <w:sz w:val="18"/>
              </w:rPr>
              <w:t>Tier 3: vs SGLT2i</w:t>
            </w:r>
          </w:p>
        </w:tc>
        <w:tc>
          <w:tcPr>
            <w:tcW w:w="1560" w:type="dxa"/>
          </w:tcPr>
          <w:p w14:paraId="1A7E479A">
            <w:pPr>
              <w:jc w:val="center"/>
            </w:pPr>
            <w:r>
              <w:rPr>
                <w:rFonts w:ascii="Times New Roman" w:hAnsi="Times New Roman"/>
                <w:sz w:val="18"/>
              </w:rPr>
              <w:t>GLP-1 RA (pooled)</w:t>
            </w:r>
          </w:p>
        </w:tc>
        <w:tc>
          <w:tcPr>
            <w:tcW w:w="1560" w:type="dxa"/>
          </w:tcPr>
          <w:p w14:paraId="23FB6B81">
            <w:pPr>
              <w:jc w:val="center"/>
            </w:pPr>
            <w:r>
              <w:rPr>
                <w:rFonts w:ascii="Times New Roman" w:hAnsi="Times New Roman"/>
                <w:sz w:val="18"/>
              </w:rPr>
              <w:t>All</w:t>
            </w:r>
          </w:p>
        </w:tc>
        <w:tc>
          <w:tcPr>
            <w:tcW w:w="1560" w:type="dxa"/>
          </w:tcPr>
          <w:p w14:paraId="3C287296">
            <w:pPr>
              <w:jc w:val="center"/>
            </w:pPr>
            <w:r>
              <w:rPr>
                <w:rFonts w:ascii="Times New Roman" w:hAnsi="Times New Roman"/>
                <w:sz w:val="18"/>
              </w:rPr>
              <w:t>0.003</w:t>
            </w:r>
          </w:p>
        </w:tc>
        <w:tc>
          <w:tcPr>
            <w:tcW w:w="1560" w:type="dxa"/>
          </w:tcPr>
          <w:p w14:paraId="18A3F807">
            <w:pPr>
              <w:jc w:val="center"/>
            </w:pPr>
            <w:r>
              <w:rPr>
                <w:rFonts w:ascii="Times New Roman" w:hAnsi="Times New Roman"/>
                <w:sz w:val="18"/>
              </w:rPr>
              <w:t>0.003 (0.003–0.003)</w:t>
            </w:r>
          </w:p>
        </w:tc>
        <w:tc>
          <w:tcPr>
            <w:tcW w:w="1560" w:type="dxa"/>
          </w:tcPr>
          <w:p w14:paraId="2C424281">
            <w:pPr>
              <w:jc w:val="center"/>
            </w:pPr>
            <w:r>
              <w:rPr>
                <w:rFonts w:ascii="Times New Roman" w:hAnsi="Times New Roman"/>
                <w:sz w:val="18"/>
              </w:rPr>
              <w:t>-7.5%</w:t>
            </w:r>
          </w:p>
        </w:tc>
      </w:tr>
      <w:tr w14:paraId="14239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tcPr>
          <w:p w14:paraId="676A6992">
            <w:pPr>
              <w:jc w:val="center"/>
            </w:pPr>
            <w:r>
              <w:rPr>
                <w:rFonts w:ascii="Times New Roman" w:hAnsi="Times New Roman"/>
                <w:sz w:val="18"/>
              </w:rPr>
              <w:t>Tier 3: vs DPP4i</w:t>
            </w:r>
          </w:p>
        </w:tc>
        <w:tc>
          <w:tcPr>
            <w:tcW w:w="1560" w:type="dxa"/>
          </w:tcPr>
          <w:p w14:paraId="3A27B503">
            <w:pPr>
              <w:jc w:val="center"/>
            </w:pPr>
            <w:r>
              <w:rPr>
                <w:rFonts w:ascii="Times New Roman" w:hAnsi="Times New Roman"/>
                <w:sz w:val="18"/>
              </w:rPr>
              <w:t>GLP-1 RA (pooled)</w:t>
            </w:r>
          </w:p>
        </w:tc>
        <w:tc>
          <w:tcPr>
            <w:tcW w:w="1560" w:type="dxa"/>
          </w:tcPr>
          <w:p w14:paraId="46792CB7">
            <w:pPr>
              <w:jc w:val="center"/>
            </w:pPr>
            <w:r>
              <w:rPr>
                <w:rFonts w:ascii="Times New Roman" w:hAnsi="Times New Roman"/>
                <w:sz w:val="18"/>
              </w:rPr>
              <w:t>All</w:t>
            </w:r>
          </w:p>
        </w:tc>
        <w:tc>
          <w:tcPr>
            <w:tcW w:w="1560" w:type="dxa"/>
          </w:tcPr>
          <w:p w14:paraId="2E84C93D">
            <w:pPr>
              <w:jc w:val="center"/>
            </w:pPr>
            <w:r>
              <w:rPr>
                <w:rFonts w:ascii="Times New Roman" w:hAnsi="Times New Roman"/>
                <w:sz w:val="18"/>
              </w:rPr>
              <w:t>0.002</w:t>
            </w:r>
          </w:p>
        </w:tc>
        <w:tc>
          <w:tcPr>
            <w:tcW w:w="1560" w:type="dxa"/>
          </w:tcPr>
          <w:p w14:paraId="37632557">
            <w:pPr>
              <w:jc w:val="center"/>
            </w:pPr>
            <w:r>
              <w:rPr>
                <w:rFonts w:ascii="Times New Roman" w:hAnsi="Times New Roman"/>
                <w:sz w:val="18"/>
              </w:rPr>
              <w:t>0.002 (0.002–0.002)</w:t>
            </w:r>
          </w:p>
        </w:tc>
        <w:tc>
          <w:tcPr>
            <w:tcW w:w="1560" w:type="dxa"/>
          </w:tcPr>
          <w:p w14:paraId="46561232">
            <w:pPr>
              <w:jc w:val="center"/>
            </w:pPr>
            <w:r>
              <w:rPr>
                <w:rFonts w:ascii="Times New Roman" w:hAnsi="Times New Roman"/>
                <w:sz w:val="18"/>
              </w:rPr>
              <w:t>-0.2%</w:t>
            </w:r>
          </w:p>
        </w:tc>
      </w:tr>
      <w:tr w14:paraId="3ED0E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tcPr>
          <w:p w14:paraId="7D0394A2">
            <w:pPr>
              <w:jc w:val="center"/>
            </w:pPr>
            <w:r>
              <w:rPr>
                <w:rFonts w:ascii="Times New Roman" w:hAnsi="Times New Roman"/>
                <w:sz w:val="18"/>
              </w:rPr>
              <w:t>Tier 3: vs Metformin</w:t>
            </w:r>
          </w:p>
        </w:tc>
        <w:tc>
          <w:tcPr>
            <w:tcW w:w="1560" w:type="dxa"/>
          </w:tcPr>
          <w:p w14:paraId="7A6145B1">
            <w:pPr>
              <w:jc w:val="center"/>
            </w:pPr>
            <w:r>
              <w:rPr>
                <w:rFonts w:ascii="Times New Roman" w:hAnsi="Times New Roman"/>
                <w:sz w:val="18"/>
              </w:rPr>
              <w:t>GLP-1 RA (pooled)</w:t>
            </w:r>
          </w:p>
        </w:tc>
        <w:tc>
          <w:tcPr>
            <w:tcW w:w="1560" w:type="dxa"/>
          </w:tcPr>
          <w:p w14:paraId="2FB92E2C">
            <w:pPr>
              <w:jc w:val="center"/>
            </w:pPr>
            <w:r>
              <w:rPr>
                <w:rFonts w:ascii="Times New Roman" w:hAnsi="Times New Roman"/>
                <w:sz w:val="18"/>
              </w:rPr>
              <w:t>All</w:t>
            </w:r>
          </w:p>
        </w:tc>
        <w:tc>
          <w:tcPr>
            <w:tcW w:w="1560" w:type="dxa"/>
          </w:tcPr>
          <w:p w14:paraId="1961F567">
            <w:pPr>
              <w:jc w:val="center"/>
            </w:pPr>
            <w:r>
              <w:rPr>
                <w:rFonts w:ascii="Times New Roman" w:hAnsi="Times New Roman"/>
                <w:sz w:val="18"/>
              </w:rPr>
              <w:t>0.012</w:t>
            </w:r>
          </w:p>
        </w:tc>
        <w:tc>
          <w:tcPr>
            <w:tcW w:w="1560" w:type="dxa"/>
          </w:tcPr>
          <w:p w14:paraId="0C4A3E77">
            <w:pPr>
              <w:jc w:val="center"/>
            </w:pPr>
            <w:r>
              <w:rPr>
                <w:rFonts w:ascii="Times New Roman" w:hAnsi="Times New Roman"/>
                <w:sz w:val="18"/>
              </w:rPr>
              <w:t>0.012 (0.011–0.012)</w:t>
            </w:r>
          </w:p>
        </w:tc>
        <w:tc>
          <w:tcPr>
            <w:tcW w:w="1560" w:type="dxa"/>
          </w:tcPr>
          <w:p w14:paraId="7E589249">
            <w:pPr>
              <w:jc w:val="center"/>
            </w:pPr>
            <w:r>
              <w:rPr>
                <w:rFonts w:ascii="Times New Roman" w:hAnsi="Times New Roman"/>
                <w:sz w:val="18"/>
              </w:rPr>
              <w:t>-2.1%</w:t>
            </w:r>
          </w:p>
        </w:tc>
      </w:tr>
      <w:tr w14:paraId="0FA2F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tcPr>
          <w:p w14:paraId="31248E77">
            <w:pPr>
              <w:jc w:val="center"/>
            </w:pPr>
            <w:r>
              <w:rPr>
                <w:rFonts w:ascii="Times New Roman" w:hAnsi="Times New Roman"/>
                <w:sz w:val="18"/>
              </w:rPr>
              <w:t>Reference: CGRP mAb</w:t>
            </w:r>
          </w:p>
        </w:tc>
        <w:tc>
          <w:tcPr>
            <w:tcW w:w="1560" w:type="dxa"/>
          </w:tcPr>
          <w:p w14:paraId="7FA6BFF1">
            <w:pPr>
              <w:jc w:val="center"/>
            </w:pPr>
            <w:r>
              <w:rPr>
                <w:rFonts w:ascii="Times New Roman" w:hAnsi="Times New Roman"/>
                <w:sz w:val="18"/>
              </w:rPr>
              <w:t>CGRP mAb (pooled)</w:t>
            </w:r>
          </w:p>
        </w:tc>
        <w:tc>
          <w:tcPr>
            <w:tcW w:w="1560" w:type="dxa"/>
          </w:tcPr>
          <w:p w14:paraId="3537C97F">
            <w:pPr>
              <w:jc w:val="center"/>
            </w:pPr>
            <w:r>
              <w:rPr>
                <w:rFonts w:ascii="Times New Roman" w:hAnsi="Times New Roman"/>
                <w:sz w:val="18"/>
              </w:rPr>
              <w:t>All</w:t>
            </w:r>
          </w:p>
        </w:tc>
        <w:tc>
          <w:tcPr>
            <w:tcW w:w="1560" w:type="dxa"/>
          </w:tcPr>
          <w:p w14:paraId="5BD5F17F">
            <w:pPr>
              <w:jc w:val="center"/>
            </w:pPr>
            <w:r>
              <w:rPr>
                <w:rFonts w:ascii="Times New Roman" w:hAnsi="Times New Roman"/>
                <w:sz w:val="18"/>
              </w:rPr>
              <w:t>26.378</w:t>
            </w:r>
          </w:p>
        </w:tc>
        <w:tc>
          <w:tcPr>
            <w:tcW w:w="1560" w:type="dxa"/>
          </w:tcPr>
          <w:p w14:paraId="49A8A522">
            <w:pPr>
              <w:jc w:val="center"/>
            </w:pPr>
            <w:r>
              <w:rPr>
                <w:rFonts w:ascii="Times New Roman" w:hAnsi="Times New Roman"/>
                <w:sz w:val="18"/>
              </w:rPr>
              <w:t>26.378 (25.812–26.958)</w:t>
            </w:r>
          </w:p>
        </w:tc>
        <w:tc>
          <w:tcPr>
            <w:tcW w:w="1560" w:type="dxa"/>
          </w:tcPr>
          <w:p w14:paraId="534B6AFD">
            <w:pPr>
              <w:jc w:val="center"/>
            </w:pPr>
            <w:r>
              <w:rPr>
                <w:rFonts w:ascii="Times New Roman" w:hAnsi="Times New Roman"/>
                <w:sz w:val="18"/>
              </w:rPr>
              <w:t>0.0%</w:t>
            </w:r>
          </w:p>
        </w:tc>
      </w:tr>
      <w:tr w14:paraId="12F14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tcPr>
          <w:p w14:paraId="43D609F0">
            <w:pPr>
              <w:jc w:val="center"/>
            </w:pPr>
            <w:r>
              <w:rPr>
                <w:rFonts w:ascii="Times New Roman" w:hAnsi="Times New Roman"/>
                <w:sz w:val="18"/>
              </w:rPr>
              <w:t>Individual drug</w:t>
            </w:r>
          </w:p>
        </w:tc>
        <w:tc>
          <w:tcPr>
            <w:tcW w:w="1560" w:type="dxa"/>
          </w:tcPr>
          <w:p w14:paraId="7B315085">
            <w:pPr>
              <w:jc w:val="center"/>
            </w:pPr>
            <w:r>
              <w:rPr>
                <w:rFonts w:ascii="Times New Roman" w:hAnsi="Times New Roman"/>
                <w:sz w:val="18"/>
              </w:rPr>
              <w:t>exenatide</w:t>
            </w:r>
          </w:p>
        </w:tc>
        <w:tc>
          <w:tcPr>
            <w:tcW w:w="1560" w:type="dxa"/>
          </w:tcPr>
          <w:p w14:paraId="50AFDAE7">
            <w:pPr>
              <w:jc w:val="center"/>
            </w:pPr>
            <w:r>
              <w:rPr>
                <w:rFonts w:ascii="Times New Roman" w:hAnsi="Times New Roman"/>
                <w:sz w:val="18"/>
              </w:rPr>
              <w:t>All</w:t>
            </w:r>
          </w:p>
        </w:tc>
        <w:tc>
          <w:tcPr>
            <w:tcW w:w="1560" w:type="dxa"/>
          </w:tcPr>
          <w:p w14:paraId="2506A736">
            <w:pPr>
              <w:jc w:val="center"/>
            </w:pPr>
            <w:r>
              <w:rPr>
                <w:rFonts w:ascii="Times New Roman" w:hAnsi="Times New Roman"/>
                <w:sz w:val="18"/>
              </w:rPr>
              <w:t>0.493</w:t>
            </w:r>
          </w:p>
        </w:tc>
        <w:tc>
          <w:tcPr>
            <w:tcW w:w="1560" w:type="dxa"/>
          </w:tcPr>
          <w:p w14:paraId="0AF8934B">
            <w:pPr>
              <w:jc w:val="center"/>
            </w:pPr>
            <w:r>
              <w:rPr>
                <w:rFonts w:ascii="Times New Roman" w:hAnsi="Times New Roman"/>
                <w:sz w:val="18"/>
              </w:rPr>
              <w:t>0.496 (0.408–0.603)</w:t>
            </w:r>
          </w:p>
        </w:tc>
        <w:tc>
          <w:tcPr>
            <w:tcW w:w="1560" w:type="dxa"/>
          </w:tcPr>
          <w:p w14:paraId="2E7A5B3C">
            <w:pPr>
              <w:jc w:val="center"/>
            </w:pPr>
            <w:r>
              <w:rPr>
                <w:rFonts w:ascii="Times New Roman" w:hAnsi="Times New Roman"/>
                <w:sz w:val="18"/>
              </w:rPr>
              <w:t>0.6%</w:t>
            </w:r>
          </w:p>
        </w:tc>
      </w:tr>
      <w:tr w14:paraId="791C1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tcPr>
          <w:p w14:paraId="30058E0A">
            <w:pPr>
              <w:jc w:val="center"/>
            </w:pPr>
            <w:r>
              <w:rPr>
                <w:rFonts w:ascii="Times New Roman" w:hAnsi="Times New Roman"/>
                <w:sz w:val="18"/>
              </w:rPr>
              <w:t>Individual drug</w:t>
            </w:r>
          </w:p>
        </w:tc>
        <w:tc>
          <w:tcPr>
            <w:tcW w:w="1560" w:type="dxa"/>
          </w:tcPr>
          <w:p w14:paraId="2242053D">
            <w:pPr>
              <w:jc w:val="center"/>
            </w:pPr>
            <w:r>
              <w:rPr>
                <w:rFonts w:ascii="Times New Roman" w:hAnsi="Times New Roman"/>
                <w:sz w:val="18"/>
              </w:rPr>
              <w:t>liraglutide</w:t>
            </w:r>
          </w:p>
        </w:tc>
        <w:tc>
          <w:tcPr>
            <w:tcW w:w="1560" w:type="dxa"/>
          </w:tcPr>
          <w:p w14:paraId="0E104EC5">
            <w:pPr>
              <w:jc w:val="center"/>
            </w:pPr>
            <w:r>
              <w:rPr>
                <w:rFonts w:ascii="Times New Roman" w:hAnsi="Times New Roman"/>
                <w:sz w:val="18"/>
              </w:rPr>
              <w:t>All</w:t>
            </w:r>
          </w:p>
        </w:tc>
        <w:tc>
          <w:tcPr>
            <w:tcW w:w="1560" w:type="dxa"/>
          </w:tcPr>
          <w:p w14:paraId="7898F6BB">
            <w:pPr>
              <w:jc w:val="center"/>
            </w:pPr>
            <w:r>
              <w:rPr>
                <w:rFonts w:ascii="Times New Roman" w:hAnsi="Times New Roman"/>
                <w:sz w:val="18"/>
              </w:rPr>
              <w:t>1.033</w:t>
            </w:r>
          </w:p>
        </w:tc>
        <w:tc>
          <w:tcPr>
            <w:tcW w:w="1560" w:type="dxa"/>
          </w:tcPr>
          <w:p w14:paraId="0F861F14">
            <w:pPr>
              <w:jc w:val="center"/>
            </w:pPr>
            <w:r>
              <w:rPr>
                <w:rFonts w:ascii="Times New Roman" w:hAnsi="Times New Roman"/>
                <w:sz w:val="18"/>
              </w:rPr>
              <w:t>1.035 (0.903–1.186)</w:t>
            </w:r>
          </w:p>
        </w:tc>
        <w:tc>
          <w:tcPr>
            <w:tcW w:w="1560" w:type="dxa"/>
          </w:tcPr>
          <w:p w14:paraId="5E603694">
            <w:pPr>
              <w:jc w:val="center"/>
            </w:pPr>
            <w:r>
              <w:rPr>
                <w:rFonts w:ascii="Times New Roman" w:hAnsi="Times New Roman"/>
                <w:sz w:val="18"/>
              </w:rPr>
              <w:t>0.2%</w:t>
            </w:r>
          </w:p>
        </w:tc>
      </w:tr>
      <w:tr w14:paraId="1F4B8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tcPr>
          <w:p w14:paraId="5E8251ED">
            <w:pPr>
              <w:jc w:val="center"/>
            </w:pPr>
            <w:r>
              <w:rPr>
                <w:rFonts w:ascii="Times New Roman" w:hAnsi="Times New Roman"/>
                <w:sz w:val="18"/>
              </w:rPr>
              <w:t>Individual drug</w:t>
            </w:r>
          </w:p>
        </w:tc>
        <w:tc>
          <w:tcPr>
            <w:tcW w:w="1560" w:type="dxa"/>
          </w:tcPr>
          <w:p w14:paraId="3D95C353">
            <w:pPr>
              <w:jc w:val="center"/>
            </w:pPr>
            <w:r>
              <w:rPr>
                <w:rFonts w:ascii="Times New Roman" w:hAnsi="Times New Roman"/>
                <w:sz w:val="18"/>
              </w:rPr>
              <w:t>lixisenatide</w:t>
            </w:r>
          </w:p>
        </w:tc>
        <w:tc>
          <w:tcPr>
            <w:tcW w:w="1560" w:type="dxa"/>
          </w:tcPr>
          <w:p w14:paraId="0D19EACB">
            <w:pPr>
              <w:jc w:val="center"/>
            </w:pPr>
            <w:r>
              <w:rPr>
                <w:rFonts w:ascii="Times New Roman" w:hAnsi="Times New Roman"/>
                <w:sz w:val="18"/>
              </w:rPr>
              <w:t>All</w:t>
            </w:r>
          </w:p>
        </w:tc>
        <w:tc>
          <w:tcPr>
            <w:tcW w:w="1560" w:type="dxa"/>
          </w:tcPr>
          <w:p w14:paraId="0E72D3B0">
            <w:pPr>
              <w:jc w:val="center"/>
            </w:pPr>
            <w:r>
              <w:rPr>
                <w:rFonts w:ascii="Times New Roman" w:hAnsi="Times New Roman"/>
                <w:sz w:val="18"/>
              </w:rPr>
              <w:t>0.218</w:t>
            </w:r>
          </w:p>
        </w:tc>
        <w:tc>
          <w:tcPr>
            <w:tcW w:w="1560" w:type="dxa"/>
          </w:tcPr>
          <w:p w14:paraId="493B30D4">
            <w:pPr>
              <w:jc w:val="center"/>
            </w:pPr>
            <w:r>
              <w:rPr>
                <w:rFonts w:ascii="Times New Roman" w:hAnsi="Times New Roman"/>
                <w:sz w:val="18"/>
              </w:rPr>
              <w:t>0.245 (0.097–0.617)</w:t>
            </w:r>
          </w:p>
        </w:tc>
        <w:tc>
          <w:tcPr>
            <w:tcW w:w="1560" w:type="dxa"/>
          </w:tcPr>
          <w:p w14:paraId="5A99CE5A">
            <w:pPr>
              <w:jc w:val="center"/>
            </w:pPr>
            <w:r>
              <w:rPr>
                <w:rFonts w:ascii="Times New Roman" w:hAnsi="Times New Roman"/>
                <w:sz w:val="18"/>
              </w:rPr>
              <w:t>12.2%</w:t>
            </w:r>
          </w:p>
        </w:tc>
      </w:tr>
      <w:tr w14:paraId="6EFF8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tcPr>
          <w:p w14:paraId="590A7925">
            <w:pPr>
              <w:jc w:val="center"/>
            </w:pPr>
            <w:r>
              <w:rPr>
                <w:rFonts w:ascii="Times New Roman" w:hAnsi="Times New Roman"/>
                <w:sz w:val="18"/>
              </w:rPr>
              <w:t>Individual drug</w:t>
            </w:r>
          </w:p>
        </w:tc>
        <w:tc>
          <w:tcPr>
            <w:tcW w:w="1560" w:type="dxa"/>
          </w:tcPr>
          <w:p w14:paraId="360C73D2">
            <w:pPr>
              <w:jc w:val="center"/>
            </w:pPr>
            <w:r>
              <w:rPr>
                <w:rFonts w:ascii="Times New Roman" w:hAnsi="Times New Roman"/>
                <w:sz w:val="18"/>
              </w:rPr>
              <w:t>albiglutide</w:t>
            </w:r>
          </w:p>
        </w:tc>
        <w:tc>
          <w:tcPr>
            <w:tcW w:w="1560" w:type="dxa"/>
          </w:tcPr>
          <w:p w14:paraId="191E2A30">
            <w:pPr>
              <w:jc w:val="center"/>
            </w:pPr>
            <w:r>
              <w:rPr>
                <w:rFonts w:ascii="Times New Roman" w:hAnsi="Times New Roman"/>
                <w:sz w:val="18"/>
              </w:rPr>
              <w:t>All</w:t>
            </w:r>
          </w:p>
        </w:tc>
        <w:tc>
          <w:tcPr>
            <w:tcW w:w="1560" w:type="dxa"/>
          </w:tcPr>
          <w:p w14:paraId="1958AD0E">
            <w:pPr>
              <w:jc w:val="center"/>
            </w:pPr>
            <w:r>
              <w:rPr>
                <w:rFonts w:ascii="Times New Roman" w:hAnsi="Times New Roman"/>
                <w:sz w:val="18"/>
              </w:rPr>
              <w:t>0.423</w:t>
            </w:r>
          </w:p>
        </w:tc>
        <w:tc>
          <w:tcPr>
            <w:tcW w:w="1560" w:type="dxa"/>
          </w:tcPr>
          <w:p w14:paraId="2A51FE0B">
            <w:pPr>
              <w:jc w:val="center"/>
            </w:pPr>
            <w:r>
              <w:rPr>
                <w:rFonts w:ascii="Times New Roman" w:hAnsi="Times New Roman"/>
                <w:sz w:val="18"/>
              </w:rPr>
              <w:t>0.435 (0.275–0.686)</w:t>
            </w:r>
          </w:p>
        </w:tc>
        <w:tc>
          <w:tcPr>
            <w:tcW w:w="1560" w:type="dxa"/>
          </w:tcPr>
          <w:p w14:paraId="39A98FED">
            <w:pPr>
              <w:jc w:val="center"/>
            </w:pPr>
            <w:r>
              <w:rPr>
                <w:rFonts w:ascii="Times New Roman" w:hAnsi="Times New Roman"/>
                <w:sz w:val="18"/>
              </w:rPr>
              <w:t>2.7%</w:t>
            </w:r>
          </w:p>
        </w:tc>
      </w:tr>
      <w:tr w14:paraId="10C1B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tcPr>
          <w:p w14:paraId="7B426CFE">
            <w:pPr>
              <w:jc w:val="center"/>
            </w:pPr>
            <w:r>
              <w:rPr>
                <w:rFonts w:ascii="Times New Roman" w:hAnsi="Times New Roman"/>
                <w:sz w:val="18"/>
              </w:rPr>
              <w:t>Individual drug</w:t>
            </w:r>
          </w:p>
        </w:tc>
        <w:tc>
          <w:tcPr>
            <w:tcW w:w="1560" w:type="dxa"/>
          </w:tcPr>
          <w:p w14:paraId="63CEA486">
            <w:pPr>
              <w:jc w:val="center"/>
            </w:pPr>
            <w:r>
              <w:rPr>
                <w:rFonts w:ascii="Times New Roman" w:hAnsi="Times New Roman"/>
                <w:sz w:val="18"/>
              </w:rPr>
              <w:t>dulaglutide</w:t>
            </w:r>
          </w:p>
        </w:tc>
        <w:tc>
          <w:tcPr>
            <w:tcW w:w="1560" w:type="dxa"/>
          </w:tcPr>
          <w:p w14:paraId="1C3F5967">
            <w:pPr>
              <w:jc w:val="center"/>
            </w:pPr>
            <w:r>
              <w:rPr>
                <w:rFonts w:ascii="Times New Roman" w:hAnsi="Times New Roman"/>
                <w:sz w:val="18"/>
              </w:rPr>
              <w:t>All</w:t>
            </w:r>
          </w:p>
        </w:tc>
        <w:tc>
          <w:tcPr>
            <w:tcW w:w="1560" w:type="dxa"/>
          </w:tcPr>
          <w:p w14:paraId="62C75D9A">
            <w:pPr>
              <w:jc w:val="center"/>
            </w:pPr>
            <w:r>
              <w:rPr>
                <w:rFonts w:ascii="Times New Roman" w:hAnsi="Times New Roman"/>
                <w:sz w:val="18"/>
              </w:rPr>
              <w:t>0.469</w:t>
            </w:r>
          </w:p>
        </w:tc>
        <w:tc>
          <w:tcPr>
            <w:tcW w:w="1560" w:type="dxa"/>
          </w:tcPr>
          <w:p w14:paraId="3EE2654B">
            <w:pPr>
              <w:jc w:val="center"/>
            </w:pPr>
            <w:r>
              <w:rPr>
                <w:rFonts w:ascii="Times New Roman" w:hAnsi="Times New Roman"/>
                <w:sz w:val="18"/>
              </w:rPr>
              <w:t>0.470 (0.408–0.541)</w:t>
            </w:r>
          </w:p>
        </w:tc>
        <w:tc>
          <w:tcPr>
            <w:tcW w:w="1560" w:type="dxa"/>
          </w:tcPr>
          <w:p w14:paraId="364DD2FB">
            <w:pPr>
              <w:jc w:val="center"/>
            </w:pPr>
            <w:r>
              <w:rPr>
                <w:rFonts w:ascii="Times New Roman" w:hAnsi="Times New Roman"/>
                <w:sz w:val="18"/>
              </w:rPr>
              <w:t>0.2%</w:t>
            </w:r>
          </w:p>
        </w:tc>
      </w:tr>
      <w:tr w14:paraId="2386C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tcPr>
          <w:p w14:paraId="288C0C90">
            <w:pPr>
              <w:jc w:val="center"/>
            </w:pPr>
            <w:r>
              <w:rPr>
                <w:rFonts w:ascii="Times New Roman" w:hAnsi="Times New Roman"/>
                <w:sz w:val="18"/>
              </w:rPr>
              <w:t>Individual drug</w:t>
            </w:r>
          </w:p>
        </w:tc>
        <w:tc>
          <w:tcPr>
            <w:tcW w:w="1560" w:type="dxa"/>
          </w:tcPr>
          <w:p w14:paraId="75F212FE">
            <w:pPr>
              <w:jc w:val="center"/>
            </w:pPr>
            <w:r>
              <w:rPr>
                <w:rFonts w:ascii="Times New Roman" w:hAnsi="Times New Roman"/>
                <w:sz w:val="18"/>
              </w:rPr>
              <w:t>semaglutide</w:t>
            </w:r>
          </w:p>
        </w:tc>
        <w:tc>
          <w:tcPr>
            <w:tcW w:w="1560" w:type="dxa"/>
          </w:tcPr>
          <w:p w14:paraId="276DAEC2">
            <w:pPr>
              <w:jc w:val="center"/>
            </w:pPr>
            <w:r>
              <w:rPr>
                <w:rFonts w:ascii="Times New Roman" w:hAnsi="Times New Roman"/>
                <w:sz w:val="18"/>
              </w:rPr>
              <w:t>All</w:t>
            </w:r>
          </w:p>
        </w:tc>
        <w:tc>
          <w:tcPr>
            <w:tcW w:w="1560" w:type="dxa"/>
          </w:tcPr>
          <w:p w14:paraId="7E4F4008">
            <w:pPr>
              <w:jc w:val="center"/>
            </w:pPr>
            <w:r>
              <w:rPr>
                <w:rFonts w:ascii="Times New Roman" w:hAnsi="Times New Roman"/>
                <w:sz w:val="18"/>
              </w:rPr>
              <w:t>1.360</w:t>
            </w:r>
          </w:p>
        </w:tc>
        <w:tc>
          <w:tcPr>
            <w:tcW w:w="1560" w:type="dxa"/>
          </w:tcPr>
          <w:p w14:paraId="70DE86F8">
            <w:pPr>
              <w:jc w:val="center"/>
            </w:pPr>
            <w:r>
              <w:rPr>
                <w:rFonts w:ascii="Times New Roman" w:hAnsi="Times New Roman"/>
                <w:sz w:val="18"/>
              </w:rPr>
              <w:t>1.361 (1.248–1.486)</w:t>
            </w:r>
          </w:p>
        </w:tc>
        <w:tc>
          <w:tcPr>
            <w:tcW w:w="1560" w:type="dxa"/>
          </w:tcPr>
          <w:p w14:paraId="6B7CF962">
            <w:pPr>
              <w:jc w:val="center"/>
            </w:pPr>
            <w:r>
              <w:rPr>
                <w:rFonts w:ascii="Times New Roman" w:hAnsi="Times New Roman"/>
                <w:sz w:val="18"/>
              </w:rPr>
              <w:t>0.1%</w:t>
            </w:r>
          </w:p>
        </w:tc>
      </w:tr>
    </w:tbl>
    <w:p w14:paraId="07901A16"/>
    <w:p w14:paraId="098D48A8">
      <w:r/>
    </w:p>
    <w:p w14:paraId="6492B596">
      <w:pPr>
        <w:pStyle w:val="4"/>
      </w:pPr>
      <w:r>
        <w:t>Supplementary Table 2. KEGG Pathway Enrichment of Shared Targets</w:t>
      </w:r>
    </w:p>
    <w:p w14:paraId="4C6147CC">
      <w:pPr>
        <w:spacing w:after="80"/>
      </w:pPr>
      <w:r>
        <w:rPr>
          <w:rFonts w:ascii="Times New Roman" w:hAnsi="Times New Roman"/>
          <w:b/>
          <w:sz w:val="20"/>
        </w:rPr>
        <w:t>Supplementary Table 2. Top 20 KEGG pathways.</w:t>
      </w:r>
    </w:p>
    <w:p w14:paraId="29482F35"/>
    <w:p w14:paraId="682858BE">
      <w:r/>
    </w:p>
    <w:p w14:paraId="2237AE3D">
      <w:pPr>
        <w:pStyle w:val="4"/>
      </w:pPr>
      <w:r>
        <w:t>Supplementary Table 3. HDOCK Peptide-Protein Docking Scores</w:t>
      </w:r>
    </w:p>
    <w:p w14:paraId="31D9AFA5">
      <w:pPr>
        <w:spacing w:after="120"/>
        <w:jc w:val="both"/>
      </w:pPr>
      <w:r>
        <w:rPr>
          <w:rFonts w:ascii="Times New Roman" w:hAnsi="Times New Roman"/>
          <w:b w:val="0"/>
          <w:i/>
          <w:sz w:val="22"/>
        </w:rPr>
        <w:t>GLP-1(7-36) peptide was docked against five migraine-relevant targets using HDOCK. Scores were obtained from the HDOCK server; lower (more negative) scores indicate stronger predicted binding.</w:t>
      </w:r>
    </w:p>
    <w:p w14:paraId="11850271">
      <w:pPr>
        <w:spacing w:after="80"/>
      </w:pPr>
      <w:r>
        <w:rPr>
          <w:rFonts w:ascii="Times New Roman" w:hAnsi="Times New Roman"/>
          <w:b/>
          <w:sz w:val="20"/>
        </w:rPr>
        <w:t>Supplementary Table 3. HDOCK Peptide–Protein Docking Scores.</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80"/>
        <w:gridCol w:w="4680"/>
      </w:tblGrid>
      <w:tr w14:paraId="5A2C7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0" w:type="dxa"/>
            <w:shd w:val="clear" w:color="auto" w:fill="D9E2F3"/>
          </w:tcPr>
          <w:p w14:paraId="0D68670F">
            <w:pPr>
              <w:jc w:val="center"/>
            </w:pPr>
            <w:r>
              <w:rPr>
                <w:rFonts w:ascii="Times New Roman" w:hAnsi="Times New Roman"/>
                <w:b/>
                <w:sz w:val="18"/>
              </w:rPr>
              <w:t>Target</w:t>
            </w:r>
          </w:p>
        </w:tc>
        <w:tc>
          <w:tcPr>
            <w:tcW w:w="4680" w:type="dxa"/>
            <w:shd w:val="clear" w:color="auto" w:fill="D9E2F3"/>
          </w:tcPr>
          <w:p w14:paraId="3584F704">
            <w:pPr>
              <w:jc w:val="center"/>
            </w:pPr>
            <w:r>
              <w:rPr>
                <w:rFonts w:ascii="Times New Roman" w:hAnsi="Times New Roman"/>
                <w:b/>
                <w:sz w:val="18"/>
              </w:rPr>
              <w:t>Docking Score</w:t>
            </w:r>
          </w:p>
        </w:tc>
      </w:tr>
      <w:tr w14:paraId="0E1F2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0" w:type="dxa"/>
          </w:tcPr>
          <w:p w14:paraId="6366EB50">
            <w:pPr>
              <w:jc w:val="center"/>
            </w:pPr>
            <w:r>
              <w:rPr>
                <w:rFonts w:ascii="Times New Roman" w:hAnsi="Times New Roman"/>
                <w:sz w:val="18"/>
              </w:rPr>
              <w:t>TRPV1</w:t>
            </w:r>
          </w:p>
        </w:tc>
        <w:tc>
          <w:tcPr>
            <w:tcW w:w="4680" w:type="dxa"/>
          </w:tcPr>
          <w:p w14:paraId="7860A090">
            <w:pPr>
              <w:jc w:val="center"/>
            </w:pPr>
            <w:r>
              <w:rPr>
                <w:rFonts w:ascii="Times New Roman" w:hAnsi="Times New Roman"/>
                <w:sz w:val="18"/>
              </w:rPr>
              <w:t>−300.98</w:t>
            </w:r>
          </w:p>
        </w:tc>
      </w:tr>
      <w:tr w14:paraId="23646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0" w:type="dxa"/>
          </w:tcPr>
          <w:p w14:paraId="3627D084">
            <w:pPr>
              <w:jc w:val="center"/>
            </w:pPr>
            <w:r>
              <w:rPr>
                <w:rFonts w:ascii="Times New Roman" w:hAnsi="Times New Roman"/>
                <w:sz w:val="18"/>
              </w:rPr>
              <w:t>TNF</w:t>
            </w:r>
          </w:p>
        </w:tc>
        <w:tc>
          <w:tcPr>
            <w:tcW w:w="4680" w:type="dxa"/>
          </w:tcPr>
          <w:p w14:paraId="123F17CF">
            <w:pPr>
              <w:jc w:val="center"/>
            </w:pPr>
            <w:r>
              <w:rPr>
                <w:rFonts w:ascii="Times New Roman" w:hAnsi="Times New Roman"/>
                <w:sz w:val="18"/>
              </w:rPr>
              <w:t>−250.64</w:t>
            </w:r>
          </w:p>
        </w:tc>
      </w:tr>
      <w:tr w14:paraId="0091B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0" w:type="dxa"/>
          </w:tcPr>
          <w:p w14:paraId="6C531F3D">
            <w:pPr>
              <w:jc w:val="center"/>
            </w:pPr>
            <w:r>
              <w:rPr>
                <w:rFonts w:ascii="Times New Roman" w:hAnsi="Times New Roman"/>
                <w:sz w:val="18"/>
              </w:rPr>
              <w:t>CALCRL/RAMP1</w:t>
            </w:r>
          </w:p>
        </w:tc>
        <w:tc>
          <w:tcPr>
            <w:tcW w:w="4680" w:type="dxa"/>
          </w:tcPr>
          <w:p w14:paraId="0C94B2A5">
            <w:pPr>
              <w:jc w:val="center"/>
            </w:pPr>
            <w:r>
              <w:rPr>
                <w:rFonts w:ascii="Times New Roman" w:hAnsi="Times New Roman"/>
                <w:sz w:val="18"/>
              </w:rPr>
              <w:t>−232.59</w:t>
            </w:r>
          </w:p>
        </w:tc>
      </w:tr>
      <w:tr w14:paraId="1B16E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0" w:type="dxa"/>
          </w:tcPr>
          <w:p w14:paraId="32875633">
            <w:pPr>
              <w:jc w:val="center"/>
            </w:pPr>
            <w:r>
              <w:rPr>
                <w:rFonts w:ascii="Times New Roman" w:hAnsi="Times New Roman"/>
                <w:sz w:val="18"/>
              </w:rPr>
              <w:t>NOS3</w:t>
            </w:r>
          </w:p>
        </w:tc>
        <w:tc>
          <w:tcPr>
            <w:tcW w:w="4680" w:type="dxa"/>
          </w:tcPr>
          <w:p w14:paraId="75A83330">
            <w:pPr>
              <w:jc w:val="center"/>
            </w:pPr>
            <w:r>
              <w:rPr>
                <w:rFonts w:ascii="Times New Roman" w:hAnsi="Times New Roman"/>
                <w:sz w:val="18"/>
              </w:rPr>
              <w:t>−230.32</w:t>
            </w:r>
          </w:p>
        </w:tc>
      </w:tr>
      <w:tr w14:paraId="226DA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0" w:type="dxa"/>
          </w:tcPr>
          <w:p w14:paraId="1B4C26E1">
            <w:pPr>
              <w:jc w:val="center"/>
            </w:pPr>
            <w:r>
              <w:rPr>
                <w:rFonts w:ascii="Times New Roman" w:hAnsi="Times New Roman"/>
                <w:sz w:val="18"/>
              </w:rPr>
              <w:t>CA2</w:t>
            </w:r>
          </w:p>
        </w:tc>
        <w:tc>
          <w:tcPr>
            <w:tcW w:w="4680" w:type="dxa"/>
          </w:tcPr>
          <w:p w14:paraId="60D2926B">
            <w:pPr>
              <w:jc w:val="center"/>
            </w:pPr>
            <w:r>
              <w:rPr>
                <w:rFonts w:ascii="Times New Roman" w:hAnsi="Times New Roman"/>
                <w:sz w:val="18"/>
              </w:rPr>
              <w:t>−195.89</w:t>
            </w:r>
          </w:p>
        </w:tc>
      </w:tr>
    </w:tbl>
    <w:p w14:paraId="72FFB737"/>
    <w:p w14:paraId="43E0C09B">
      <w:pPr>
        <w:spacing w:after="120"/>
        <w:jc w:val="both"/>
      </w:pPr>
      <w:r>
        <w:rPr>
          <w:rFonts w:ascii="Times New Roman" w:hAnsi="Times New Roman"/>
          <w:b w:val="0"/>
          <w:i/>
          <w:sz w:val="22"/>
        </w:rPr>
        <w:t>Docking scores represent the top-ranked model from the HDOCK server. All values are in arbitrary HDOCK energy units; scores below −200 indicate strong predicted binding affinity.</w:t>
      </w:r>
    </w:p>
    <w:p w14:paraId="2ED0130D">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40"/>
        <w:gridCol w:w="2340"/>
        <w:gridCol w:w="2340"/>
        <w:gridCol w:w="2340"/>
      </w:tblGrid>
      <w:tr w14:paraId="234EF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40" w:type="dxa"/>
            <w:shd w:val="clear" w:color="auto" w:fill="D9E2F3"/>
          </w:tcPr>
          <w:p w14:paraId="3257B463">
            <w:pPr>
              <w:jc w:val="center"/>
            </w:pPr>
            <w:r>
              <w:rPr>
                <w:rFonts w:ascii="Times New Roman" w:hAnsi="Times New Roman"/>
                <w:b/>
                <w:sz w:val="16"/>
              </w:rPr>
              <w:t>Pathway</w:t>
            </w:r>
          </w:p>
        </w:tc>
        <w:tc>
          <w:tcPr>
            <w:tcW w:w="2340" w:type="dxa"/>
            <w:shd w:val="clear" w:color="auto" w:fill="D9E2F3"/>
          </w:tcPr>
          <w:p w14:paraId="6E63813B">
            <w:pPr>
              <w:jc w:val="center"/>
            </w:pPr>
            <w:r>
              <w:rPr>
                <w:rFonts w:ascii="Times New Roman" w:hAnsi="Times New Roman"/>
                <w:b/>
                <w:sz w:val="16"/>
              </w:rPr>
              <w:t>Count</w:t>
            </w:r>
          </w:p>
        </w:tc>
        <w:tc>
          <w:tcPr>
            <w:tcW w:w="2340" w:type="dxa"/>
            <w:shd w:val="clear" w:color="auto" w:fill="D9E2F3"/>
          </w:tcPr>
          <w:p w14:paraId="141AB5B5">
            <w:pPr>
              <w:jc w:val="center"/>
            </w:pPr>
            <w:r>
              <w:rPr>
                <w:rFonts w:ascii="Times New Roman" w:hAnsi="Times New Roman"/>
                <w:b/>
                <w:sz w:val="16"/>
              </w:rPr>
              <w:t>P value</w:t>
            </w:r>
          </w:p>
        </w:tc>
        <w:tc>
          <w:tcPr>
            <w:tcW w:w="2340" w:type="dxa"/>
            <w:shd w:val="clear" w:color="auto" w:fill="D9E2F3"/>
          </w:tcPr>
          <w:p w14:paraId="60A1F29C">
            <w:pPr>
              <w:jc w:val="center"/>
            </w:pPr>
            <w:r>
              <w:rPr>
                <w:rFonts w:ascii="Times New Roman" w:hAnsi="Times New Roman"/>
                <w:b/>
                <w:sz w:val="16"/>
              </w:rPr>
              <w:t>Adjusted P</w:t>
            </w:r>
          </w:p>
        </w:tc>
      </w:tr>
      <w:tr w14:paraId="13628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40" w:type="dxa"/>
          </w:tcPr>
          <w:p w14:paraId="6B7ADE00">
            <w:pPr>
              <w:jc w:val="center"/>
            </w:pPr>
            <w:r>
              <w:rPr>
                <w:rFonts w:ascii="Times New Roman" w:hAnsi="Times New Roman"/>
                <w:sz w:val="16"/>
              </w:rPr>
              <w:t>Pertussis</w:t>
            </w:r>
          </w:p>
        </w:tc>
        <w:tc>
          <w:tcPr>
            <w:tcW w:w="2340" w:type="dxa"/>
          </w:tcPr>
          <w:p w14:paraId="75D12DB5">
            <w:pPr>
              <w:jc w:val="center"/>
            </w:pPr>
            <w:r>
              <w:rPr>
                <w:rFonts w:ascii="Times New Roman" w:hAnsi="Times New Roman"/>
                <w:sz w:val="16"/>
              </w:rPr>
              <w:t>7/76</w:t>
            </w:r>
          </w:p>
        </w:tc>
        <w:tc>
          <w:tcPr>
            <w:tcW w:w="2340" w:type="dxa"/>
          </w:tcPr>
          <w:p w14:paraId="5645F3CD">
            <w:pPr>
              <w:jc w:val="center"/>
            </w:pPr>
            <w:r>
              <w:rPr>
                <w:rFonts w:ascii="Times New Roman" w:hAnsi="Times New Roman"/>
                <w:sz w:val="16"/>
              </w:rPr>
              <w:t>1.6e-13</w:t>
            </w:r>
          </w:p>
        </w:tc>
        <w:tc>
          <w:tcPr>
            <w:tcW w:w="2340" w:type="dxa"/>
          </w:tcPr>
          <w:p w14:paraId="36CA6EB0">
            <w:pPr>
              <w:jc w:val="center"/>
            </w:pPr>
            <w:r>
              <w:rPr>
                <w:rFonts w:ascii="Times New Roman" w:hAnsi="Times New Roman"/>
                <w:sz w:val="16"/>
              </w:rPr>
              <w:t>2.1e-11</w:t>
            </w:r>
          </w:p>
        </w:tc>
      </w:tr>
      <w:tr w14:paraId="51AD3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40" w:type="dxa"/>
          </w:tcPr>
          <w:p w14:paraId="7A3035C8">
            <w:pPr>
              <w:jc w:val="center"/>
            </w:pPr>
            <w:r>
              <w:rPr>
                <w:rFonts w:ascii="Times New Roman" w:hAnsi="Times New Roman"/>
                <w:sz w:val="16"/>
              </w:rPr>
              <w:t>Amoebiasis</w:t>
            </w:r>
          </w:p>
        </w:tc>
        <w:tc>
          <w:tcPr>
            <w:tcW w:w="2340" w:type="dxa"/>
          </w:tcPr>
          <w:p w14:paraId="02A4CAF9">
            <w:pPr>
              <w:jc w:val="center"/>
            </w:pPr>
            <w:r>
              <w:rPr>
                <w:rFonts w:ascii="Times New Roman" w:hAnsi="Times New Roman"/>
                <w:sz w:val="16"/>
              </w:rPr>
              <w:t>7/102</w:t>
            </w:r>
          </w:p>
        </w:tc>
        <w:tc>
          <w:tcPr>
            <w:tcW w:w="2340" w:type="dxa"/>
          </w:tcPr>
          <w:p w14:paraId="51A8F0A7">
            <w:pPr>
              <w:jc w:val="center"/>
            </w:pPr>
            <w:r>
              <w:rPr>
                <w:rFonts w:ascii="Times New Roman" w:hAnsi="Times New Roman"/>
                <w:sz w:val="16"/>
              </w:rPr>
              <w:t>1.4e-12</w:t>
            </w:r>
          </w:p>
        </w:tc>
        <w:tc>
          <w:tcPr>
            <w:tcW w:w="2340" w:type="dxa"/>
          </w:tcPr>
          <w:p w14:paraId="44A4A8F6">
            <w:pPr>
              <w:jc w:val="center"/>
            </w:pPr>
            <w:r>
              <w:rPr>
                <w:rFonts w:ascii="Times New Roman" w:hAnsi="Times New Roman"/>
                <w:sz w:val="16"/>
              </w:rPr>
              <w:t>9.0e-11</w:t>
            </w:r>
          </w:p>
        </w:tc>
      </w:tr>
      <w:tr w14:paraId="63837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40" w:type="dxa"/>
          </w:tcPr>
          <w:p w14:paraId="703E2645">
            <w:pPr>
              <w:jc w:val="center"/>
            </w:pPr>
            <w:r>
              <w:rPr>
                <w:rFonts w:ascii="Times New Roman" w:hAnsi="Times New Roman"/>
                <w:sz w:val="16"/>
              </w:rPr>
              <w:t>Legionellosis</w:t>
            </w:r>
          </w:p>
        </w:tc>
        <w:tc>
          <w:tcPr>
            <w:tcW w:w="2340" w:type="dxa"/>
          </w:tcPr>
          <w:p w14:paraId="751A4BCE">
            <w:pPr>
              <w:jc w:val="center"/>
            </w:pPr>
            <w:r>
              <w:rPr>
                <w:rFonts w:ascii="Times New Roman" w:hAnsi="Times New Roman"/>
                <w:sz w:val="16"/>
              </w:rPr>
              <w:t>6/57</w:t>
            </w:r>
          </w:p>
        </w:tc>
        <w:tc>
          <w:tcPr>
            <w:tcW w:w="2340" w:type="dxa"/>
          </w:tcPr>
          <w:p w14:paraId="10F3582E">
            <w:pPr>
              <w:jc w:val="center"/>
            </w:pPr>
            <w:r>
              <w:rPr>
                <w:rFonts w:ascii="Times New Roman" w:hAnsi="Times New Roman"/>
                <w:sz w:val="16"/>
              </w:rPr>
              <w:t>4.9e-12</w:t>
            </w:r>
          </w:p>
        </w:tc>
        <w:tc>
          <w:tcPr>
            <w:tcW w:w="2340" w:type="dxa"/>
          </w:tcPr>
          <w:p w14:paraId="0EB8DD61">
            <w:pPr>
              <w:jc w:val="center"/>
            </w:pPr>
            <w:r>
              <w:rPr>
                <w:rFonts w:ascii="Times New Roman" w:hAnsi="Times New Roman"/>
                <w:sz w:val="16"/>
              </w:rPr>
              <w:t>2.2e-10</w:t>
            </w:r>
          </w:p>
        </w:tc>
      </w:tr>
      <w:tr w14:paraId="4DFEE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40" w:type="dxa"/>
          </w:tcPr>
          <w:p w14:paraId="352FC1C1">
            <w:pPr>
              <w:jc w:val="center"/>
            </w:pPr>
            <w:r>
              <w:rPr>
                <w:rFonts w:ascii="Times New Roman" w:hAnsi="Times New Roman"/>
                <w:sz w:val="16"/>
              </w:rPr>
              <w:t>Proximal tubule bicarbonate reclamation</w:t>
            </w:r>
          </w:p>
        </w:tc>
        <w:tc>
          <w:tcPr>
            <w:tcW w:w="2340" w:type="dxa"/>
          </w:tcPr>
          <w:p w14:paraId="7E298B38">
            <w:pPr>
              <w:jc w:val="center"/>
            </w:pPr>
            <w:r>
              <w:rPr>
                <w:rFonts w:ascii="Times New Roman" w:hAnsi="Times New Roman"/>
                <w:sz w:val="16"/>
              </w:rPr>
              <w:t>5/23</w:t>
            </w:r>
          </w:p>
        </w:tc>
        <w:tc>
          <w:tcPr>
            <w:tcW w:w="2340" w:type="dxa"/>
          </w:tcPr>
          <w:p w14:paraId="4DC2644C">
            <w:pPr>
              <w:jc w:val="center"/>
            </w:pPr>
            <w:r>
              <w:rPr>
                <w:rFonts w:ascii="Times New Roman" w:hAnsi="Times New Roman"/>
                <w:sz w:val="16"/>
              </w:rPr>
              <w:t>7.7e-12</w:t>
            </w:r>
          </w:p>
        </w:tc>
        <w:tc>
          <w:tcPr>
            <w:tcW w:w="2340" w:type="dxa"/>
          </w:tcPr>
          <w:p w14:paraId="17EEE662">
            <w:pPr>
              <w:jc w:val="center"/>
            </w:pPr>
            <w:r>
              <w:rPr>
                <w:rFonts w:ascii="Times New Roman" w:hAnsi="Times New Roman"/>
                <w:sz w:val="16"/>
              </w:rPr>
              <w:t>2.6e-10</w:t>
            </w:r>
          </w:p>
        </w:tc>
      </w:tr>
      <w:tr w14:paraId="51E65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40" w:type="dxa"/>
          </w:tcPr>
          <w:p w14:paraId="5545F581">
            <w:pPr>
              <w:jc w:val="center"/>
            </w:pPr>
            <w:r>
              <w:rPr>
                <w:rFonts w:ascii="Times New Roman" w:hAnsi="Times New Roman"/>
                <w:sz w:val="16"/>
              </w:rPr>
              <w:t>Inflammatory bowel disease</w:t>
            </w:r>
          </w:p>
        </w:tc>
        <w:tc>
          <w:tcPr>
            <w:tcW w:w="2340" w:type="dxa"/>
          </w:tcPr>
          <w:p w14:paraId="486449BA">
            <w:pPr>
              <w:jc w:val="center"/>
            </w:pPr>
            <w:r>
              <w:rPr>
                <w:rFonts w:ascii="Times New Roman" w:hAnsi="Times New Roman"/>
                <w:sz w:val="16"/>
              </w:rPr>
              <w:t>6/65</w:t>
            </w:r>
          </w:p>
        </w:tc>
        <w:tc>
          <w:tcPr>
            <w:tcW w:w="2340" w:type="dxa"/>
          </w:tcPr>
          <w:p w14:paraId="7EE91923">
            <w:pPr>
              <w:jc w:val="center"/>
            </w:pPr>
            <w:r>
              <w:rPr>
                <w:rFonts w:ascii="Times New Roman" w:hAnsi="Times New Roman"/>
                <w:sz w:val="16"/>
              </w:rPr>
              <w:t>1.1e-11</w:t>
            </w:r>
          </w:p>
        </w:tc>
        <w:tc>
          <w:tcPr>
            <w:tcW w:w="2340" w:type="dxa"/>
          </w:tcPr>
          <w:p w14:paraId="1EB34DAC">
            <w:pPr>
              <w:jc w:val="center"/>
            </w:pPr>
            <w:r>
              <w:rPr>
                <w:rFonts w:ascii="Times New Roman" w:hAnsi="Times New Roman"/>
                <w:sz w:val="16"/>
              </w:rPr>
              <w:t>3.0e-10</w:t>
            </w:r>
          </w:p>
        </w:tc>
      </w:tr>
      <w:tr w14:paraId="33E45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40" w:type="dxa"/>
          </w:tcPr>
          <w:p w14:paraId="337C2B40">
            <w:pPr>
              <w:jc w:val="center"/>
            </w:pPr>
            <w:r>
              <w:rPr>
                <w:rFonts w:ascii="Times New Roman" w:hAnsi="Times New Roman"/>
                <w:sz w:val="16"/>
              </w:rPr>
              <w:t>Leishmaniasis</w:t>
            </w:r>
          </w:p>
        </w:tc>
        <w:tc>
          <w:tcPr>
            <w:tcW w:w="2340" w:type="dxa"/>
          </w:tcPr>
          <w:p w14:paraId="62CEECD6">
            <w:pPr>
              <w:jc w:val="center"/>
            </w:pPr>
            <w:r>
              <w:rPr>
                <w:rFonts w:ascii="Times New Roman" w:hAnsi="Times New Roman"/>
                <w:sz w:val="16"/>
              </w:rPr>
              <w:t>6/77</w:t>
            </w:r>
          </w:p>
        </w:tc>
        <w:tc>
          <w:tcPr>
            <w:tcW w:w="2340" w:type="dxa"/>
          </w:tcPr>
          <w:p w14:paraId="7457A587">
            <w:pPr>
              <w:jc w:val="center"/>
            </w:pPr>
            <w:r>
              <w:rPr>
                <w:rFonts w:ascii="Times New Roman" w:hAnsi="Times New Roman"/>
                <w:sz w:val="16"/>
              </w:rPr>
              <w:t>3.2e-11</w:t>
            </w:r>
          </w:p>
        </w:tc>
        <w:tc>
          <w:tcPr>
            <w:tcW w:w="2340" w:type="dxa"/>
          </w:tcPr>
          <w:p w14:paraId="1738D7E4">
            <w:pPr>
              <w:jc w:val="center"/>
            </w:pPr>
            <w:r>
              <w:rPr>
                <w:rFonts w:ascii="Times New Roman" w:hAnsi="Times New Roman"/>
                <w:sz w:val="16"/>
              </w:rPr>
              <w:t>7.0e-10</w:t>
            </w:r>
          </w:p>
        </w:tc>
      </w:tr>
      <w:tr w14:paraId="57413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40" w:type="dxa"/>
          </w:tcPr>
          <w:p w14:paraId="4F463A97">
            <w:pPr>
              <w:jc w:val="center"/>
            </w:pPr>
            <w:r>
              <w:rPr>
                <w:rFonts w:ascii="Times New Roman" w:hAnsi="Times New Roman"/>
                <w:sz w:val="16"/>
              </w:rPr>
              <w:t>Tuberculosis</w:t>
            </w:r>
          </w:p>
        </w:tc>
        <w:tc>
          <w:tcPr>
            <w:tcW w:w="2340" w:type="dxa"/>
          </w:tcPr>
          <w:p w14:paraId="1FA14BF1">
            <w:pPr>
              <w:jc w:val="center"/>
            </w:pPr>
            <w:r>
              <w:rPr>
                <w:rFonts w:ascii="Times New Roman" w:hAnsi="Times New Roman"/>
                <w:sz w:val="16"/>
              </w:rPr>
              <w:t>7/180</w:t>
            </w:r>
          </w:p>
        </w:tc>
        <w:tc>
          <w:tcPr>
            <w:tcW w:w="2340" w:type="dxa"/>
          </w:tcPr>
          <w:p w14:paraId="1B250C62">
            <w:pPr>
              <w:jc w:val="center"/>
            </w:pPr>
            <w:r>
              <w:rPr>
                <w:rFonts w:ascii="Times New Roman" w:hAnsi="Times New Roman"/>
                <w:sz w:val="16"/>
              </w:rPr>
              <w:t>7.7e-11</w:t>
            </w:r>
          </w:p>
        </w:tc>
        <w:tc>
          <w:tcPr>
            <w:tcW w:w="2340" w:type="dxa"/>
          </w:tcPr>
          <w:p w14:paraId="731261BB">
            <w:pPr>
              <w:jc w:val="center"/>
            </w:pPr>
            <w:r>
              <w:rPr>
                <w:rFonts w:ascii="Times New Roman" w:hAnsi="Times New Roman"/>
                <w:sz w:val="16"/>
              </w:rPr>
              <w:t>1.4e-09</w:t>
            </w:r>
          </w:p>
        </w:tc>
      </w:tr>
      <w:tr w14:paraId="06D00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40" w:type="dxa"/>
          </w:tcPr>
          <w:p w14:paraId="692DBE68">
            <w:pPr>
              <w:jc w:val="center"/>
            </w:pPr>
            <w:r>
              <w:rPr>
                <w:rFonts w:ascii="Times New Roman" w:hAnsi="Times New Roman"/>
                <w:sz w:val="16"/>
              </w:rPr>
              <w:t>Chagas disease</w:t>
            </w:r>
          </w:p>
        </w:tc>
        <w:tc>
          <w:tcPr>
            <w:tcW w:w="2340" w:type="dxa"/>
          </w:tcPr>
          <w:p w14:paraId="3475196D">
            <w:pPr>
              <w:jc w:val="center"/>
            </w:pPr>
            <w:r>
              <w:rPr>
                <w:rFonts w:ascii="Times New Roman" w:hAnsi="Times New Roman"/>
                <w:sz w:val="16"/>
              </w:rPr>
              <w:t>6/102</w:t>
            </w:r>
          </w:p>
        </w:tc>
        <w:tc>
          <w:tcPr>
            <w:tcW w:w="2340" w:type="dxa"/>
          </w:tcPr>
          <w:p w14:paraId="332BE6D4">
            <w:pPr>
              <w:jc w:val="center"/>
            </w:pPr>
            <w:r>
              <w:rPr>
                <w:rFonts w:ascii="Times New Roman" w:hAnsi="Times New Roman"/>
                <w:sz w:val="16"/>
              </w:rPr>
              <w:t>1.8e-10</w:t>
            </w:r>
          </w:p>
        </w:tc>
        <w:tc>
          <w:tcPr>
            <w:tcW w:w="2340" w:type="dxa"/>
          </w:tcPr>
          <w:p w14:paraId="42BC330B">
            <w:pPr>
              <w:jc w:val="center"/>
            </w:pPr>
            <w:r>
              <w:rPr>
                <w:rFonts w:ascii="Times New Roman" w:hAnsi="Times New Roman"/>
                <w:sz w:val="16"/>
              </w:rPr>
              <w:t>3.0e-09</w:t>
            </w:r>
          </w:p>
        </w:tc>
      </w:tr>
      <w:tr w14:paraId="396EF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40" w:type="dxa"/>
          </w:tcPr>
          <w:p w14:paraId="369A05E4">
            <w:pPr>
              <w:jc w:val="center"/>
            </w:pPr>
            <w:r>
              <w:rPr>
                <w:rFonts w:ascii="Times New Roman" w:hAnsi="Times New Roman"/>
                <w:sz w:val="16"/>
              </w:rPr>
              <w:t>C-type lectin receptor signaling pathway</w:t>
            </w:r>
          </w:p>
        </w:tc>
        <w:tc>
          <w:tcPr>
            <w:tcW w:w="2340" w:type="dxa"/>
          </w:tcPr>
          <w:p w14:paraId="6282870D">
            <w:pPr>
              <w:jc w:val="center"/>
            </w:pPr>
            <w:r>
              <w:rPr>
                <w:rFonts w:ascii="Times New Roman" w:hAnsi="Times New Roman"/>
                <w:sz w:val="16"/>
              </w:rPr>
              <w:t>6/104</w:t>
            </w:r>
          </w:p>
        </w:tc>
        <w:tc>
          <w:tcPr>
            <w:tcW w:w="2340" w:type="dxa"/>
          </w:tcPr>
          <w:p w14:paraId="1EBE29A8">
            <w:pPr>
              <w:jc w:val="center"/>
            </w:pPr>
            <w:r>
              <w:rPr>
                <w:rFonts w:ascii="Times New Roman" w:hAnsi="Times New Roman"/>
                <w:sz w:val="16"/>
              </w:rPr>
              <w:t>2.0e-10</w:t>
            </w:r>
          </w:p>
        </w:tc>
        <w:tc>
          <w:tcPr>
            <w:tcW w:w="2340" w:type="dxa"/>
          </w:tcPr>
          <w:p w14:paraId="27A6488C">
            <w:pPr>
              <w:jc w:val="center"/>
            </w:pPr>
            <w:r>
              <w:rPr>
                <w:rFonts w:ascii="Times New Roman" w:hAnsi="Times New Roman"/>
                <w:sz w:val="16"/>
              </w:rPr>
              <w:t>3.0e-09</w:t>
            </w:r>
          </w:p>
        </w:tc>
      </w:tr>
      <w:tr w14:paraId="4D28B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40" w:type="dxa"/>
          </w:tcPr>
          <w:p w14:paraId="68B64165">
            <w:pPr>
              <w:jc w:val="center"/>
            </w:pPr>
            <w:r>
              <w:rPr>
                <w:rFonts w:ascii="Times New Roman" w:hAnsi="Times New Roman"/>
                <w:sz w:val="16"/>
              </w:rPr>
              <w:t>Yersinia infection</w:t>
            </w:r>
          </w:p>
        </w:tc>
        <w:tc>
          <w:tcPr>
            <w:tcW w:w="2340" w:type="dxa"/>
          </w:tcPr>
          <w:p w14:paraId="14C8B739">
            <w:pPr>
              <w:jc w:val="center"/>
            </w:pPr>
            <w:r>
              <w:rPr>
                <w:rFonts w:ascii="Times New Roman" w:hAnsi="Times New Roman"/>
                <w:sz w:val="16"/>
              </w:rPr>
              <w:t>6/137</w:t>
            </w:r>
          </w:p>
        </w:tc>
        <w:tc>
          <w:tcPr>
            <w:tcW w:w="2340" w:type="dxa"/>
          </w:tcPr>
          <w:p w14:paraId="43A2826E">
            <w:pPr>
              <w:jc w:val="center"/>
            </w:pPr>
            <w:r>
              <w:rPr>
                <w:rFonts w:ascii="Times New Roman" w:hAnsi="Times New Roman"/>
                <w:sz w:val="16"/>
              </w:rPr>
              <w:t>1.1e-09</w:t>
            </w:r>
          </w:p>
        </w:tc>
        <w:tc>
          <w:tcPr>
            <w:tcW w:w="2340" w:type="dxa"/>
          </w:tcPr>
          <w:p w14:paraId="6B9EC405">
            <w:pPr>
              <w:jc w:val="center"/>
            </w:pPr>
            <w:r>
              <w:rPr>
                <w:rFonts w:ascii="Times New Roman" w:hAnsi="Times New Roman"/>
                <w:sz w:val="16"/>
              </w:rPr>
              <w:t>1.4e-08</w:t>
            </w:r>
          </w:p>
        </w:tc>
      </w:tr>
      <w:tr w14:paraId="12BBD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40" w:type="dxa"/>
          </w:tcPr>
          <w:p w14:paraId="001E579B">
            <w:pPr>
              <w:jc w:val="center"/>
            </w:pPr>
            <w:r>
              <w:rPr>
                <w:rFonts w:ascii="Times New Roman" w:hAnsi="Times New Roman"/>
                <w:sz w:val="16"/>
              </w:rPr>
              <w:t>Bile secretion</w:t>
            </w:r>
          </w:p>
        </w:tc>
        <w:tc>
          <w:tcPr>
            <w:tcW w:w="2340" w:type="dxa"/>
          </w:tcPr>
          <w:p w14:paraId="7BA4D876">
            <w:pPr>
              <w:jc w:val="center"/>
            </w:pPr>
            <w:r>
              <w:rPr>
                <w:rFonts w:ascii="Times New Roman" w:hAnsi="Times New Roman"/>
                <w:sz w:val="16"/>
              </w:rPr>
              <w:t>5/90</w:t>
            </w:r>
          </w:p>
        </w:tc>
        <w:tc>
          <w:tcPr>
            <w:tcW w:w="2340" w:type="dxa"/>
          </w:tcPr>
          <w:p w14:paraId="7B147396">
            <w:pPr>
              <w:jc w:val="center"/>
            </w:pPr>
            <w:r>
              <w:rPr>
                <w:rFonts w:ascii="Times New Roman" w:hAnsi="Times New Roman"/>
                <w:sz w:val="16"/>
              </w:rPr>
              <w:t>9.8e-09</w:t>
            </w:r>
          </w:p>
        </w:tc>
        <w:tc>
          <w:tcPr>
            <w:tcW w:w="2340" w:type="dxa"/>
          </w:tcPr>
          <w:p w14:paraId="1E97ECC6">
            <w:pPr>
              <w:jc w:val="center"/>
            </w:pPr>
            <w:r>
              <w:rPr>
                <w:rFonts w:ascii="Times New Roman" w:hAnsi="Times New Roman"/>
                <w:sz w:val="16"/>
              </w:rPr>
              <w:t>1.2e-07</w:t>
            </w:r>
          </w:p>
        </w:tc>
      </w:tr>
      <w:tr w14:paraId="76A4F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40" w:type="dxa"/>
          </w:tcPr>
          <w:p w14:paraId="0C8AB4A7">
            <w:pPr>
              <w:jc w:val="center"/>
            </w:pPr>
            <w:r>
              <w:rPr>
                <w:rFonts w:ascii="Times New Roman" w:hAnsi="Times New Roman"/>
                <w:sz w:val="16"/>
              </w:rPr>
              <w:t>IL-17 signaling pathway</w:t>
            </w:r>
          </w:p>
        </w:tc>
        <w:tc>
          <w:tcPr>
            <w:tcW w:w="2340" w:type="dxa"/>
          </w:tcPr>
          <w:p w14:paraId="101CAB5B">
            <w:pPr>
              <w:jc w:val="center"/>
            </w:pPr>
            <w:r>
              <w:rPr>
                <w:rFonts w:ascii="Times New Roman" w:hAnsi="Times New Roman"/>
                <w:sz w:val="16"/>
              </w:rPr>
              <w:t>5/94</w:t>
            </w:r>
          </w:p>
        </w:tc>
        <w:tc>
          <w:tcPr>
            <w:tcW w:w="2340" w:type="dxa"/>
          </w:tcPr>
          <w:p w14:paraId="320C70AC">
            <w:pPr>
              <w:jc w:val="center"/>
            </w:pPr>
            <w:r>
              <w:rPr>
                <w:rFonts w:ascii="Times New Roman" w:hAnsi="Times New Roman"/>
                <w:sz w:val="16"/>
              </w:rPr>
              <w:t>1.2e-08</w:t>
            </w:r>
          </w:p>
        </w:tc>
        <w:tc>
          <w:tcPr>
            <w:tcW w:w="2340" w:type="dxa"/>
          </w:tcPr>
          <w:p w14:paraId="61D7770F">
            <w:pPr>
              <w:jc w:val="center"/>
            </w:pPr>
            <w:r>
              <w:rPr>
                <w:rFonts w:ascii="Times New Roman" w:hAnsi="Times New Roman"/>
                <w:sz w:val="16"/>
              </w:rPr>
              <w:t>1.3e-07</w:t>
            </w:r>
          </w:p>
        </w:tc>
      </w:tr>
      <w:tr w14:paraId="0A2A1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40" w:type="dxa"/>
          </w:tcPr>
          <w:p w14:paraId="2429A589">
            <w:pPr>
              <w:jc w:val="center"/>
            </w:pPr>
            <w:r>
              <w:rPr>
                <w:rFonts w:ascii="Times New Roman" w:hAnsi="Times New Roman"/>
                <w:sz w:val="16"/>
              </w:rPr>
              <w:t>AGE-RAGE signaling pathway in diabetic complicatio</w:t>
            </w:r>
          </w:p>
        </w:tc>
        <w:tc>
          <w:tcPr>
            <w:tcW w:w="2340" w:type="dxa"/>
          </w:tcPr>
          <w:p w14:paraId="5C61A6DE">
            <w:pPr>
              <w:jc w:val="center"/>
            </w:pPr>
            <w:r>
              <w:rPr>
                <w:rFonts w:ascii="Times New Roman" w:hAnsi="Times New Roman"/>
                <w:sz w:val="16"/>
              </w:rPr>
              <w:t>5/100</w:t>
            </w:r>
          </w:p>
        </w:tc>
        <w:tc>
          <w:tcPr>
            <w:tcW w:w="2340" w:type="dxa"/>
          </w:tcPr>
          <w:p w14:paraId="20688A02">
            <w:pPr>
              <w:jc w:val="center"/>
            </w:pPr>
            <w:r>
              <w:rPr>
                <w:rFonts w:ascii="Times New Roman" w:hAnsi="Times New Roman"/>
                <w:sz w:val="16"/>
              </w:rPr>
              <w:t>1.7e-08</w:t>
            </w:r>
          </w:p>
        </w:tc>
        <w:tc>
          <w:tcPr>
            <w:tcW w:w="2340" w:type="dxa"/>
          </w:tcPr>
          <w:p w14:paraId="62C263E6">
            <w:pPr>
              <w:jc w:val="center"/>
            </w:pPr>
            <w:r>
              <w:rPr>
                <w:rFonts w:ascii="Times New Roman" w:hAnsi="Times New Roman"/>
                <w:sz w:val="16"/>
              </w:rPr>
              <w:t>1.7e-07</w:t>
            </w:r>
          </w:p>
        </w:tc>
      </w:tr>
      <w:tr w14:paraId="3E285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40" w:type="dxa"/>
          </w:tcPr>
          <w:p w14:paraId="69C0AB2E">
            <w:pPr>
              <w:jc w:val="center"/>
            </w:pPr>
            <w:r>
              <w:rPr>
                <w:rFonts w:ascii="Times New Roman" w:hAnsi="Times New Roman"/>
                <w:sz w:val="16"/>
              </w:rPr>
              <w:t>Toll-like receptor signaling pathway</w:t>
            </w:r>
          </w:p>
        </w:tc>
        <w:tc>
          <w:tcPr>
            <w:tcW w:w="2340" w:type="dxa"/>
          </w:tcPr>
          <w:p w14:paraId="77AC9A5C">
            <w:pPr>
              <w:jc w:val="center"/>
            </w:pPr>
            <w:r>
              <w:rPr>
                <w:rFonts w:ascii="Times New Roman" w:hAnsi="Times New Roman"/>
                <w:sz w:val="16"/>
              </w:rPr>
              <w:t>5/104</w:t>
            </w:r>
          </w:p>
        </w:tc>
        <w:tc>
          <w:tcPr>
            <w:tcW w:w="2340" w:type="dxa"/>
          </w:tcPr>
          <w:p w14:paraId="770C0945">
            <w:pPr>
              <w:jc w:val="center"/>
            </w:pPr>
            <w:r>
              <w:rPr>
                <w:rFonts w:ascii="Times New Roman" w:hAnsi="Times New Roman"/>
                <w:sz w:val="16"/>
              </w:rPr>
              <w:t>2.0e-08</w:t>
            </w:r>
          </w:p>
        </w:tc>
        <w:tc>
          <w:tcPr>
            <w:tcW w:w="2340" w:type="dxa"/>
          </w:tcPr>
          <w:p w14:paraId="15EEA5C6">
            <w:pPr>
              <w:jc w:val="center"/>
            </w:pPr>
            <w:r>
              <w:rPr>
                <w:rFonts w:ascii="Times New Roman" w:hAnsi="Times New Roman"/>
                <w:sz w:val="16"/>
              </w:rPr>
              <w:t>1.9e-07</w:t>
            </w:r>
          </w:p>
        </w:tc>
      </w:tr>
      <w:tr w14:paraId="28FF3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40" w:type="dxa"/>
          </w:tcPr>
          <w:p w14:paraId="62966FB2">
            <w:pPr>
              <w:jc w:val="center"/>
            </w:pPr>
            <w:r>
              <w:rPr>
                <w:rFonts w:ascii="Times New Roman" w:hAnsi="Times New Roman"/>
                <w:sz w:val="16"/>
              </w:rPr>
              <w:t>African trypanosomiasis</w:t>
            </w:r>
          </w:p>
        </w:tc>
        <w:tc>
          <w:tcPr>
            <w:tcW w:w="2340" w:type="dxa"/>
          </w:tcPr>
          <w:p w14:paraId="0759D8B5">
            <w:pPr>
              <w:jc w:val="center"/>
            </w:pPr>
            <w:r>
              <w:rPr>
                <w:rFonts w:ascii="Times New Roman" w:hAnsi="Times New Roman"/>
                <w:sz w:val="16"/>
              </w:rPr>
              <w:t>4/37</w:t>
            </w:r>
          </w:p>
        </w:tc>
        <w:tc>
          <w:tcPr>
            <w:tcW w:w="2340" w:type="dxa"/>
          </w:tcPr>
          <w:p w14:paraId="1100366F">
            <w:pPr>
              <w:jc w:val="center"/>
            </w:pPr>
            <w:r>
              <w:rPr>
                <w:rFonts w:ascii="Times New Roman" w:hAnsi="Times New Roman"/>
                <w:sz w:val="16"/>
              </w:rPr>
              <w:t>2.3e-08</w:t>
            </w:r>
          </w:p>
        </w:tc>
        <w:tc>
          <w:tcPr>
            <w:tcW w:w="2340" w:type="dxa"/>
          </w:tcPr>
          <w:p w14:paraId="62495F04">
            <w:pPr>
              <w:jc w:val="center"/>
            </w:pPr>
            <w:r>
              <w:rPr>
                <w:rFonts w:ascii="Times New Roman" w:hAnsi="Times New Roman"/>
                <w:sz w:val="16"/>
              </w:rPr>
              <w:t>2.0e-07</w:t>
            </w:r>
          </w:p>
        </w:tc>
      </w:tr>
      <w:tr w14:paraId="08DFA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40" w:type="dxa"/>
          </w:tcPr>
          <w:p w14:paraId="527C8367">
            <w:pPr>
              <w:jc w:val="center"/>
            </w:pPr>
            <w:r>
              <w:rPr>
                <w:rFonts w:ascii="Times New Roman" w:hAnsi="Times New Roman"/>
                <w:sz w:val="16"/>
              </w:rPr>
              <w:t>TNF signaling pathway</w:t>
            </w:r>
          </w:p>
        </w:tc>
        <w:tc>
          <w:tcPr>
            <w:tcW w:w="2340" w:type="dxa"/>
          </w:tcPr>
          <w:p w14:paraId="3441749F">
            <w:pPr>
              <w:jc w:val="center"/>
            </w:pPr>
            <w:r>
              <w:rPr>
                <w:rFonts w:ascii="Times New Roman" w:hAnsi="Times New Roman"/>
                <w:sz w:val="16"/>
              </w:rPr>
              <w:t>5/112</w:t>
            </w:r>
          </w:p>
        </w:tc>
        <w:tc>
          <w:tcPr>
            <w:tcW w:w="2340" w:type="dxa"/>
          </w:tcPr>
          <w:p w14:paraId="18F42D54">
            <w:pPr>
              <w:jc w:val="center"/>
            </w:pPr>
            <w:r>
              <w:rPr>
                <w:rFonts w:ascii="Times New Roman" w:hAnsi="Times New Roman"/>
                <w:sz w:val="16"/>
              </w:rPr>
              <w:t>3.0e-08</w:t>
            </w:r>
          </w:p>
        </w:tc>
        <w:tc>
          <w:tcPr>
            <w:tcW w:w="2340" w:type="dxa"/>
          </w:tcPr>
          <w:p w14:paraId="75650E81">
            <w:pPr>
              <w:jc w:val="center"/>
            </w:pPr>
            <w:r>
              <w:rPr>
                <w:rFonts w:ascii="Times New Roman" w:hAnsi="Times New Roman"/>
                <w:sz w:val="16"/>
              </w:rPr>
              <w:t>2.4e-07</w:t>
            </w:r>
          </w:p>
        </w:tc>
      </w:tr>
      <w:tr w14:paraId="12CE0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40" w:type="dxa"/>
          </w:tcPr>
          <w:p w14:paraId="557CBC2C">
            <w:pPr>
              <w:jc w:val="center"/>
            </w:pPr>
            <w:r>
              <w:rPr>
                <w:rFonts w:ascii="Times New Roman" w:hAnsi="Times New Roman"/>
                <w:sz w:val="16"/>
              </w:rPr>
              <w:t>Malaria</w:t>
            </w:r>
          </w:p>
        </w:tc>
        <w:tc>
          <w:tcPr>
            <w:tcW w:w="2340" w:type="dxa"/>
          </w:tcPr>
          <w:p w14:paraId="60FA443F">
            <w:pPr>
              <w:jc w:val="center"/>
            </w:pPr>
            <w:r>
              <w:rPr>
                <w:rFonts w:ascii="Times New Roman" w:hAnsi="Times New Roman"/>
                <w:sz w:val="16"/>
              </w:rPr>
              <w:t>4/50</w:t>
            </w:r>
          </w:p>
        </w:tc>
        <w:tc>
          <w:tcPr>
            <w:tcW w:w="2340" w:type="dxa"/>
          </w:tcPr>
          <w:p w14:paraId="716BE1B1">
            <w:pPr>
              <w:jc w:val="center"/>
            </w:pPr>
            <w:r>
              <w:rPr>
                <w:rFonts w:ascii="Times New Roman" w:hAnsi="Times New Roman"/>
                <w:sz w:val="16"/>
              </w:rPr>
              <w:t>8.0e-08</w:t>
            </w:r>
          </w:p>
        </w:tc>
        <w:tc>
          <w:tcPr>
            <w:tcW w:w="2340" w:type="dxa"/>
          </w:tcPr>
          <w:p w14:paraId="596FB274">
            <w:pPr>
              <w:jc w:val="center"/>
            </w:pPr>
            <w:r>
              <w:rPr>
                <w:rFonts w:ascii="Times New Roman" w:hAnsi="Times New Roman"/>
                <w:sz w:val="16"/>
              </w:rPr>
              <w:t>6.2e-07</w:t>
            </w:r>
          </w:p>
        </w:tc>
      </w:tr>
      <w:tr w14:paraId="3C6CA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40" w:type="dxa"/>
          </w:tcPr>
          <w:p w14:paraId="2B573EAE">
            <w:pPr>
              <w:jc w:val="center"/>
            </w:pPr>
            <w:r>
              <w:rPr>
                <w:rFonts w:ascii="Times New Roman" w:hAnsi="Times New Roman"/>
                <w:sz w:val="16"/>
              </w:rPr>
              <w:t>Non-alcoholic fatty liver disease</w:t>
            </w:r>
          </w:p>
        </w:tc>
        <w:tc>
          <w:tcPr>
            <w:tcW w:w="2340" w:type="dxa"/>
          </w:tcPr>
          <w:p w14:paraId="50D487E5">
            <w:pPr>
              <w:jc w:val="center"/>
            </w:pPr>
            <w:r>
              <w:rPr>
                <w:rFonts w:ascii="Times New Roman" w:hAnsi="Times New Roman"/>
                <w:sz w:val="16"/>
              </w:rPr>
              <w:t>5/155</w:t>
            </w:r>
          </w:p>
        </w:tc>
        <w:tc>
          <w:tcPr>
            <w:tcW w:w="2340" w:type="dxa"/>
          </w:tcPr>
          <w:p w14:paraId="62F82B7F">
            <w:pPr>
              <w:jc w:val="center"/>
            </w:pPr>
            <w:r>
              <w:rPr>
                <w:rFonts w:ascii="Times New Roman" w:hAnsi="Times New Roman"/>
                <w:sz w:val="16"/>
              </w:rPr>
              <w:t>1.5e-07</w:t>
            </w:r>
          </w:p>
        </w:tc>
        <w:tc>
          <w:tcPr>
            <w:tcW w:w="2340" w:type="dxa"/>
          </w:tcPr>
          <w:p w14:paraId="5F883910">
            <w:pPr>
              <w:jc w:val="center"/>
            </w:pPr>
            <w:r>
              <w:rPr>
                <w:rFonts w:ascii="Times New Roman" w:hAnsi="Times New Roman"/>
                <w:sz w:val="16"/>
              </w:rPr>
              <w:t>1.1e-06</w:t>
            </w:r>
          </w:p>
        </w:tc>
      </w:tr>
      <w:tr w14:paraId="7A71C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40" w:type="dxa"/>
          </w:tcPr>
          <w:p w14:paraId="2C2D0598">
            <w:pPr>
              <w:jc w:val="center"/>
            </w:pPr>
            <w:r>
              <w:rPr>
                <w:rFonts w:ascii="Times New Roman" w:hAnsi="Times New Roman"/>
                <w:sz w:val="16"/>
              </w:rPr>
              <w:t>Cytosolic DNA-sensing pathway</w:t>
            </w:r>
          </w:p>
        </w:tc>
        <w:tc>
          <w:tcPr>
            <w:tcW w:w="2340" w:type="dxa"/>
          </w:tcPr>
          <w:p w14:paraId="569287BF">
            <w:pPr>
              <w:jc w:val="center"/>
            </w:pPr>
            <w:r>
              <w:rPr>
                <w:rFonts w:ascii="Times New Roman" w:hAnsi="Times New Roman"/>
                <w:sz w:val="16"/>
              </w:rPr>
              <w:t>4/63</w:t>
            </w:r>
          </w:p>
        </w:tc>
        <w:tc>
          <w:tcPr>
            <w:tcW w:w="2340" w:type="dxa"/>
          </w:tcPr>
          <w:p w14:paraId="20A0AEE8">
            <w:pPr>
              <w:jc w:val="center"/>
            </w:pPr>
            <w:r>
              <w:rPr>
                <w:rFonts w:ascii="Times New Roman" w:hAnsi="Times New Roman"/>
                <w:sz w:val="16"/>
              </w:rPr>
              <w:t>2.1e-07</w:t>
            </w:r>
          </w:p>
        </w:tc>
        <w:tc>
          <w:tcPr>
            <w:tcW w:w="2340" w:type="dxa"/>
          </w:tcPr>
          <w:p w14:paraId="68DE9B26">
            <w:pPr>
              <w:jc w:val="center"/>
            </w:pPr>
            <w:r>
              <w:rPr>
                <w:rFonts w:ascii="Times New Roman" w:hAnsi="Times New Roman"/>
                <w:sz w:val="16"/>
              </w:rPr>
              <w:t>1.4e-06</w:t>
            </w:r>
          </w:p>
        </w:tc>
      </w:tr>
      <w:tr w14:paraId="541A9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40" w:type="dxa"/>
          </w:tcPr>
          <w:p w14:paraId="1101F23E">
            <w:pPr>
              <w:jc w:val="center"/>
            </w:pPr>
            <w:r>
              <w:rPr>
                <w:rFonts w:ascii="Times New Roman" w:hAnsi="Times New Roman"/>
                <w:sz w:val="16"/>
              </w:rPr>
              <w:t>Influenza A</w:t>
            </w:r>
          </w:p>
        </w:tc>
        <w:tc>
          <w:tcPr>
            <w:tcW w:w="2340" w:type="dxa"/>
          </w:tcPr>
          <w:p w14:paraId="78F84F6F">
            <w:pPr>
              <w:jc w:val="center"/>
            </w:pPr>
            <w:r>
              <w:rPr>
                <w:rFonts w:ascii="Times New Roman" w:hAnsi="Times New Roman"/>
                <w:sz w:val="16"/>
              </w:rPr>
              <w:t>5/172</w:t>
            </w:r>
          </w:p>
        </w:tc>
        <w:tc>
          <w:tcPr>
            <w:tcW w:w="2340" w:type="dxa"/>
          </w:tcPr>
          <w:p w14:paraId="16299F03">
            <w:pPr>
              <w:jc w:val="center"/>
            </w:pPr>
            <w:r>
              <w:rPr>
                <w:rFonts w:ascii="Times New Roman" w:hAnsi="Times New Roman"/>
                <w:sz w:val="16"/>
              </w:rPr>
              <w:t>2.5e-07</w:t>
            </w:r>
          </w:p>
        </w:tc>
        <w:tc>
          <w:tcPr>
            <w:tcW w:w="2340" w:type="dxa"/>
          </w:tcPr>
          <w:p w14:paraId="7E4D1E6D">
            <w:pPr>
              <w:jc w:val="center"/>
            </w:pPr>
            <w:r>
              <w:rPr>
                <w:rFonts w:ascii="Times New Roman" w:hAnsi="Times New Roman"/>
                <w:sz w:val="16"/>
              </w:rPr>
              <w:t>1.7e-06</w:t>
            </w:r>
          </w:p>
        </w:tc>
      </w:tr>
    </w:tbl>
    <w:p w14:paraId="76C8866D">
      <w:pPr>
        <w:pStyle w:val="3"/>
      </w:pPr>
      <w:r>
        <w:t>Supplementary Figure Legends</w:t>
      </w:r>
    </w:p>
    <w:p w14:paraId="70666F3D">
      <w:pPr>
        <w:spacing w:after="160"/>
        <w:rPr>
          <w:b w:val="0"/>
          <w:bCs/>
        </w:rPr>
      </w:pPr>
      <w:r>
        <w:rPr>
          <w:rFonts w:ascii="Times New Roman" w:hAnsi="Times New Roman"/>
          <w:b/>
          <w:sz w:val="24"/>
        </w:rPr>
        <w:t xml:space="preserve">Supplementary Figure 1. </w:t>
      </w:r>
      <w:bookmarkStart w:id="0" w:name="_GoBack"/>
      <w:r>
        <w:rPr>
          <w:rFonts w:ascii="Times New Roman" w:hAnsi="Times New Roman"/>
          <w:b w:val="0"/>
          <w:bCs/>
          <w:sz w:val="24"/>
        </w:rPr>
        <w:t>Sex-stratified disproportionality analysis. Forest plot showing reporting odds ratios (ROR) with 95% confidence intervals for GLP-1 RA use across migraine, headache (broad), and idiopathic intracranial hypertension, stratified by sex (all patients, female, male). The inverse association was present across all outcome definitions in both sexes, with males demonstrating consistently stronger inverse signals.</w:t>
      </w:r>
    </w:p>
    <w:p w14:paraId="7561DCFF">
      <w:pPr>
        <w:spacing w:after="160"/>
      </w:pPr>
      <w:r>
        <w:rPr>
          <w:rFonts w:ascii="Times New Roman" w:hAnsi="Times New Roman"/>
          <w:b/>
          <w:sz w:val="24"/>
        </w:rPr>
        <w:t>Supplementary Figure 2.</w:t>
      </w:r>
      <w:r>
        <w:rPr>
          <w:rFonts w:ascii="Times New Roman" w:hAnsi="Times New Roman"/>
          <w:sz w:val="24"/>
        </w:rPr>
        <w:t xml:space="preserve"> Network pharmacology analysis. (a) Venn diagram showing intersection of GLP-1 RA drug targets and migraine disease targets, yielding 17 shared genes. (b) Protein-protein interaction network with hub genes highlighted by colour intensity (degree centrality). (c) KEGG pathway enrichment bubble plot of shared targets. Bubble size represents gene count; colour represents adjusted P value.</w:t>
      </w:r>
    </w:p>
    <w:p w14:paraId="14354534">
      <w:pPr>
        <w:spacing w:after="160"/>
      </w:pPr>
      <w:r>
        <w:rPr>
          <w:rFonts w:ascii="Times New Roman" w:hAnsi="Times New Roman"/>
          <w:b/>
          <w:sz w:val="24"/>
        </w:rPr>
        <w:t>Supplementary Figure 3.</w:t>
      </w:r>
      <w:r>
        <w:rPr>
          <w:rFonts w:ascii="Times New Roman" w:hAnsi="Times New Roman"/>
          <w:sz w:val="24"/>
        </w:rPr>
        <w:t xml:space="preserve"> Molecular docking analysis. (a) Binding affinity heatmap across all ligand-target pairs (AutoDock Vina). Darker colours indicate stronger binding affinity (more negative kcal/mol). (b-e) Two-dimensional binding contact diagrams for orforglipron-NOS3, danuglipron-NOS3, orforglipron-CALCRL/RAMP1, and danuglipron-CALCRL/RAMP1 interactions.</w:t>
      </w:r>
    </w:p>
    <w:p w14:paraId="01B5FB21">
      <w:pPr>
        <w:spacing w:after="160"/>
      </w:pPr>
      <w:r>
        <w:rPr>
          <w:rFonts w:ascii="Times New Roman" w:hAnsi="Times New Roman"/>
          <w:b/>
          <w:sz w:val="24"/>
        </w:rPr>
        <w:t>Supplementary Figure 4.</w:t>
      </w:r>
      <w:r>
        <w:rPr>
          <w:rFonts w:ascii="Times New Roman" w:hAnsi="Times New Roman"/>
          <w:sz w:val="24"/>
        </w:rPr>
        <w:t xml:space="preserve"> Transcriptomic corroboration. (a) Volcano plot of differentially expressed genes in GSE109558 (vestibular migraine). Red: upregulated; blue: downregulated. (b) Venn diagram showing overlap between differentially expressed genes and network pharmacology targets. (c) Expression levels of key target genes in migraine patients versus controls.</w:t>
      </w:r>
    </w:p>
    <w:bookmarkEnd w:id="0"/>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modern"/>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480" w:lineRule="auto"/>
      </w:pPr>
      <w:r>
        <w:separator/>
      </w:r>
    </w:p>
  </w:footnote>
  <w:footnote w:type="continuationSeparator" w:id="1">
    <w:p>
      <w:pPr>
        <w:spacing w:before="0" w:after="0" w:line="48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204E77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qFormat="1"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0" w:after="0" w:line="480" w:lineRule="auto"/>
    </w:pPr>
    <w:rPr>
      <w:rFonts w:ascii="Times New Roman" w:hAnsi="Times New Roman" w:eastAsiaTheme="minorEastAsia" w:cstheme="minorBidi"/>
      <w:sz w:val="24"/>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000000"/>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000000"/>
      <w:sz w:val="24"/>
      <w:szCs w:val="26"/>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000000"/>
      <w:sz w:val="24"/>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uiPriority w:val="99"/>
    <w:tblPr>
      <w:tblCellMar>
        <w:top w:w="0" w:type="dxa"/>
        <w:left w:w="108" w:type="dxa"/>
        <w:bottom w:w="0" w:type="dxa"/>
        <w:right w:w="108" w:type="dxa"/>
      </w:tblCellMar>
    </w:tblPr>
  </w:style>
  <w:style w:type="paragraph" w:styleId="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Body Text 3"/>
    <w:basedOn w:val="1"/>
    <w:link w:val="146"/>
    <w:unhideWhenUsed/>
    <w:uiPriority w:val="99"/>
    <w:pPr>
      <w:spacing w:after="120"/>
    </w:pPr>
    <w:rPr>
      <w:sz w:val="16"/>
      <w:szCs w:val="16"/>
    </w:rPr>
  </w:style>
  <w:style w:type="paragraph" w:styleId="18">
    <w:name w:val="List Bullet 3"/>
    <w:basedOn w:val="1"/>
    <w:unhideWhenUsed/>
    <w:uiPriority w:val="99"/>
    <w:pPr>
      <w:numPr>
        <w:ilvl w:val="0"/>
        <w:numId w:val="4"/>
      </w:numPr>
      <w:contextualSpacing/>
    </w:pPr>
  </w:style>
  <w:style w:type="paragraph" w:styleId="19">
    <w:name w:val="Body Text"/>
    <w:basedOn w:val="1"/>
    <w:link w:val="144"/>
    <w:unhideWhenUsed/>
    <w:uiPriority w:val="99"/>
    <w:pPr>
      <w:spacing w:after="120"/>
    </w:pPr>
  </w:style>
  <w:style w:type="paragraph" w:styleId="20">
    <w:name w:val="List Number 3"/>
    <w:basedOn w:val="1"/>
    <w:unhideWhenUsed/>
    <w:uiPriority w:val="99"/>
    <w:pPr>
      <w:numPr>
        <w:ilvl w:val="0"/>
        <w:numId w:val="5"/>
      </w:numPr>
      <w:contextualSpacing/>
    </w:pPr>
  </w:style>
  <w:style w:type="paragraph" w:styleId="21">
    <w:name w:val="List 2"/>
    <w:basedOn w:val="1"/>
    <w:unhideWhenUsed/>
    <w:uiPriority w:val="99"/>
    <w:pPr>
      <w:ind w:left="720" w:hanging="360"/>
      <w:contextualSpacing/>
    </w:pPr>
  </w:style>
  <w:style w:type="paragraph" w:styleId="22">
    <w:name w:val="List Continue"/>
    <w:basedOn w:val="1"/>
    <w:unhideWhenUsed/>
    <w:uiPriority w:val="99"/>
    <w:pPr>
      <w:spacing w:after="120"/>
      <w:ind w:left="360"/>
      <w:contextualSpacing/>
    </w:pPr>
  </w:style>
  <w:style w:type="paragraph" w:styleId="23">
    <w:name w:val="List Bullet 2"/>
    <w:basedOn w:val="1"/>
    <w:unhideWhenUsed/>
    <w:uiPriority w:val="99"/>
    <w:pPr>
      <w:numPr>
        <w:ilvl w:val="0"/>
        <w:numId w:val="6"/>
      </w:numPr>
      <w:contextualSpacing/>
    </w:pPr>
  </w:style>
  <w:style w:type="paragraph" w:styleId="24">
    <w:name w:val="footer"/>
    <w:basedOn w:val="1"/>
    <w:link w:val="136"/>
    <w:unhideWhenUsed/>
    <w:uiPriority w:val="99"/>
    <w:pPr>
      <w:tabs>
        <w:tab w:val="center" w:pos="4680"/>
        <w:tab w:val="right" w:pos="9360"/>
      </w:tabs>
      <w:spacing w:after="0" w:line="240" w:lineRule="auto"/>
    </w:pPr>
  </w:style>
  <w:style w:type="paragraph" w:styleId="25">
    <w:name w:val="header"/>
    <w:basedOn w:val="1"/>
    <w:link w:val="135"/>
    <w:unhideWhenUsed/>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uiPriority w:val="99"/>
    <w:pPr>
      <w:ind w:left="360" w:hanging="360"/>
      <w:contextualSpacing/>
    </w:pPr>
  </w:style>
  <w:style w:type="paragraph" w:styleId="28">
    <w:name w:val="Body Text 2"/>
    <w:basedOn w:val="1"/>
    <w:link w:val="145"/>
    <w:unhideWhenUsed/>
    <w:uiPriority w:val="99"/>
    <w:pPr>
      <w:spacing w:after="120" w:line="480" w:lineRule="auto"/>
    </w:pPr>
  </w:style>
  <w:style w:type="paragraph" w:styleId="29">
    <w:name w:val="List Continue 2"/>
    <w:basedOn w:val="1"/>
    <w:unhideWhenUsed/>
    <w:uiPriority w:val="99"/>
    <w:pPr>
      <w:spacing w:after="120"/>
      <w:ind w:left="720"/>
      <w:contextualSpacing/>
    </w:pPr>
  </w:style>
  <w:style w:type="paragraph" w:styleId="30">
    <w:name w:val="List Continue 3"/>
    <w:basedOn w:val="1"/>
    <w:unhideWhenUsed/>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uiPriority w:val="99"/>
  </w:style>
  <w:style w:type="character" w:customStyle="1" w:styleId="136">
    <w:name w:val="Footer Char"/>
    <w:basedOn w:val="132"/>
    <w:link w:val="24"/>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uiPriority w:val="99"/>
  </w:style>
  <w:style w:type="character" w:customStyle="1" w:styleId="145">
    <w:name w:val="Body Text 2 Char"/>
    <w:basedOn w:val="132"/>
    <w:link w:val="28"/>
    <w:uiPriority w:val="99"/>
  </w:style>
  <w:style w:type="character" w:customStyle="1" w:styleId="146">
    <w:name w:val="Body Text 3 Char"/>
    <w:basedOn w:val="132"/>
    <w:link w:val="17"/>
    <w:uiPriority w:val="99"/>
    <w:rPr>
      <w:sz w:val="16"/>
      <w:szCs w:val="16"/>
    </w:rPr>
  </w:style>
  <w:style w:type="character" w:customStyle="1" w:styleId="147">
    <w:name w:val="Macro Text Char"/>
    <w:basedOn w:val="132"/>
    <w:link w:val="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uiPriority w:val="29"/>
    <w:rPr>
      <w:i/>
      <w:iCs/>
      <w:color w:val="000000" w:themeColor="text1"/>
      <w14:textFill>
        <w14:solidFill>
          <w14:schemeClr w14:val="tx1"/>
        </w14:solidFill>
      </w14:textFill>
    </w:rPr>
  </w:style>
  <w:style w:type="character" w:customStyle="1" w:styleId="150">
    <w:name w:val="Heading 4 Char"/>
    <w:basedOn w:val="132"/>
    <w:link w:val="6"/>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7</Pages>
  <Words>537</Words>
  <Characters>3479</Characters>
  <Lines>0</Lines>
  <Paragraphs>0</Paragraphs>
  <TotalTime>0</TotalTime>
  <ScaleCrop>false</ScaleCrop>
  <LinksUpToDate>false</LinksUpToDate>
  <CharactersWithSpaces>3905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Hazelcyz</cp:lastModifiedBy>
  <dcterms:modified xsi:type="dcterms:W3CDTF">2026-05-22T21:12:03Z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eyJoZGlkIjoiMzI3MDU3NWMwNzMyNGQxZGFhNmQ5NTNkMDIwZDk5MTYiLCJ1c2VySWQiOiIzOTkxMjc1MjYifQ==</vt:lpwstr>
  </property>
  <property fmtid="{D5CDD505-2E9C-101B-9397-08002B2CF9AE}" pid="3" name="KSOProductBuildVer">
    <vt:lpwstr>2052-12.1.0.26375</vt:lpwstr>
  </property>
  <property fmtid="{D5CDD505-2E9C-101B-9397-08002B2CF9AE}" pid="4" name="ICV">
    <vt:lpwstr>E56A3E48BBA749F18F0EF0F5C7B7DC65_12</vt:lpwstr>
  </property>
</Properties>
</file>