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center"/>
      </w:pPr>
      <w:r>
        <w:rPr>
          <w:rFonts w:ascii="Times New Roman" w:hAnsi="Times New Roman"/>
          <w:b/>
          <w:sz w:val="26"/>
        </w:rPr>
        <w:t>STROBE Statement - Checklist of Items That Should Be Included in Reports of Cross-Sectional Studies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680"/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Item No.</w:t>
            </w:r>
          </w:p>
        </w:tc>
        <w:tc>
          <w:tcPr>
            <w:tcW w:type="dxa" w:w="4252"/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Recommendation</w:t>
            </w:r>
          </w:p>
        </w:tc>
        <w:tc>
          <w:tcPr>
            <w:tcW w:type="dxa" w:w="4252"/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Page/Section</w:t>
            </w:r>
          </w:p>
        </w:tc>
        <w:tc>
          <w:tcPr>
            <w:tcW w:type="dxa" w:w="454"/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✔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(a) Indicate the study's design with a commonly used term in the title or abstract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Title: “Evidence for reduced migraine reporting with GLP-1 receptor agonists”; Abstract: cross-sectional pharmacovigilance study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(b) Provide an informative and balanced summary of what was done and what was found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Abstract: single unstructured paragraph (146 words) summarising rationale, methods, key findings, and implications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454"/>
            <w:gridSpan w:val="4"/>
            <w:shd w:fill="E8E8E8"/>
          </w:tcPr>
          <w:p>
            <w:pPr>
              <w:jc w:val="left"/>
            </w:pPr>
            <w:r>
              <w:rPr>
                <w:rFonts w:ascii="Times New Roman" w:hAnsi="Times New Roman"/>
                <w:b/>
                <w:sz w:val="18"/>
              </w:rPr>
              <w:t xml:space="preserve">INTRODUCTION 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Explain the scientific background and rationale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Introduction (), paragraphs 1–3: migraine burden, GLP-1 RA pleiotropic effects, mechanistic rationale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State specific objectives, including any prespecified hypotheses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Introduction, paragraph 4: dual-database disproportionality analysis with mechanistic corroboration; prespecified conditions for inverse signal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454"/>
            <w:gridSpan w:val="4"/>
            <w:shd w:fill="E8E8E8"/>
          </w:tcPr>
          <w:p>
            <w:pPr>
              <w:jc w:val="left"/>
            </w:pPr>
            <w:r>
              <w:rPr>
                <w:rFonts w:ascii="Times New Roman" w:hAnsi="Times New Roman"/>
                <w:b/>
                <w:sz w:val="18"/>
              </w:rPr>
              <w:t>METHODS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Present key elements of study design early in the paper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Methods, Study design and data sources: cross-sectional pharmacovigilance; multi-tier analytical framework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Describe the setting, locations, and relevant dates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Methods: FAERS Q1 2004–Q4 2024; JADER database; 16,998,128 deduplicated reports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Give the eligibility criteria, sources and methods of selection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Methods, Drug exposure definitions and Outcome definitions: 7 GLP-1 RAs; MedDRA PTs for migraine, headache, IIH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Clearly define all outcomes, exposures, predictors, confounders, effect modifiers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Methods: Drug exposure (GLP-1 RA class + 7 individual agents), outcomes (migraine, headache, IIH), covariates (age, sex, indication)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For each variable, give sources of data and details of assessment methods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Methods: FAERS ASCII quarterly files; JADER downloads; MedDRA PTs; generic/brand name mapping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Describe any efforts to address potential sources of bias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Methods, Analytical framework: Multi-tier design (Tier 1–3); head-to-head comparisons; E-value; omega shrinkage; temporal trend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Explain how the study size was arrived at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Methods/Results: Full FAERS (16,998,128 reports); 376,266 GLP-1 RA reports; 1,370 migraine co-reports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Explain how quantitative variables were handled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Methods, Statistical analysis: 2×2 contingency tables; ROR, PRR, IC/BCPNN, EBGM; E-value; Benjamini–Hochberg FDR; Weibull TTO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(a-e) Describe all statistical methods including confounding control, subgroups, missing data, sensitivity analyses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Methods: (a) ROR/PRR/IC/EBGM with 95% CI (b) 18 subgroups across 6 dimensions (c) Not applicable (d) Omega shrinkage (e) Weibull shape parameter for TTO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454"/>
            <w:gridSpan w:val="4"/>
            <w:shd w:fill="E8E8E8"/>
          </w:tcPr>
          <w:p>
            <w:pPr>
              <w:jc w:val="left"/>
            </w:pPr>
            <w:r>
              <w:rPr>
                <w:rFonts w:ascii="Times New Roman" w:hAnsi="Times New Roman"/>
                <w:b/>
                <w:sz w:val="18"/>
              </w:rPr>
              <w:t>RESULTS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Report numbers at each stage of study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Results: 16,998,128 total; 376,266 GLP-1 RA; 1,370 migraine co-reports; Table 1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Give characteristics of participants and information on exposures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Table 1, Table 2, Extended Data Tables 1–2: case counts, ROR, CI for all analyses; age/sex stratification in Results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15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Report numbers of outcome events or summary measures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Table 1, Table 2, Extended Data Tables 1–2: event counts, all four signal metrics per comparison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16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Give unadjusted estimates and precision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Results: ROR 0.759 (0.720–0.801); all subgroup results; E-value 1.96 (1.81)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17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Report subgroups, interactions, sensitivity analyses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Results: 18/18 FDR-significant subgroups (Extended Data Table 1, Figure 4); TTO (Extended Data Table 2); JADER (Table 2); IIH; mechanistic corroboration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454"/>
            <w:gridSpan w:val="4"/>
            <w:shd w:fill="E8E8E8"/>
          </w:tcPr>
          <w:p>
            <w:pPr>
              <w:jc w:val="left"/>
            </w:pPr>
            <w:r>
              <w:rPr>
                <w:rFonts w:ascii="Times New Roman" w:hAnsi="Times New Roman"/>
                <w:b/>
                <w:sz w:val="18"/>
              </w:rPr>
              <w:t>DISCUSSION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18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Summarise key results with reference to study objectives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Discussion, paragraph 1: dual-database confirmation, signal consistency across subgroups, temporal stability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19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Discuss limitations taking into account sources of bias or imprecision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Discussion, Limitations paragraph: spontaneous reporting bias, confounding by indication, protopathic bias, dose–response unavailability, semaglutide paradox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20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Give a cautious overall interpretation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Discussion: 4 biological mechanisms (NF-κB, NOS3, TRPV1, weight); semaglutide paradox; JADER corroboration; translational pathway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21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Discuss the generalisability of the study results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Discussion: FAERS international reporting base; JADER cross-national replication in Japanese population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  <w:tr>
        <w:tc>
          <w:tcPr>
            <w:tcW w:type="dxa" w:w="454"/>
            <w:gridSpan w:val="4"/>
            <w:shd w:fill="E8E8E8"/>
          </w:tcPr>
          <w:p>
            <w:pPr>
              <w:jc w:val="left"/>
            </w:pPr>
            <w:r>
              <w:rPr>
                <w:rFonts w:ascii="Times New Roman" w:hAnsi="Times New Roman"/>
                <w:b/>
                <w:sz w:val="18"/>
              </w:rPr>
              <w:t>OTHER INFORMATION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16"/>
              </w:rPr>
              <w:t>22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Give the source of funding and the role of the funders</w:t>
            </w:r>
          </w:p>
        </w:tc>
        <w:tc>
          <w:tcPr>
            <w:tcW w:type="dxa" w:w="4252"/>
          </w:tcPr>
          <w:p>
            <w:r>
              <w:rPr>
                <w:rFonts w:ascii="Times New Roman" w:hAnsi="Times New Roman"/>
                <w:sz w:val="16"/>
              </w:rPr>
              <w:t>Acknowledgements: Noncommunicable Chronic Diseases–National Science and Technology Major Project; funders had no role in study design, analysis, or manuscript preparation</w:t>
            </w:r>
          </w:p>
        </w:tc>
        <w:tc>
          <w:tcPr>
            <w:tcW w:type="dxa" w:w="454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✔</w:t>
            </w:r>
          </w:p>
        </w:tc>
      </w:tr>
    </w:tbl>
    <w:p/>
    <w:p>
      <w:pPr>
        <w:spacing w:after="120"/>
        <w:jc w:val="both"/>
      </w:pPr>
      <w:r>
        <w:rPr>
          <w:rFonts w:ascii="Times New Roman" w:hAnsi="Times New Roman"/>
          <w:b w:val="0"/>
          <w:i/>
          <w:sz w:val="18"/>
        </w:rPr>
        <w:t>STROBE Statement: Strengthening the Reporting of Observational Studies in Epidemiology. Adapted for cross-sectional studies (pharmacovigilance disproportionality analysis).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0" w:before="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