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rFonts w:ascii="Arial" w:hAnsi="Arial"/>
          <w:b/>
          <w:sz w:val="20"/>
        </w:rPr>
        <w:t>Table 2. JADER cross-database assessment: GLP-1 receptor agonist disproportionality for migraine and headache.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b/>
                <w:sz w:val="17"/>
              </w:rPr>
              <w:t>Comparison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b/>
                <w:sz w:val="17"/>
              </w:rPr>
              <w:t>a (drug+event)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b/>
                <w:sz w:val="17"/>
              </w:rPr>
              <w:t>ROR (95% CI)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b/>
                <w:sz w:val="17"/>
              </w:rPr>
              <w:t>IC (IC₀₂₅)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b/>
                <w:sz w:val="17"/>
              </w:rPr>
              <w:t>Signal</w:t>
            </w:r>
          </w:p>
        </w:tc>
      </w:tr>
      <w:tr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GLP-1 RA (class) - Migraine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— (0 events)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-0.72 (-4.72)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—</w:t>
            </w:r>
          </w:p>
        </w:tc>
      </w:tr>
      <w:tr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GLP-1 RA (class) - Headache (broad)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0.226 (0.085–0.602)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-2.01 (-3.34)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negative</w:t>
            </w:r>
          </w:p>
        </w:tc>
      </w:tr>
      <w:tr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semaglutide - Migraine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— (0 events)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-0.19 (-4.19)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—</w:t>
            </w:r>
          </w:p>
        </w:tc>
      </w:tr>
      <w:tr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liraglutide - Migraine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— (0 events)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-0.14 (-4.14)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—</w:t>
            </w:r>
          </w:p>
        </w:tc>
      </w:tr>
      <w:tr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dulaglutide - Migraine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— (0 events)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-0.24 (-4.24)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—</w:t>
            </w:r>
          </w:p>
        </w:tc>
      </w:tr>
      <w:tr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exenatide - Migraine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— (0 events)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-0.05 (-4.05)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—</w:t>
            </w:r>
          </w:p>
        </w:tc>
      </w:tr>
      <w:tr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lixisenatide - Migraine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— (0 events)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-0.03 (-4.03)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—</w:t>
            </w:r>
          </w:p>
        </w:tc>
      </w:tr>
      <w:tr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tirzepatide - Migraine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— (0 events)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-0.22 (-4.22)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—</w:t>
            </w:r>
          </w:p>
        </w:tc>
      </w:tr>
      <w:tr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semaglutide - Headache (broad)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— (0 events)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-3.15 (-7.15)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—</w:t>
            </w:r>
          </w:p>
        </w:tc>
      </w:tr>
      <w:tr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liraglutide - Headache (broad)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— (0 events)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-2.70 (-6.70)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—</w:t>
            </w:r>
          </w:p>
        </w:tc>
      </w:tr>
      <w:tr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dulaglutide - Headache (broad)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0.609 (0.196–1.891)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-0.63 (-2.14)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negative</w:t>
            </w:r>
          </w:p>
        </w:tc>
      </w:tr>
      <w:tr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exenatide - Headache (broad)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0.952 (0.133–6.793)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-0.05 (-2.36)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negative</w:t>
            </w:r>
          </w:p>
        </w:tc>
      </w:tr>
      <w:tr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lixisenatide - Headache (broad)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— (0 events)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-1.04 (-5.03)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—</w:t>
            </w:r>
          </w:p>
        </w:tc>
      </w:tr>
      <w:tr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tirzepatide - Headache (broad)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— (0 events)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-3.32 (-7.32)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—</w:t>
            </w:r>
          </w:p>
        </w:tc>
      </w:tr>
      <w:tr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GLP-1 RA - Migraine (Male)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— (0 events)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-0.21 (-4.21)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—</w:t>
            </w:r>
          </w:p>
        </w:tc>
      </w:tr>
      <w:tr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GLP-1 RA - Migraine (Female)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— (0 events)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-0.50 (-4.50)</w:t>
            </w:r>
          </w:p>
        </w:tc>
        <w:tc>
          <w:tcPr>
            <w:tcW w:type="dxa" w:w="1728"/>
          </w:tcPr>
          <w:p>
            <w:pPr>
              <w:jc w:val="center"/>
            </w:pPr>
            <w:r>
              <w:rPr>
                <w:rFonts w:ascii="Arial" w:hAnsi="Arial"/>
                <w:sz w:val="16"/>
              </w:rPr>
              <w:t>—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