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Arial" w:hAnsi="Arial"/>
          <w:b/>
          <w:sz w:val="20"/>
        </w:rPr>
        <w:t>Table 1. Multi-tier FAERS disproportionality analysis of GLP-1 receptor agonists and migraine.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Analysis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Population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Events (a)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ROR (95% CI)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IC (IC₀₂₅)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EBGM (EB05)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Signal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1: Full DB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0.759 (0.720–0.801)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-0.39 (-0.46)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0.763 (0.730)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1: Full DB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Female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1096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0.544 (0.512–0.577)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-0.86 (-0.94)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0.552 (0.525)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1: Full DB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Male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168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0.102 (0.087–0.118)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-3.25 (-3.47)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0.105 (0.093)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2: Metabolic restricted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0.020 (0.019–0.021)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-4.63 (-4.71)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0.040 (0.039)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3: vs SGLT2i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0.003 (0.003–0.003)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-5.43 (-5.50)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0.023 (0.022)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3: vs DPP4i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0.002 (0.002–0.002)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-5.48 (-5.55)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0.022 (0.021)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Tier 3: vs Metformin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0.012 (0.011–0.012)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-4.97 (-5.04)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0.032 (0.031)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semaglutide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510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1.360 (1.246–1.484)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0.44 (0.31)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1.348 (1.253)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positive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liraglutide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208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1.033 (0.901–1.184)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0.05 (-0.15)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1.022 (0.911)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none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dulaglutide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193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0.469 (0.407–0.540)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-1.08 (-1.29)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0.470 (0.417)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exenatide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100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0.493 (0.405–0.600)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-1.01 (-1.29)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0.493 (0.417)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tirzepatide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372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0.642 (0.580–0.711)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-0.63 (-0.78)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0.643 (0.590)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lixisenatide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0.218 (0.082–0.580)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-2.06 (-3.40)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0.240 (0.109)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Individual drug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albiglutide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0.423 (0.266–0.671)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-1.21 (-1.87)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0.420 (0.285)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Positive control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CGRP mAb (class)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All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10229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26.378 (25.811–26.957)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4.39 (4.36)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20.953 (20.615)</w:t>
            </w:r>
          </w:p>
        </w:tc>
        <w:tc>
          <w:tcPr>
            <w:tcW w:type="dxa" w:w="1080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positive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