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Arial" w:hAnsi="Arial"/>
          <w:b/>
          <w:sz w:val="20"/>
        </w:rPr>
        <w:t>Extended Data Table 2. Time-to-onset analysis of adverse event reports following GLP-1 RA and CGRP mAb exposure.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Drug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N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Median (days)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IQR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Weibull shape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Type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Acute 0–7d (%)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Subacute 8–30d (%)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Intermediate 31–90d (%)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Chronic &gt;90d (%)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(all)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60,595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14.0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0.0–147.0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45.1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12.9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11.7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30.3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exenatide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6,895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7.0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0.0–210.0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0.49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50.2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11.7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7.6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30.5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liraglutide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9,548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30.0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1.0–342.0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37.1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12.9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10.5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39.5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lixisenatide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391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17.0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1.0–213.5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0.49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41.2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14.8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9.2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34.8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albiglutide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1,108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7.0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0.0–44.0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0.53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51.8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19.0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11.2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18.1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dulaglutide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10,891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7.0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0.0–139.5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0.47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50.2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11.8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9.2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28.7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semaglutide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19,352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30.0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1.0–225.0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0.53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37.3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13.1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13.4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36.2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tirzepatide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14,570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8.0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0.0–89.0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0.53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49.5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12.4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13.4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24.7</w:t>
            </w:r>
          </w:p>
        </w:tc>
      </w:tr>
      <w:tr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CGRP mAb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15,449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0.0–88.0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0.56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Early-onset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54.9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8.6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12.0</w:t>
            </w:r>
          </w:p>
        </w:tc>
        <w:tc>
          <w:tcPr>
            <w:tcW w:type="dxa" w:w="864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24.5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