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Arial" w:hAnsi="Arial"/>
          <w:b/>
          <w:sz w:val="20"/>
        </w:rPr>
        <w:t>Extended Data Table 1. Prespecified subgroup analyses (18 subgroups, metabolic drug-restricted comparator) with FDR correction.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Subgroup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Category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Events (a)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ROR (95% CI)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E-value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P (FDR)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Significant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 18-35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118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0.017 (0.014–0.020)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117.5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 36-50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279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0.022 (0.019–0.025)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91.1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 51-65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320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0.034 (0.030–0.038)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58.6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 &gt;65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Age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149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0.074 (0.063–0.087)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26.6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Female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Sex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1075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0.027 (0.026–0.029)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72.4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Male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Sex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163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0.032 (0.028–0.038)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61.1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T2D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Indication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359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0.791 (0.695–0.900)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Weight/Obesity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Indication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295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0.051 (0.043–0.061)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38.4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2010-2017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Period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0.029 (0.025–0.035)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67.8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2018-2025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Period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647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0.040 (0.037–0.043)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49.6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Migraine (narrow)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Outcome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1370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0.029 (0.027–0.030)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69.2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Headache (broad)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Outcome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11280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0.033 (0.032–0.034)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60.1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IIH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Outcome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109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0.035 (0.029–0.042)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57.2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semaglutide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Drug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510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0.074 (0.068–0.081)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26.4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liraglutide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Drug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208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0.059 (0.051–0.067)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33.6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dulaglutide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Drug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193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0.025 (0.022–0.029)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78.0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exenatide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Drug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0.028 (0.023–0.034)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70.9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tirzepatide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Drug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372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0.034 (0.030–0.037)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59.0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&lt;0.001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Yes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