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Times New Roman" w:hAnsi="Times New Roman" w:cs="Times New Roman" w:eastAsia="Times New Roman"/>
        </w:rPr>
        <w:t>Supplementary Materials — Bayesian and frequentist meta-analysis of GCB-classification heterogeneity in TP53-reporting DLBCL cohorts at small k</w:t>
      </w:r>
    </w:p>
    <w:p>
      <w:r>
        <w:rPr>
          <w:rFonts w:ascii="Times New Roman" w:hAnsi="Times New Roman" w:cs="Times New Roman" w:eastAsia="Times New Roman"/>
          <w:sz w:val="24"/>
        </w:rPr>
        <w:t>This file accompanies the main manuscript and contains the supplementary figures (S-Figures 1–5), supplementary tables (S-Tables 1–3), and the Stan model code referenced in the main text.</w:t>
      </w:r>
    </w:p>
    <w:p>
      <w:pPr>
        <w:pStyle w:val="Heading2"/>
      </w:pPr>
      <w:r>
        <w:t>Section S1. Supplementary Figures</w:t>
      </w:r>
    </w:p>
    <w:p>
      <w:pPr>
        <w:pStyle w:val="Heading3"/>
      </w:pPr>
      <w:r>
        <w:t>S-Figure 1. Bootstrap-I² histogram with empirical convergence rate.</w:t>
      </w:r>
    </w:p>
    <w:p>
      <w:r>
        <w:drawing>
          <wp:inline xmlns:a="http://schemas.openxmlformats.org/drawingml/2006/main" xmlns:pic="http://schemas.openxmlformats.org/drawingml/2006/picture">
            <wp:extent cx="54864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S1_bootstrap_I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 w:eastAsia="Times New Roman"/>
          <w:sz w:val="24"/>
        </w:rPr>
        <w:t>Distribution of I² values across 1,000 non-parametric bootstrap resamples of the k = 5 cohorts. Only the proportion of resamples for which I² is estimable is reported in the main text; the histogram is shown here for completeness.</w:t>
      </w:r>
    </w:p>
    <w:p>
      <w:pPr>
        <w:pStyle w:val="Heading3"/>
      </w:pPr>
      <w:r>
        <w:t>S-Figure 2. Bootstrap pooled-proportion histogram.</w:t>
      </w:r>
    </w:p>
    <w:p>
      <w:r>
        <w:drawing>
          <wp:inline xmlns:a="http://schemas.openxmlformats.org/drawingml/2006/main" xmlns:pic="http://schemas.openxmlformats.org/drawingml/2006/picture">
            <wp:extent cx="5486400" cy="3429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S2_bootstrap_poole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 w:eastAsia="Times New Roman"/>
          <w:sz w:val="24"/>
        </w:rPr>
        <w:t>Distribution of the pooled GCB proportion across the same 1,000 bootstrap resamples.</w:t>
      </w:r>
    </w:p>
    <w:p>
      <w:pPr>
        <w:pStyle w:val="Heading3"/>
      </w:pPr>
      <w:r>
        <w:t>S-Figure 3. LOO sensitivity of I² by detection method.</w:t>
      </w:r>
    </w:p>
    <w:p>
      <w:r>
        <w:drawing>
          <wp:inline xmlns:a="http://schemas.openxmlformats.org/drawingml/2006/main" xmlns:pic="http://schemas.openxmlformats.org/drawingml/2006/picture">
            <wp:extent cx="5486400" cy="30480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S3_loo_I2_by_method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 w:eastAsia="Times New Roman"/>
          <w:sz w:val="24"/>
        </w:rPr>
        <w:t>Leave-one-out (LOO) plot of I² when each cohort is removed in turn, stratified by TP53 detection method (IHC vs. sequencing).</w:t>
      </w:r>
    </w:p>
    <w:p>
      <w:pPr>
        <w:pStyle w:val="Heading3"/>
      </w:pPr>
      <w:r>
        <w:t>S-Figure 4. IHC-threshold comparison.</w:t>
      </w:r>
    </w:p>
    <w:p>
      <w:r>
        <w:drawing>
          <wp:inline xmlns:a="http://schemas.openxmlformats.org/drawingml/2006/main" xmlns:pic="http://schemas.openxmlformats.org/drawingml/2006/picture">
            <wp:extent cx="5486400" cy="3918857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S4_threshold_compariso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 w:eastAsia="Times New Roman"/>
          <w:sz w:val="24"/>
        </w:rPr>
        <w:t>Observed GCB proportions per cohort plotted against the cohort's nominal TP53 IHC positivity threshold (≥10%, ≥20%, ≥50%).</w:t>
      </w:r>
    </w:p>
    <w:p>
      <w:pPr>
        <w:pStyle w:val="Heading3"/>
      </w:pPr>
      <w:r>
        <w:t>S-Figure 5. Odds-ratio forest plot for the three full-2×2 cohorts (Henrique, Moreno, Jing).</w:t>
      </w:r>
    </w:p>
    <w:p>
      <w:r>
        <w:drawing>
          <wp:inline xmlns:a="http://schemas.openxmlformats.org/drawingml/2006/main" xmlns:pic="http://schemas.openxmlformats.org/drawingml/2006/picture">
            <wp:extent cx="5486400" cy="34290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6_forest_OR_TP53_GCB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 w:eastAsia="Times New Roman"/>
          <w:sz w:val="24"/>
        </w:rPr>
        <w:t>Random-effects pooled log-odds-ratio for the association between TP53 positivity and GCB classification (k = 3 cohorts for which the full 2×2 cross-tabulation is reported in the source paper).</w:t>
      </w:r>
    </w:p>
    <w:p>
      <w:pPr>
        <w:pStyle w:val="Heading2"/>
      </w:pPr>
      <w:r>
        <w:t>Section S2. Supplementary Tables</w:t>
      </w:r>
    </w:p>
    <w:p>
      <w:pPr>
        <w:pStyle w:val="Heading3"/>
      </w:pPr>
      <w:r>
        <w:t>S-Table 1. Full posterior-summary tables per prior on τ.</w:t>
      </w:r>
    </w:p>
    <w:p>
      <w:r>
        <w:rPr>
          <w:rFonts w:ascii="Times New Roman" w:hAnsi="Times New Roman" w:cs="Times New Roman" w:eastAsia="Times New Roman"/>
          <w:sz w:val="24"/>
        </w:rPr>
        <w:t>Posterior mean, SD, 2.5 / 50 / 97.5 percentiles, effective sample size (n_eff), and rank-normalized R̂ for each of the seven Bayesian parameters (μ, τ, p_overall, and the five study-specific p_i), across all four prior specifications on τ.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Prior_tau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Parameter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Mean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SD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Q2.5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Q50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Q97.5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n_eff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Rhat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HalfCauchy_05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mu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0.009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0.166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-0.346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0.013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0.339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1854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HalfCauchy_05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tau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0.272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0.195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0.023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0.236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0.737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1396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1.002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HalfCauchy_05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p_overall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0.041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0.414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0.584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1868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HalfCauchy_05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p[1]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0.055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0.317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0.432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2805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HalfCauchy_05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p[2]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0.535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0.472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0.534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0.607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6023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HalfCauchy_05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p[3]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0.458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0.599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7141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HalfCauchy_05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p[4]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0.437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0.565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8417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HalfCauchy_05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p[5]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0.463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0.592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7819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HalfCauchy_10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mu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0.005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0.18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-0.379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0.012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0.359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1933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1.002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HalfCauchy_10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tau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0.322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0.231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0.024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0.278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0.908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1264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1.003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HalfCauchy_10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p_overall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0.044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0.406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0.589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1938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1.002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HalfCauchy_10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p[1]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0.422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0.056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0.314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0.422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2174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HalfCauchy_10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p[2]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0.538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0.471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0.536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0.611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5888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HalfCauchy_10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p[3]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0.599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6892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HalfCauchy_10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p[4]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0.436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0.565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9361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HalfCauchy_10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p[5]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0.461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0.594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6955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HalfNormal_1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mu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0.003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0.189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-0.4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0.016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0.358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1122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HalfNormal_1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tau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0.317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0.226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0.021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0.274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0.913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1214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1.002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HalfNormal_1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p_overall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0.046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0.401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0.589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1145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HalfNormal_1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p[1]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0.422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0.057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0.312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0.422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2145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HalfNormal_1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p[2]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0.537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0.472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0.534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0.612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5918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HalfNormal_1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p[3]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0.459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0.602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6898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HalfNormal_1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p[4]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0.433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0.567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8646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HalfNormal_1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p[5]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0.461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0.591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7610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Exponential_1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mu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0.011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0.169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-0.355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0.017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0.331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1883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1.004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Exponential_1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tau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0.29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0.212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0.018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0.25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0.802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1376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Exponential_1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p_overall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0.042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0.412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0.582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1888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1.004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Exponential_1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p[1]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0.426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0.057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0.315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0.428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2751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Exponential_1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p[2]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0.536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0.469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0.535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0.608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6277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Exponential_1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p[3]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0.458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0.601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7448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Exponential_1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p[4]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0.435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0.503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0.567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8998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</w:t>
            </w:r>
          </w:p>
        </w:tc>
      </w:tr>
      <w:tr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Exponential_1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p[5]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0.524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0.033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0.463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0.523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0.592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6846</w:t>
            </w:r>
          </w:p>
        </w:tc>
        <w:tc>
          <w:tcPr>
            <w:tcW w:type="dxa" w:w="960"/>
          </w:tcPr>
          <w:p>
            <w:pPr>
              <w:spacing w:line="276" w:lineRule="auto" w:before="0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1.001</w:t>
            </w:r>
          </w:p>
        </w:tc>
      </w:tr>
    </w:tbl>
    <w:p>
      <w:pPr>
        <w:pStyle w:val="Heading3"/>
      </w:pPr>
      <w:r>
        <w:t>S-Table 2. JBI Prevalence Studies (k = 5 prevalence analysis) and QUIPS (k = 3 OR sub-analysis) risk-of-bias assessment.</w:t>
      </w:r>
    </w:p>
    <w:p>
      <w:r>
        <w:rPr>
          <w:rFonts w:ascii="Times New Roman" w:hAnsi="Times New Roman" w:cs="Times New Roman" w:eastAsia="Times New Roman"/>
          <w:sz w:val="24"/>
        </w:rPr>
        <w:t>Each NOS item from the main-manuscript risk-of-bias table is mapped to the corresponding item on the JBI Prevalence Studies Checklist (J1–J9) for the k = 5 prevalence analysis and to the six QUIPS domains (D1–D6) for the k = 3 odds-ratio sub-analysis. Cohorts that lost the NOS Follow-up star are scored Unclear (U) on JBI item 9 (response rate / non-response handling); all five cohorts meet items 1–8 by construction (peer-reviewed DLBCL cohorts reporting both TP53 status and GCB / non-GCB counts). JBI items: J1 sample frame; J2 sampling; J3 sample size; J4 subject/setting description; J5 coverage; J6 valid identification of condition; J7 standard measurement; J8 appropriate statistical analysis; J9 response rate.</w:t>
      </w:r>
    </w:p>
    <w:p>
      <w:r>
        <w:rPr>
          <w:rFonts w:ascii="Times New Roman" w:hAnsi="Times New Roman" w:cs="Times New Roman" w:eastAsia="Times New Roman"/>
          <w:i/>
          <w:sz w:val="24"/>
        </w:rPr>
        <w:t>JBI Prevalence Studies Checklist (k = 5):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Study</w:t>
            </w:r>
          </w:p>
        </w:tc>
        <w:tc>
          <w:tcPr>
            <w:tcW w:type="dxa" w:w="72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J1</w:t>
            </w:r>
          </w:p>
        </w:tc>
        <w:tc>
          <w:tcPr>
            <w:tcW w:type="dxa" w:w="72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J2</w:t>
            </w:r>
          </w:p>
        </w:tc>
        <w:tc>
          <w:tcPr>
            <w:tcW w:type="dxa" w:w="72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J3</w:t>
            </w:r>
          </w:p>
        </w:tc>
        <w:tc>
          <w:tcPr>
            <w:tcW w:type="dxa" w:w="72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J4</w:t>
            </w:r>
          </w:p>
        </w:tc>
        <w:tc>
          <w:tcPr>
            <w:tcW w:type="dxa" w:w="72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J5</w:t>
            </w:r>
          </w:p>
        </w:tc>
        <w:tc>
          <w:tcPr>
            <w:tcW w:type="dxa" w:w="72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J6</w:t>
            </w:r>
          </w:p>
        </w:tc>
        <w:tc>
          <w:tcPr>
            <w:tcW w:type="dxa" w:w="72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J7</w:t>
            </w:r>
          </w:p>
        </w:tc>
        <w:tc>
          <w:tcPr>
            <w:tcW w:type="dxa" w:w="72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J8</w:t>
            </w:r>
          </w:p>
        </w:tc>
        <w:tc>
          <w:tcPr>
            <w:tcW w:type="dxa" w:w="72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J9</w:t>
            </w:r>
          </w:p>
        </w:tc>
        <w:tc>
          <w:tcPr>
            <w:tcW w:type="dxa" w:w="72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Yes-count</w:t>
            </w:r>
          </w:p>
        </w:tc>
        <w:tc>
          <w:tcPr>
            <w:tcW w:type="dxa" w:w="72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Overall</w:t>
            </w:r>
          </w:p>
        </w:tc>
      </w:tr>
      <w:tr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Bouroumeau (2021)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U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8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 risk</w:t>
            </w:r>
          </w:p>
        </w:tc>
      </w:tr>
      <w:tr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Hu (2019)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9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 risk</w:t>
            </w:r>
          </w:p>
        </w:tc>
      </w:tr>
      <w:tr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Henrique (2023)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U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8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 risk</w:t>
            </w:r>
          </w:p>
        </w:tc>
      </w:tr>
      <w:tr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Moreno (2023)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9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 risk</w:t>
            </w:r>
          </w:p>
        </w:tc>
      </w:tr>
      <w:tr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Jing (2025)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Y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9</w:t>
            </w:r>
          </w:p>
        </w:tc>
        <w:tc>
          <w:tcPr>
            <w:tcW w:type="dxa" w:w="72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 risk</w:t>
            </w:r>
          </w:p>
        </w:tc>
      </w:tr>
    </w:tbl>
    <w:p>
      <w:r>
        <w:rPr>
          <w:rFonts w:ascii="Times New Roman" w:hAnsi="Times New Roman" w:cs="Times New Roman" w:eastAsia="Times New Roman"/>
          <w:sz w:val="24"/>
        </w:rPr>
        <w:t>QUIPS domains: D1 study participation; D2 study attrition; D3 prognostic-factor measurement (TP53 IHC / sequencing); D4 outcome measurement (COO via Hans algorithm); D5 study confounding; D6 statistical analysis and reporting.</w:t>
      </w:r>
    </w:p>
    <w:p>
      <w:r>
        <w:rPr>
          <w:rFonts w:ascii="Times New Roman" w:hAnsi="Times New Roman" w:cs="Times New Roman" w:eastAsia="Times New Roman"/>
          <w:i/>
          <w:sz w:val="24"/>
        </w:rPr>
        <w:t>QUIPS risk-of-bias (k = 3 OR sub-analysis):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Study</w:t>
            </w:r>
          </w:p>
        </w:tc>
        <w:tc>
          <w:tcPr>
            <w:tcW w:type="dxa" w:w="108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D1 Participation</w:t>
            </w:r>
          </w:p>
        </w:tc>
        <w:tc>
          <w:tcPr>
            <w:tcW w:type="dxa" w:w="108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D2 Attrition</w:t>
            </w:r>
          </w:p>
        </w:tc>
        <w:tc>
          <w:tcPr>
            <w:tcW w:type="dxa" w:w="108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D3 Prognostic factor (TP53)</w:t>
            </w:r>
          </w:p>
        </w:tc>
        <w:tc>
          <w:tcPr>
            <w:tcW w:type="dxa" w:w="108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D4 Outcome (COO)</w:t>
            </w:r>
          </w:p>
        </w:tc>
        <w:tc>
          <w:tcPr>
            <w:tcW w:type="dxa" w:w="108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D5 Confounding</w:t>
            </w:r>
          </w:p>
        </w:tc>
        <w:tc>
          <w:tcPr>
            <w:tcW w:type="dxa" w:w="108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D6 Stats/Reporting</w:t>
            </w:r>
          </w:p>
        </w:tc>
        <w:tc>
          <w:tcPr>
            <w:tcW w:type="dxa" w:w="108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Overall</w:t>
            </w:r>
          </w:p>
        </w:tc>
      </w:tr>
      <w:tr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Henrique (2023)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Moderate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Moderate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Low–Moderate</w:t>
            </w:r>
          </w:p>
        </w:tc>
      </w:tr>
      <w:tr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Moreno (2023)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Moderate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</w:tr>
      <w:tr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Jing (2025)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Moderate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  <w:tc>
          <w:tcPr>
            <w:tcW w:type="dxa" w:w="108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Low</w:t>
            </w:r>
          </w:p>
        </w:tc>
      </w:tr>
    </w:tbl>
    <w:p>
      <w:pPr>
        <w:pStyle w:val="Heading3"/>
      </w:pPr>
      <w:r>
        <w:t>S-Table 3. PRISMA-2020 excluded-studies-with-reasons list.</w:t>
      </w:r>
    </w:p>
    <w:p>
      <w:r>
        <w:rPr>
          <w:rFonts w:ascii="Times New Roman" w:hAnsi="Times New Roman" w:cs="Times New Roman" w:eastAsia="Times New Roman"/>
          <w:sz w:val="24"/>
        </w:rPr>
        <w:t>Records considered at title/abstract or full-text stage of the PRISMA-2020 screening flow that were excluded, together with the documented reason for exclusion. The list includes, at minimum, the records named in the main text.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Excluded study</w:t>
            </w:r>
          </w:p>
        </w:tc>
        <w:tc>
          <w:tcPr>
            <w:tcW w:type="dxa" w:w="216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Year</w:t>
            </w:r>
          </w:p>
        </w:tc>
        <w:tc>
          <w:tcPr>
            <w:tcW w:type="dxa" w:w="216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Stage of exclusion</w:t>
            </w:r>
          </w:p>
        </w:tc>
        <w:tc>
          <w:tcPr>
            <w:tcW w:type="dxa" w:w="2160"/>
          </w:tcPr>
          <w:p>
            <w:pPr>
              <w:spacing w:line="276" w:lineRule="auto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Reason for exclusion</w:t>
            </w:r>
          </w:p>
        </w:tc>
      </w:tr>
      <w:tr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Xu-Monette et al.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2012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Full-text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Out-of-window (pre-2018 cutoff).</w:t>
            </w:r>
          </w:p>
        </w:tc>
      </w:tr>
      <w:tr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Landsburg et al.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2023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Full-text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Cohort lacked GCB / non-GCB classification (DLBCL not stratified by cell-of-origin).</w:t>
            </w:r>
          </w:p>
        </w:tc>
      </w:tr>
      <w:tr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Sang et al.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2021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Title/abstract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ASH conference abstract; full TP53 × COO joint table not reported in any associated publication.</w:t>
            </w:r>
          </w:p>
        </w:tc>
      </w:tr>
      <w:tr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Li et al.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2023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Full-text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TP53 status not reported (cohort characterized by MYC/BCL2 only).</w:t>
            </w:r>
          </w:p>
        </w:tc>
      </w:tr>
      <w:tr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Qin et al.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2022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Full-text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No GCB / non-GCB subgroup tabulation; pooled DLBCL only.</w:t>
            </w:r>
          </w:p>
        </w:tc>
      </w:tr>
      <w:tr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Song et al.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2021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Full-text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TP53 ↔ COO joint table not reported; only marginal frequencies shown.</w:t>
            </w:r>
          </w:p>
        </w:tc>
      </w:tr>
      <w:tr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b/>
                <w:sz w:val="20"/>
              </w:rPr>
              <w:t>Farinha et al.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2019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Full-text</w:t>
            </w:r>
          </w:p>
        </w:tc>
        <w:tc>
          <w:tcPr>
            <w:tcW w:type="dxa" w:w="2160"/>
          </w:tcPr>
          <w:p>
            <w:pPr>
              <w:spacing w:line="276" w:lineRule="auto" w:after="0"/>
            </w:pPr>
            <w:r>
              <w:rPr>
                <w:rFonts w:ascii="Times New Roman" w:hAnsi="Times New Roman" w:cs="Times New Roman" w:eastAsia="Times New Roman"/>
                <w:sz w:val="20"/>
              </w:rPr>
              <w:t>ASH conference abstract; full joint TP53 × COO table not available in any peer-reviewed publication (excluded from the present revision; previously included in v1).</w:t>
            </w:r>
          </w:p>
        </w:tc>
      </w:tr>
    </w:tbl>
    <w:p>
      <w:pPr>
        <w:pStyle w:val="Heading2"/>
      </w:pPr>
      <w:r>
        <w:t>Section S3. Stan model code (all four prior variants)</w:t>
      </w:r>
    </w:p>
    <w:p>
      <w:r>
        <w:rPr>
          <w:rFonts w:ascii="Times New Roman" w:hAnsi="Times New Roman" w:cs="Times New Roman" w:eastAsia="Times New Roman"/>
          <w:sz w:val="24"/>
        </w:rPr>
        <w:t>Two reference Stan source files are provided. The four prior variants on τ reported in the main text — Half-Cauchy(0, 0.5) [primary], Half-Cauchy(0, 1.0), Half-Normal(0, 1), and Exponential(1) — are obtained from the same canonical binomial-logit hierarchical template by changing only the τ prior line; the remaining model code (likelihood, non-centered parameterization, generated quantities for posterior predictive replicates) is identical across variants.</w:t>
      </w:r>
    </w:p>
    <w:p>
      <w:r>
        <w:rPr>
          <w:rFonts w:ascii="Times New Roman" w:hAnsi="Times New Roman" w:cs="Times New Roman" w:eastAsia="Times New Roman"/>
          <w:i/>
          <w:sz w:val="24"/>
        </w:rPr>
        <w:t>PD-L1.stan — canonical hierarchical model with weakly informative Half-Cauchy(0, 0.5) prior on the between-study heterogeneity scale (the primary specification in the main text):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data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int&lt;lower=1&gt; N;             // number of studies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int&lt;lower=0&gt; y[N];           // number of GCB cases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int&lt;lower=0&gt; n[N];          // total cases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}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parameters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real&lt;lower=0, upper=1&gt; pi;           // true underlying prevalence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real mu_logit;                       // logit of mean detection rate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real&lt;lower=0&gt; phi;                   // precision (heterogeneity)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vector[N] z;                         // standard normal for non-centered DR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}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transformed parameters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real&lt;lower=0, upper=1&gt; mu;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vector&lt;lower=0, upper=1&gt;[N] DR;      // study-specific detection rates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vector&lt;lower=0, upper=1&gt;[N] p;       // observed prevalence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mu = inv_logit(mu_logit);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for (i in 1:N)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real alpha = mu * phi;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real beta  = (1 - mu) * phi;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real mean = alpha / (alpha + beta);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real beta_var = (alpha * beta) / ((alpha + beta)^2 * (alpha + beta + 1));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// non-centered reparameterization of beta distribution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real sd = sqrt(beta_var);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real raw = mean + sd * z[i];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DR[i] = fmin(fmax(raw, 1e-6), 1 - 1e-6);  // constrain to (0,1)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p[i] = pi * DR[i];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}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}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model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// Priors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pi ~ beta(2, 2);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mu_logit ~ normal(0, 1);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phi ~ normal(2, 1);  // weakly informative, positive-only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z ~ normal(0, 1);    // non-centered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// Likelihood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y ~ binomial(n, p);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}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generated quantities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int y_rep[N];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for (i in 1:N)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y_rep[i] = binomial_rng(n[i], p[i]);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}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}</w:t>
      </w:r>
    </w:p>
    <w:p>
      <w:r>
        <w:rPr>
          <w:rFonts w:ascii="Times New Roman" w:hAnsi="Times New Roman" w:cs="Times New Roman" w:eastAsia="Times New Roman"/>
          <w:i/>
          <w:sz w:val="24"/>
        </w:rPr>
        <w:t>PD-L1-uniform.stan — alternative parameterization with a Uniform(0, 1) prior on the underlying prevalence π and the same non-centered binomial-logit likelihood. Used in conjunction with the Half-Normal(0, 1) and Exponential(1) τ priors as a sensitivity check on the marginal prior on the pooled rate.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data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int&lt;lower=1&gt; N;             // number of studies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int&lt;lower=0&gt; y[N];          // number of GCB cases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int&lt;lower=0&gt; n[N];          // total cases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}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parameters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real&lt;lower=0, upper=1&gt; pi;           // true underlying prevalence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real mu_logit;                       // logit of mean detection rate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real&lt;lower=0&gt; phi;                   // precision (heterogeneity)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vector[N] z;                         // standard normal for non-centered DR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}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transformed parameters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real&lt;lower=0, upper=1&gt; mu;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vector&lt;lower=0, upper=1&gt;[N] DR;      // study-specific detection rates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vector&lt;lower=0, upper=1&gt;[N] p;       // observed prevalence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mu = inv_logit(mu_logit);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for (i in 1:N)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real alpha = mu * phi;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real beta  = (1 - mu) * phi;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real beta_mean = alpha / (alpha + beta);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real beta_var = (alpha * beta) / ((alpha + beta)^2 * (alpha + beta + 1));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// non-centered reparameterization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real sd = sqrt(beta_var);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real raw = beta_mean + sd * z[i];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DR[i] = fmin(fmax(raw, 1e-6), 1 - 1e-6);  // keep in (0,1)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p[i] = pi * DR[i];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}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}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model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// PRIOR: Uniform for pi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pi ~ beta(1, 1);           // Uniform(0,1)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mu_logit ~ normal(0, 1);   // Prior for detection mean (logit scale)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phi ~ normal(2, 1);        // Prior for detection precision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z ~ normal(0, 1);          // Non-centered standard normal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// Likelihood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y ~ binomial(n, p);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}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generated quantities {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int y_rep[N];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for (i in 1:N)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 xml:space="preserve">    y_rep[i] = binomial_rng(n[i], p[i]);</w:t>
      </w:r>
    </w:p>
    <w:p>
      <w:pPr>
        <w:spacing w:line="240" w:lineRule="auto" w:before="0" w:after="0"/>
      </w:pPr>
      <w:r>
        <w:rPr>
          <w:rFonts w:ascii="Courier New" w:hAnsi="Courier New" w:cs="Courier New" w:eastAsia="Courier New"/>
          <w:sz w:val="18"/>
        </w:rPr>
        <w:t>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cs="Times New Roman" w:eastAsia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before="0" w:after="120"/>
    </w:pPr>
    <w:rPr>
      <w:rFonts w:ascii="Times New Roman" w:hAnsi="Times New Roman" w:cs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Times New Roman" w:hAnsi="Times New Roman" w:cs="Times New Roman" w:eastAsia="Times New Roman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Times New Roman" w:hAnsi="Times New Roman" w:cs="Times New Roman" w:eastAsia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Times New Roman" w:hAnsi="Times New Roman" w:cs="Times New Roman" w:eastAsia="Times New Roman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