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Highlights</w:t>
      </w:r>
    </w:p>
    <w:p>
      <w:pPr>
        <w:jc w:val="center"/>
      </w:pPr>
      <w:r>
        <w:rPr>
          <w:i/>
          <w:sz w:val="20"/>
        </w:rPr>
        <w:t>Prepared as an optional summary file</w:t>
      </w:r>
    </w:p>
    <w:p/>
    <w:p>
      <w:r>
        <w:rPr>
          <w:b/>
        </w:rPr>
        <w:t xml:space="preserve">Note: </w:t>
      </w:r>
      <w:r>
        <w:t>Scientific Reports does not require a graphical abstract and may not request a separate highlights file. This file is included only as an optional editorial summary if needed during submission.</w:t>
      </w:r>
    </w:p>
    <w:p>
      <w:pPr>
        <w:pStyle w:val="ListBullet"/>
      </w:pPr>
      <w:r>
        <w:t>Priv-Fed-X combines lightweight TKAN inference, federated learning, local differential privacy, and wake-on-alert explainability for resource-constrained consumer healthcare electronics.</w:t>
      </w:r>
    </w:p>
    <w:p>
      <w:pPr>
        <w:pStyle w:val="ListBullet"/>
      </w:pPr>
      <w:r>
        <w:t>The architecture reduces unnecessary communication through store-and-forward buffering and SNR-aware gating under weak-signal or offline conditions.</w:t>
      </w:r>
    </w:p>
    <w:p>
      <w:pPr>
        <w:pStyle w:val="ListBullet"/>
      </w:pPr>
      <w:r>
        <w:t>A system-aware XAI module remains inactive during normal rhythms and generates visual and textual explanations only when an anomaly crosses a confidence threshold.</w:t>
      </w:r>
    </w:p>
    <w:p>
      <w:pPr>
        <w:pStyle w:val="ListBullet"/>
      </w:pPr>
      <w:r>
        <w:t>Evaluation across physiological and activity datasets shows competitive anomaly-detection performance with a reduced memory and latency profile under a controlled edge-hardware profile.</w:t>
      </w:r>
    </w:p>
    <w:p>
      <w:pPr>
        <w:pStyle w:val="ListBullet"/>
      </w:pPr>
      <w:r>
        <w:t>Battery-life projections suggest that duty-cycled inference and gated communication can substantially improve operating lifetime for coin-cell-class wearable deployments.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00000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