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2D7101"/>
    <w:p w14:paraId="07F18C24">
      <w:pPr>
        <w:spacing w:line="360" w:lineRule="auto"/>
        <w:jc w:val="center"/>
        <w:rPr>
          <w:rFonts w:ascii="Times New Roman" w:hAnsi="Times New Roman"/>
          <w:b/>
          <w:sz w:val="32"/>
          <w:szCs w:val="28"/>
        </w:rPr>
      </w:pPr>
      <w:bookmarkStart w:id="0" w:name="OLE_LINK41"/>
      <w:bookmarkStart w:id="1" w:name="_Hlk526608568"/>
      <w:r>
        <w:rPr>
          <w:rFonts w:ascii="Times New Roman" w:hAnsi="Times New Roman"/>
          <w:b/>
          <w:sz w:val="32"/>
          <w:szCs w:val="28"/>
        </w:rPr>
        <w:t>Supporting Information</w:t>
      </w:r>
    </w:p>
    <w:p w14:paraId="7C9D15A0">
      <w:pPr>
        <w:spacing w:line="360" w:lineRule="auto"/>
        <w:jc w:val="center"/>
        <w:rPr>
          <w:rFonts w:ascii="Times New Roman" w:hAnsi="Times New Roman"/>
          <w:bCs/>
          <w:sz w:val="28"/>
          <w:szCs w:val="24"/>
        </w:rPr>
      </w:pPr>
      <w:r>
        <w:rPr>
          <w:rFonts w:ascii="Times New Roman" w:hAnsi="Times New Roman"/>
          <w:bCs/>
          <w:sz w:val="28"/>
          <w:szCs w:val="24"/>
        </w:rPr>
        <w:t>For</w:t>
      </w:r>
    </w:p>
    <w:p w14:paraId="055639D5">
      <w:pPr>
        <w:spacing w:line="360" w:lineRule="auto"/>
        <w:rPr>
          <w:rFonts w:ascii="Times New Roman" w:hAnsi="Times New Roman"/>
          <w:b/>
          <w:sz w:val="32"/>
          <w:szCs w:val="32"/>
        </w:rPr>
      </w:pPr>
      <w:bookmarkStart w:id="2" w:name="_Toc193738976"/>
      <w:r>
        <w:rPr>
          <w:rFonts w:ascii="Times New Roman" w:hAnsi="Times New Roman"/>
          <w:b/>
          <w:sz w:val="32"/>
          <w:szCs w:val="32"/>
        </w:rPr>
        <w:t>Catalytic Production of Propanediol from Glucose Using Mg(OH)</w:t>
      </w:r>
      <w:r>
        <w:rPr>
          <w:rFonts w:hint="eastAsia" w:ascii="Times New Roman" w:hAnsi="Times New Roman"/>
          <w:b/>
          <w:sz w:val="32"/>
          <w:szCs w:val="32"/>
          <w:vertAlign w:val="subscript"/>
        </w:rPr>
        <w:t>2</w:t>
      </w:r>
      <w:r>
        <w:rPr>
          <w:rFonts w:ascii="Times New Roman" w:hAnsi="Times New Roman"/>
          <w:b/>
          <w:sz w:val="32"/>
          <w:szCs w:val="32"/>
        </w:rPr>
        <w:t>-Modified Ru/SiO</w:t>
      </w:r>
      <w:r>
        <w:rPr>
          <w:rFonts w:hint="eastAsia" w:ascii="Times New Roman" w:hAnsi="Times New Roman"/>
          <w:b/>
          <w:sz w:val="32"/>
          <w:szCs w:val="32"/>
          <w:vertAlign w:val="subscript"/>
        </w:rPr>
        <w:t>2</w:t>
      </w:r>
      <w:r>
        <w:rPr>
          <w:rFonts w:ascii="Times New Roman" w:hAnsi="Times New Roman"/>
          <w:b/>
          <w:sz w:val="32"/>
          <w:szCs w:val="32"/>
        </w:rPr>
        <w:t xml:space="preserve"> Catalysts</w:t>
      </w:r>
      <w:bookmarkEnd w:id="2"/>
    </w:p>
    <w:p w14:paraId="070D41B4">
      <w:pPr>
        <w:spacing w:line="360" w:lineRule="auto"/>
        <w:rPr>
          <w:rFonts w:ascii="Times New Roman" w:hAnsi="Times New Roman"/>
          <w:b/>
          <w:sz w:val="32"/>
          <w:szCs w:val="32"/>
        </w:rPr>
      </w:pPr>
    </w:p>
    <w:bookmarkEnd w:id="0"/>
    <w:bookmarkEnd w:id="1"/>
    <w:p w14:paraId="57F562C4">
      <w:pPr>
        <w:pStyle w:val="2"/>
        <w:spacing w:beforeAutospacing="0" w:afterAutospacing="0" w:line="360" w:lineRule="auto"/>
        <w:jc w:val="both"/>
        <w:rPr>
          <w:rFonts w:hint="default" w:ascii="Times New Roman" w:hAnsi="Times New Roman"/>
          <w:b w:val="0"/>
          <w:bCs w:val="0"/>
          <w:sz w:val="24"/>
          <w:szCs w:val="24"/>
          <w:vertAlign w:val="superscript"/>
        </w:rPr>
      </w:pPr>
      <w:bookmarkStart w:id="3" w:name="_Hlk135729716"/>
      <w:bookmarkStart w:id="4" w:name="_Hlk163996335"/>
      <w:r>
        <w:rPr>
          <w:rFonts w:hint="default" w:ascii="Times New Roman" w:hAnsi="Times New Roman"/>
          <w:b w:val="0"/>
          <w:bCs w:val="0"/>
          <w:sz w:val="24"/>
          <w:szCs w:val="24"/>
        </w:rPr>
        <w:t>Dongsu Bi</w:t>
      </w:r>
      <w:r>
        <w:rPr>
          <w:rFonts w:hint="default" w:ascii="Times New Roman" w:hAnsi="Times New Roman"/>
          <w:b w:val="0"/>
          <w:bCs w:val="0"/>
          <w:sz w:val="24"/>
          <w:szCs w:val="24"/>
          <w:vertAlign w:val="superscript"/>
        </w:rPr>
        <w:t>a</w:t>
      </w:r>
      <w:r>
        <w:rPr>
          <w:rFonts w:ascii="Times New Roman" w:hAnsi="Times New Roman"/>
          <w:b w:val="0"/>
          <w:bCs w:val="0"/>
          <w:sz w:val="24"/>
          <w:szCs w:val="24"/>
        </w:rPr>
        <w:t xml:space="preserve">, </w:t>
      </w:r>
      <w:r>
        <w:rPr>
          <w:rFonts w:hint="default" w:ascii="Times New Roman" w:hAnsi="Times New Roman"/>
          <w:b w:val="0"/>
          <w:bCs w:val="0"/>
          <w:sz w:val="24"/>
          <w:szCs w:val="24"/>
        </w:rPr>
        <w:t>Xinming</w:t>
      </w:r>
      <w:r>
        <w:rPr>
          <w:rFonts w:ascii="Times New Roman" w:hAnsi="Times New Roman"/>
          <w:b w:val="0"/>
          <w:bCs w:val="0"/>
          <w:sz w:val="24"/>
          <w:szCs w:val="24"/>
        </w:rPr>
        <w:t xml:space="preserve"> </w:t>
      </w:r>
      <w:r>
        <w:rPr>
          <w:rFonts w:hint="default" w:ascii="Times New Roman" w:hAnsi="Times New Roman"/>
          <w:b w:val="0"/>
          <w:bCs w:val="0"/>
          <w:sz w:val="24"/>
          <w:szCs w:val="24"/>
        </w:rPr>
        <w:t>Mao</w:t>
      </w:r>
      <w:r>
        <w:rPr>
          <w:rFonts w:hint="default" w:ascii="Times New Roman" w:hAnsi="Times New Roman"/>
          <w:b w:val="0"/>
          <w:bCs w:val="0"/>
          <w:sz w:val="24"/>
          <w:szCs w:val="24"/>
          <w:vertAlign w:val="superscript"/>
        </w:rPr>
        <w:t>a</w:t>
      </w:r>
      <w:r>
        <w:rPr>
          <w:rFonts w:ascii="Times New Roman" w:hAnsi="Times New Roman"/>
          <w:b w:val="0"/>
          <w:bCs w:val="0"/>
          <w:sz w:val="24"/>
          <w:szCs w:val="24"/>
        </w:rPr>
        <w:t xml:space="preserve">, </w:t>
      </w:r>
      <w:r>
        <w:rPr>
          <w:rFonts w:hint="default" w:ascii="Times New Roman" w:hAnsi="Times New Roman"/>
          <w:b w:val="0"/>
          <w:bCs w:val="0"/>
          <w:sz w:val="24"/>
          <w:szCs w:val="24"/>
        </w:rPr>
        <w:t>Chen</w:t>
      </w:r>
      <w:r>
        <w:rPr>
          <w:rFonts w:ascii="Times New Roman" w:hAnsi="Times New Roman"/>
          <w:b w:val="0"/>
          <w:bCs w:val="0"/>
          <w:sz w:val="24"/>
          <w:szCs w:val="24"/>
        </w:rPr>
        <w:t>g</w:t>
      </w:r>
      <w:r>
        <w:rPr>
          <w:rFonts w:hint="default" w:ascii="Times New Roman" w:hAnsi="Times New Roman"/>
          <w:b w:val="0"/>
          <w:bCs w:val="0"/>
          <w:sz w:val="24"/>
          <w:szCs w:val="24"/>
        </w:rPr>
        <w:t xml:space="preserve"> Hou</w:t>
      </w:r>
      <w:r>
        <w:rPr>
          <w:rFonts w:hint="default" w:ascii="Times New Roman" w:hAnsi="Times New Roman"/>
          <w:b w:val="0"/>
          <w:bCs w:val="0"/>
          <w:sz w:val="24"/>
          <w:szCs w:val="24"/>
          <w:vertAlign w:val="superscript"/>
        </w:rPr>
        <w:t>b</w:t>
      </w:r>
      <w:r>
        <w:rPr>
          <w:rFonts w:ascii="Times New Roman" w:hAnsi="Times New Roman"/>
          <w:b w:val="0"/>
          <w:bCs w:val="0"/>
          <w:sz w:val="24"/>
          <w:szCs w:val="24"/>
        </w:rPr>
        <w:t xml:space="preserve">, </w:t>
      </w:r>
      <w:r>
        <w:rPr>
          <w:rFonts w:hint="default" w:ascii="Times New Roman" w:hAnsi="Times New Roman"/>
          <w:b w:val="0"/>
          <w:bCs w:val="0"/>
          <w:sz w:val="24"/>
          <w:szCs w:val="24"/>
        </w:rPr>
        <w:t>Yuanbo</w:t>
      </w:r>
      <w:r>
        <w:rPr>
          <w:rFonts w:ascii="Times New Roman" w:hAnsi="Times New Roman"/>
          <w:b w:val="0"/>
          <w:bCs w:val="0"/>
          <w:sz w:val="24"/>
          <w:szCs w:val="24"/>
        </w:rPr>
        <w:t xml:space="preserve"> </w:t>
      </w:r>
      <w:r>
        <w:rPr>
          <w:rFonts w:hint="default" w:ascii="Times New Roman" w:hAnsi="Times New Roman"/>
          <w:b w:val="0"/>
          <w:bCs w:val="0"/>
          <w:sz w:val="24"/>
          <w:szCs w:val="24"/>
        </w:rPr>
        <w:t>Song</w:t>
      </w:r>
      <w:r>
        <w:rPr>
          <w:rFonts w:hint="default" w:ascii="Times New Roman" w:hAnsi="Times New Roman"/>
          <w:b w:val="0"/>
          <w:bCs w:val="0"/>
          <w:sz w:val="24"/>
          <w:szCs w:val="24"/>
          <w:vertAlign w:val="superscript"/>
        </w:rPr>
        <w:t>b</w:t>
      </w:r>
      <w:r>
        <w:rPr>
          <w:rFonts w:ascii="Times New Roman" w:hAnsi="Times New Roman"/>
          <w:b w:val="0"/>
          <w:bCs w:val="0"/>
          <w:sz w:val="24"/>
          <w:szCs w:val="24"/>
        </w:rPr>
        <w:t xml:space="preserve">, </w:t>
      </w:r>
      <w:r>
        <w:rPr>
          <w:rFonts w:hint="default" w:ascii="Times New Roman" w:hAnsi="Times New Roman"/>
          <w:b w:val="0"/>
          <w:bCs w:val="0"/>
          <w:sz w:val="24"/>
          <w:szCs w:val="24"/>
        </w:rPr>
        <w:t>Mengyu Jin</w:t>
      </w:r>
      <w:r>
        <w:rPr>
          <w:rFonts w:hint="default" w:ascii="Times New Roman" w:hAnsi="Times New Roman"/>
          <w:b w:val="0"/>
          <w:bCs w:val="0"/>
          <w:sz w:val="24"/>
          <w:szCs w:val="24"/>
          <w:vertAlign w:val="superscript"/>
        </w:rPr>
        <w:t>b</w:t>
      </w:r>
      <w:r>
        <w:rPr>
          <w:rFonts w:ascii="Times New Roman" w:hAnsi="Times New Roman"/>
          <w:b w:val="0"/>
          <w:bCs w:val="0"/>
          <w:sz w:val="24"/>
          <w:szCs w:val="24"/>
        </w:rPr>
        <w:t xml:space="preserve">, </w:t>
      </w:r>
      <w:r>
        <w:rPr>
          <w:rFonts w:hint="default" w:ascii="Times New Roman" w:hAnsi="Times New Roman"/>
          <w:b w:val="0"/>
          <w:bCs w:val="0"/>
          <w:sz w:val="24"/>
          <w:szCs w:val="24"/>
        </w:rPr>
        <w:t>Yang Shi</w:t>
      </w:r>
      <w:r>
        <w:rPr>
          <w:rFonts w:hint="default" w:ascii="Times New Roman" w:hAnsi="Times New Roman"/>
          <w:b w:val="0"/>
          <w:bCs w:val="0"/>
          <w:sz w:val="24"/>
          <w:szCs w:val="24"/>
          <w:vertAlign w:val="superscript"/>
        </w:rPr>
        <w:t>b</w:t>
      </w:r>
      <w:r>
        <w:rPr>
          <w:rFonts w:ascii="Times New Roman" w:hAnsi="Times New Roman"/>
          <w:b w:val="0"/>
          <w:bCs w:val="0"/>
          <w:sz w:val="24"/>
          <w:szCs w:val="24"/>
        </w:rPr>
        <w:t xml:space="preserve">, </w:t>
      </w:r>
      <w:r>
        <w:rPr>
          <w:rFonts w:hint="default" w:ascii="Times New Roman" w:hAnsi="Times New Roman"/>
          <w:b w:val="0"/>
          <w:bCs w:val="0"/>
          <w:sz w:val="24"/>
          <w:szCs w:val="24"/>
        </w:rPr>
        <w:t>XiaoXia Wang</w:t>
      </w:r>
      <w:r>
        <w:rPr>
          <w:rFonts w:hint="default" w:ascii="Times New Roman" w:hAnsi="Times New Roman"/>
          <w:b w:val="0"/>
          <w:bCs w:val="0"/>
          <w:sz w:val="24"/>
          <w:szCs w:val="24"/>
          <w:vertAlign w:val="superscript"/>
        </w:rPr>
        <w:t>b</w:t>
      </w:r>
      <w:r>
        <w:rPr>
          <w:rFonts w:ascii="Times New Roman" w:hAnsi="Times New Roman"/>
          <w:b w:val="0"/>
          <w:bCs w:val="0"/>
          <w:sz w:val="24"/>
          <w:szCs w:val="24"/>
        </w:rPr>
        <w:t>, Shijie Wang</w:t>
      </w:r>
      <w:r>
        <w:rPr>
          <w:rFonts w:hint="default" w:ascii="Times New Roman" w:hAnsi="Times New Roman"/>
          <w:b w:val="0"/>
          <w:bCs w:val="0"/>
          <w:sz w:val="24"/>
          <w:szCs w:val="24"/>
          <w:vertAlign w:val="superscript"/>
        </w:rPr>
        <w:t>b</w:t>
      </w:r>
      <w:r>
        <w:rPr>
          <w:rFonts w:ascii="Times New Roman" w:hAnsi="Times New Roman"/>
          <w:b w:val="0"/>
          <w:bCs w:val="0"/>
          <w:sz w:val="24"/>
          <w:szCs w:val="24"/>
        </w:rPr>
        <w:t>,</w:t>
      </w:r>
      <w:r>
        <w:rPr>
          <w:rFonts w:hint="eastAsia" w:ascii="Times New Roman" w:hAnsi="Times New Roman"/>
          <w:b w:val="0"/>
          <w:bCs w:val="0"/>
          <w:sz w:val="24"/>
          <w:szCs w:val="24"/>
          <w:lang w:val="en-US" w:eastAsia="zh-CN"/>
        </w:rPr>
        <w:t>C</w:t>
      </w:r>
      <w:r>
        <w:rPr>
          <w:rFonts w:hint="eastAsia" w:ascii="Times New Roman" w:hAnsi="Times New Roman"/>
          <w:b w:val="0"/>
          <w:bCs w:val="0"/>
          <w:sz w:val="24"/>
          <w:szCs w:val="24"/>
        </w:rPr>
        <w:t>hengtao</w:t>
      </w:r>
      <w:r>
        <w:rPr>
          <w:rFonts w:hint="eastAsia" w:ascii="Times New Roman" w:hAnsi="Times New Roman"/>
          <w:b w:val="0"/>
          <w:bCs w:val="0"/>
          <w:sz w:val="24"/>
          <w:szCs w:val="24"/>
          <w:lang w:val="en-US" w:eastAsia="zh-CN"/>
        </w:rPr>
        <w:t xml:space="preserve"> Gao</w:t>
      </w:r>
      <w:r>
        <w:rPr>
          <w:rFonts w:hint="eastAsia" w:ascii="Times New Roman" w:hAnsi="Times New Roman"/>
          <w:b w:val="0"/>
          <w:bCs w:val="0"/>
          <w:sz w:val="24"/>
          <w:szCs w:val="24"/>
          <w:vertAlign w:val="superscript"/>
          <w:lang w:val="en-US" w:eastAsia="zh-CN"/>
        </w:rPr>
        <w:t>e</w:t>
      </w:r>
      <w:r>
        <w:rPr>
          <w:rFonts w:ascii="Times New Roman" w:hAnsi="Times New Roman"/>
          <w:b w:val="0"/>
          <w:bCs w:val="0"/>
          <w:sz w:val="24"/>
          <w:szCs w:val="24"/>
        </w:rPr>
        <w:t xml:space="preserve">, </w:t>
      </w:r>
      <w:r>
        <w:rPr>
          <w:rFonts w:hint="default" w:ascii="Times New Roman" w:hAnsi="Times New Roman"/>
          <w:b w:val="0"/>
          <w:bCs w:val="0"/>
          <w:sz w:val="24"/>
          <w:szCs w:val="24"/>
        </w:rPr>
        <w:t>Zheng Shen</w:t>
      </w:r>
      <w:r>
        <w:rPr>
          <w:rFonts w:hint="default" w:ascii="Times New Roman" w:hAnsi="Times New Roman"/>
          <w:b w:val="0"/>
          <w:bCs w:val="0"/>
          <w:sz w:val="24"/>
          <w:szCs w:val="24"/>
          <w:vertAlign w:val="superscript"/>
        </w:rPr>
        <w:t>b,c,d*</w:t>
      </w:r>
    </w:p>
    <w:p w14:paraId="79A75668">
      <w:pPr>
        <w:spacing w:line="360" w:lineRule="auto"/>
        <w:rPr>
          <w:rFonts w:ascii="Times New Roman" w:hAnsi="Times New Roman" w:cs="Times New Roman"/>
          <w:bCs/>
          <w:sz w:val="24"/>
          <w:szCs w:val="24"/>
        </w:rPr>
      </w:pPr>
    </w:p>
    <w:bookmarkEnd w:id="3"/>
    <w:p w14:paraId="3C827DD8">
      <w:pPr>
        <w:spacing w:line="360" w:lineRule="auto"/>
        <w:rPr>
          <w:rFonts w:ascii="Times New Roman" w:hAnsi="Times New Roman" w:cs="Times New Roman"/>
          <w:bCs/>
          <w:i/>
          <w:iCs/>
          <w:sz w:val="24"/>
          <w:szCs w:val="24"/>
          <w:vertAlign w:val="baseline"/>
        </w:rPr>
      </w:pPr>
      <w:r>
        <w:rPr>
          <w:rFonts w:ascii="Times New Roman" w:hAnsi="Times New Roman" w:cs="Times New Roman"/>
          <w:bCs/>
          <w:i/>
          <w:iCs/>
          <w:sz w:val="24"/>
          <w:szCs w:val="24"/>
          <w:vertAlign w:val="baseline"/>
        </w:rPr>
        <w:t>a Faculty of Chemical Engineering and Energy Technology</w:t>
      </w:r>
      <w:r>
        <w:rPr>
          <w:rFonts w:hint="eastAsia" w:ascii="Times New Roman" w:hAnsi="Times New Roman" w:cs="Times New Roman"/>
          <w:bCs/>
          <w:i/>
          <w:iCs/>
          <w:sz w:val="24"/>
          <w:szCs w:val="24"/>
          <w:vertAlign w:val="baseline"/>
        </w:rPr>
        <w:t xml:space="preserve">, </w:t>
      </w:r>
      <w:r>
        <w:rPr>
          <w:rFonts w:ascii="Times New Roman" w:hAnsi="Times New Roman" w:cs="Times New Roman"/>
          <w:bCs/>
          <w:i/>
          <w:iCs/>
          <w:sz w:val="24"/>
          <w:szCs w:val="24"/>
          <w:vertAlign w:val="baseline"/>
        </w:rPr>
        <w:t>Shanghai Institute of Technology, Shanghai</w:t>
      </w:r>
      <w:r>
        <w:rPr>
          <w:rFonts w:hint="eastAsia" w:ascii="Times New Roman" w:hAnsi="Times New Roman" w:cs="Times New Roman"/>
          <w:bCs/>
          <w:i/>
          <w:iCs/>
          <w:sz w:val="24"/>
          <w:szCs w:val="24"/>
          <w:vertAlign w:val="baseline"/>
        </w:rPr>
        <w:t>,</w:t>
      </w:r>
      <w:r>
        <w:rPr>
          <w:rFonts w:ascii="Times New Roman" w:hAnsi="Times New Roman" w:cs="Times New Roman"/>
          <w:bCs/>
          <w:i/>
          <w:iCs/>
          <w:sz w:val="24"/>
          <w:szCs w:val="24"/>
          <w:vertAlign w:val="baseline"/>
        </w:rPr>
        <w:t>201418</w:t>
      </w:r>
      <w:r>
        <w:rPr>
          <w:rFonts w:hint="eastAsia" w:ascii="Times New Roman" w:hAnsi="Times New Roman" w:cs="Times New Roman"/>
          <w:bCs/>
          <w:i/>
          <w:iCs/>
          <w:sz w:val="24"/>
          <w:szCs w:val="24"/>
          <w:vertAlign w:val="baseline"/>
        </w:rPr>
        <w:t>,</w:t>
      </w:r>
      <w:r>
        <w:rPr>
          <w:rFonts w:ascii="Times New Roman" w:hAnsi="Times New Roman" w:cs="Times New Roman"/>
          <w:bCs/>
          <w:i/>
          <w:iCs/>
          <w:sz w:val="24"/>
          <w:szCs w:val="24"/>
          <w:vertAlign w:val="baseline"/>
        </w:rPr>
        <w:t>China</w:t>
      </w:r>
    </w:p>
    <w:p w14:paraId="71674191">
      <w:pPr>
        <w:spacing w:line="360" w:lineRule="auto"/>
        <w:rPr>
          <w:rFonts w:ascii="Times New Roman" w:hAnsi="Times New Roman" w:cs="Times New Roman"/>
          <w:bCs/>
          <w:i/>
          <w:iCs/>
          <w:sz w:val="24"/>
          <w:szCs w:val="24"/>
          <w:vertAlign w:val="baseline"/>
        </w:rPr>
      </w:pPr>
      <w:bookmarkStart w:id="5" w:name="_Hlk184251364"/>
      <w:r>
        <w:rPr>
          <w:rFonts w:ascii="Times New Roman" w:hAnsi="Times New Roman" w:cs="Times New Roman"/>
          <w:bCs/>
          <w:i/>
          <w:iCs/>
          <w:sz w:val="24"/>
          <w:szCs w:val="24"/>
          <w:vertAlign w:val="baseline"/>
        </w:rPr>
        <w:t xml:space="preserve">b </w:t>
      </w:r>
      <w:bookmarkEnd w:id="5"/>
      <w:r>
        <w:rPr>
          <w:rFonts w:ascii="Times New Roman" w:hAnsi="Times New Roman" w:cs="Times New Roman"/>
          <w:bCs/>
          <w:i/>
          <w:iCs/>
          <w:sz w:val="24"/>
          <w:szCs w:val="24"/>
          <w:vertAlign w:val="baseline"/>
        </w:rPr>
        <w:t>Institute of New Rural Development</w:t>
      </w:r>
      <w:r>
        <w:rPr>
          <w:rFonts w:hint="eastAsia" w:ascii="Times New Roman" w:hAnsi="Times New Roman" w:cs="Times New Roman"/>
          <w:bCs/>
          <w:i/>
          <w:iCs/>
          <w:sz w:val="24"/>
          <w:szCs w:val="24"/>
          <w:vertAlign w:val="baseline"/>
        </w:rPr>
        <w:t>,</w:t>
      </w:r>
      <w:r>
        <w:rPr>
          <w:rFonts w:ascii="Times New Roman" w:hAnsi="Times New Roman" w:cs="Times New Roman"/>
          <w:bCs/>
          <w:i/>
          <w:iCs/>
          <w:sz w:val="24"/>
          <w:szCs w:val="24"/>
          <w:vertAlign w:val="baseline"/>
        </w:rPr>
        <w:t xml:space="preserve"> School of Electronics and Information Engineering</w:t>
      </w:r>
      <w:r>
        <w:rPr>
          <w:rFonts w:hint="eastAsia" w:ascii="Times New Roman" w:hAnsi="Times New Roman" w:cs="Times New Roman"/>
          <w:bCs/>
          <w:i/>
          <w:iCs/>
          <w:sz w:val="24"/>
          <w:szCs w:val="24"/>
          <w:vertAlign w:val="baseline"/>
        </w:rPr>
        <w:t>,</w:t>
      </w:r>
      <w:r>
        <w:rPr>
          <w:rFonts w:ascii="Times New Roman" w:hAnsi="Times New Roman" w:cs="Times New Roman"/>
          <w:bCs/>
          <w:i/>
          <w:iCs/>
          <w:sz w:val="24"/>
          <w:szCs w:val="24"/>
          <w:vertAlign w:val="baseline"/>
        </w:rPr>
        <w:t xml:space="preserve"> Tongji University</w:t>
      </w:r>
      <w:r>
        <w:rPr>
          <w:rFonts w:hint="eastAsia" w:ascii="Times New Roman" w:hAnsi="Times New Roman" w:cs="Times New Roman"/>
          <w:bCs/>
          <w:i/>
          <w:iCs/>
          <w:sz w:val="24"/>
          <w:szCs w:val="24"/>
          <w:vertAlign w:val="baseline"/>
        </w:rPr>
        <w:t>,</w:t>
      </w:r>
      <w:r>
        <w:rPr>
          <w:rFonts w:ascii="Times New Roman" w:hAnsi="Times New Roman" w:cs="Times New Roman"/>
          <w:bCs/>
          <w:i/>
          <w:iCs/>
          <w:sz w:val="24"/>
          <w:szCs w:val="24"/>
          <w:vertAlign w:val="baseline"/>
        </w:rPr>
        <w:t>Shanghai</w:t>
      </w:r>
      <w:r>
        <w:rPr>
          <w:rFonts w:hint="eastAsia" w:ascii="Times New Roman" w:hAnsi="Times New Roman" w:cs="Times New Roman"/>
          <w:bCs/>
          <w:i/>
          <w:iCs/>
          <w:sz w:val="24"/>
          <w:szCs w:val="24"/>
          <w:vertAlign w:val="baseline"/>
        </w:rPr>
        <w:t>,</w:t>
      </w:r>
      <w:r>
        <w:rPr>
          <w:rFonts w:ascii="Times New Roman" w:hAnsi="Times New Roman" w:cs="Times New Roman"/>
          <w:bCs/>
          <w:i/>
          <w:iCs/>
          <w:sz w:val="24"/>
          <w:szCs w:val="24"/>
          <w:vertAlign w:val="baseline"/>
        </w:rPr>
        <w:t xml:space="preserve"> 201804</w:t>
      </w:r>
      <w:r>
        <w:rPr>
          <w:rFonts w:hint="eastAsia" w:ascii="Times New Roman" w:hAnsi="Times New Roman" w:cs="Times New Roman"/>
          <w:bCs/>
          <w:i/>
          <w:iCs/>
          <w:sz w:val="24"/>
          <w:szCs w:val="24"/>
          <w:vertAlign w:val="baseline"/>
        </w:rPr>
        <w:t>,</w:t>
      </w:r>
      <w:r>
        <w:rPr>
          <w:rFonts w:ascii="Times New Roman" w:hAnsi="Times New Roman" w:cs="Times New Roman"/>
          <w:bCs/>
          <w:i/>
          <w:iCs/>
          <w:sz w:val="24"/>
          <w:szCs w:val="24"/>
          <w:vertAlign w:val="baseline"/>
        </w:rPr>
        <w:t xml:space="preserve"> P. R. China</w:t>
      </w:r>
    </w:p>
    <w:p w14:paraId="3E5F6688">
      <w:pPr>
        <w:spacing w:line="360" w:lineRule="auto"/>
        <w:rPr>
          <w:rFonts w:ascii="Times New Roman" w:hAnsi="Times New Roman" w:cs="Times New Roman"/>
          <w:bCs/>
          <w:i/>
          <w:iCs/>
          <w:sz w:val="24"/>
          <w:szCs w:val="24"/>
          <w:vertAlign w:val="baseline"/>
        </w:rPr>
      </w:pPr>
      <w:r>
        <w:rPr>
          <w:rFonts w:ascii="Times New Roman" w:hAnsi="Times New Roman" w:cs="Times New Roman"/>
          <w:bCs/>
          <w:i/>
          <w:iCs/>
          <w:sz w:val="24"/>
          <w:szCs w:val="24"/>
          <w:vertAlign w:val="baseline"/>
        </w:rPr>
        <w:t>c State Key Laboratory of Pollution Control and Resources Reuse</w:t>
      </w:r>
      <w:r>
        <w:rPr>
          <w:rFonts w:hint="eastAsia" w:ascii="Times New Roman" w:hAnsi="Times New Roman" w:cs="Times New Roman"/>
          <w:bCs/>
          <w:i/>
          <w:iCs/>
          <w:sz w:val="24"/>
          <w:szCs w:val="24"/>
          <w:vertAlign w:val="baseline"/>
        </w:rPr>
        <w:t>,</w:t>
      </w:r>
      <w:r>
        <w:rPr>
          <w:rFonts w:ascii="Times New Roman" w:hAnsi="Times New Roman" w:cs="Times New Roman"/>
          <w:bCs/>
          <w:i/>
          <w:iCs/>
          <w:sz w:val="24"/>
          <w:szCs w:val="24"/>
          <w:vertAlign w:val="baseline"/>
        </w:rPr>
        <w:t xml:space="preserve"> College of Environmental Science and Engineering</w:t>
      </w:r>
      <w:r>
        <w:rPr>
          <w:rFonts w:hint="eastAsia" w:ascii="Times New Roman" w:hAnsi="Times New Roman" w:cs="Times New Roman"/>
          <w:bCs/>
          <w:i/>
          <w:iCs/>
          <w:sz w:val="24"/>
          <w:szCs w:val="24"/>
          <w:vertAlign w:val="baseline"/>
        </w:rPr>
        <w:t>,</w:t>
      </w:r>
      <w:r>
        <w:rPr>
          <w:rFonts w:ascii="Times New Roman" w:hAnsi="Times New Roman" w:cs="Times New Roman"/>
          <w:bCs/>
          <w:i/>
          <w:iCs/>
          <w:sz w:val="24"/>
          <w:szCs w:val="24"/>
          <w:vertAlign w:val="baseline"/>
        </w:rPr>
        <w:t xml:space="preserve"> Tongji University</w:t>
      </w:r>
      <w:r>
        <w:rPr>
          <w:rFonts w:hint="eastAsia" w:ascii="Times New Roman" w:hAnsi="Times New Roman" w:cs="Times New Roman"/>
          <w:bCs/>
          <w:i/>
          <w:iCs/>
          <w:sz w:val="24"/>
          <w:szCs w:val="24"/>
          <w:vertAlign w:val="baseline"/>
        </w:rPr>
        <w:t>,</w:t>
      </w:r>
      <w:r>
        <w:rPr>
          <w:rFonts w:ascii="Times New Roman" w:hAnsi="Times New Roman" w:cs="Times New Roman"/>
          <w:bCs/>
          <w:i/>
          <w:iCs/>
          <w:sz w:val="24"/>
          <w:szCs w:val="24"/>
          <w:vertAlign w:val="baseline"/>
        </w:rPr>
        <w:t xml:space="preserve"> Shanghai</w:t>
      </w:r>
      <w:r>
        <w:rPr>
          <w:rFonts w:hint="eastAsia" w:ascii="Times New Roman" w:hAnsi="Times New Roman" w:cs="Times New Roman"/>
          <w:bCs/>
          <w:i/>
          <w:iCs/>
          <w:sz w:val="24"/>
          <w:szCs w:val="24"/>
          <w:vertAlign w:val="baseline"/>
        </w:rPr>
        <w:t>,</w:t>
      </w:r>
      <w:r>
        <w:rPr>
          <w:rFonts w:ascii="Times New Roman" w:hAnsi="Times New Roman" w:cs="Times New Roman"/>
          <w:bCs/>
          <w:i/>
          <w:iCs/>
          <w:sz w:val="24"/>
          <w:szCs w:val="24"/>
          <w:vertAlign w:val="baseline"/>
        </w:rPr>
        <w:t xml:space="preserve"> 200092</w:t>
      </w:r>
      <w:r>
        <w:rPr>
          <w:rFonts w:hint="eastAsia" w:ascii="Times New Roman" w:hAnsi="Times New Roman" w:cs="Times New Roman"/>
          <w:bCs/>
          <w:i/>
          <w:iCs/>
          <w:sz w:val="24"/>
          <w:szCs w:val="24"/>
          <w:vertAlign w:val="baseline"/>
        </w:rPr>
        <w:t>,</w:t>
      </w:r>
      <w:r>
        <w:rPr>
          <w:rFonts w:ascii="Times New Roman" w:hAnsi="Times New Roman" w:cs="Times New Roman"/>
          <w:bCs/>
          <w:i/>
          <w:iCs/>
          <w:sz w:val="24"/>
          <w:szCs w:val="24"/>
          <w:vertAlign w:val="baseline"/>
        </w:rPr>
        <w:t xml:space="preserve"> P. R. China</w:t>
      </w:r>
    </w:p>
    <w:p w14:paraId="41D7C567">
      <w:pPr>
        <w:spacing w:line="360" w:lineRule="auto"/>
        <w:rPr>
          <w:rFonts w:ascii="Times New Roman" w:hAnsi="Times New Roman" w:cs="Times New Roman"/>
          <w:bCs/>
          <w:i/>
          <w:iCs/>
          <w:sz w:val="24"/>
          <w:szCs w:val="24"/>
          <w:vertAlign w:val="baseline"/>
        </w:rPr>
      </w:pPr>
      <w:r>
        <w:rPr>
          <w:rFonts w:ascii="Times New Roman" w:hAnsi="Times New Roman" w:cs="Times New Roman"/>
          <w:bCs/>
          <w:i/>
          <w:iCs/>
          <w:sz w:val="24"/>
          <w:szCs w:val="24"/>
          <w:vertAlign w:val="baseline"/>
        </w:rPr>
        <w:t>d Key Laboratory of Rural Toilet and SewageTreatment Technology</w:t>
      </w:r>
      <w:r>
        <w:rPr>
          <w:rFonts w:hint="eastAsia" w:ascii="Times New Roman" w:hAnsi="Times New Roman" w:cs="Times New Roman"/>
          <w:bCs/>
          <w:i/>
          <w:iCs/>
          <w:sz w:val="24"/>
          <w:szCs w:val="24"/>
          <w:vertAlign w:val="baseline"/>
        </w:rPr>
        <w:t>,</w:t>
      </w:r>
      <w:r>
        <w:rPr>
          <w:rFonts w:ascii="Times New Roman" w:hAnsi="Times New Roman" w:cs="Times New Roman"/>
          <w:bCs/>
          <w:i/>
          <w:iCs/>
          <w:sz w:val="24"/>
          <w:szCs w:val="24"/>
          <w:vertAlign w:val="baseline"/>
        </w:rPr>
        <w:t xml:space="preserve"> Ministry of Agricultureand Rural Affairs</w:t>
      </w:r>
      <w:r>
        <w:rPr>
          <w:rFonts w:hint="eastAsia" w:ascii="Times New Roman" w:hAnsi="Times New Roman" w:cs="Times New Roman"/>
          <w:bCs/>
          <w:i/>
          <w:iCs/>
          <w:sz w:val="24"/>
          <w:szCs w:val="24"/>
          <w:vertAlign w:val="baseline"/>
        </w:rPr>
        <w:t>,</w:t>
      </w:r>
      <w:r>
        <w:rPr>
          <w:rFonts w:ascii="Times New Roman" w:hAnsi="Times New Roman" w:cs="Times New Roman"/>
          <w:bCs/>
          <w:i/>
          <w:iCs/>
          <w:sz w:val="24"/>
          <w:szCs w:val="24"/>
          <w:vertAlign w:val="baseline"/>
        </w:rPr>
        <w:t xml:space="preserve"> Tongji University</w:t>
      </w:r>
      <w:r>
        <w:rPr>
          <w:rFonts w:hint="eastAsia" w:ascii="Times New Roman" w:hAnsi="Times New Roman" w:cs="Times New Roman"/>
          <w:bCs/>
          <w:i/>
          <w:iCs/>
          <w:sz w:val="24"/>
          <w:szCs w:val="24"/>
          <w:vertAlign w:val="baseline"/>
        </w:rPr>
        <w:t>,</w:t>
      </w:r>
      <w:r>
        <w:rPr>
          <w:rFonts w:ascii="Times New Roman" w:hAnsi="Times New Roman" w:cs="Times New Roman"/>
          <w:bCs/>
          <w:i/>
          <w:iCs/>
          <w:sz w:val="24"/>
          <w:szCs w:val="24"/>
          <w:vertAlign w:val="baseline"/>
        </w:rPr>
        <w:t xml:space="preserve"> Shanghai 201804</w:t>
      </w:r>
      <w:r>
        <w:rPr>
          <w:rFonts w:hint="eastAsia" w:ascii="Times New Roman" w:hAnsi="Times New Roman" w:cs="Times New Roman"/>
          <w:bCs/>
          <w:i/>
          <w:iCs/>
          <w:sz w:val="24"/>
          <w:szCs w:val="24"/>
          <w:vertAlign w:val="baseline"/>
        </w:rPr>
        <w:t>,</w:t>
      </w:r>
      <w:r>
        <w:rPr>
          <w:rFonts w:ascii="Times New Roman" w:hAnsi="Times New Roman" w:cs="Times New Roman"/>
          <w:bCs/>
          <w:i/>
          <w:iCs/>
          <w:sz w:val="24"/>
          <w:szCs w:val="24"/>
          <w:vertAlign w:val="baseline"/>
        </w:rPr>
        <w:t xml:space="preserve"> P. R. China </w:t>
      </w:r>
    </w:p>
    <w:p w14:paraId="3904D6D4">
      <w:pPr>
        <w:spacing w:line="360" w:lineRule="auto"/>
        <w:rPr>
          <w:rFonts w:hint="default" w:ascii="Times New Roman" w:hAnsi="Times New Roman" w:cs="Times New Roman"/>
          <w:bCs/>
          <w:i/>
          <w:iCs/>
          <w:sz w:val="24"/>
          <w:szCs w:val="24"/>
          <w:vertAlign w:val="baseline"/>
          <w:lang w:val="en-US" w:eastAsia="zh-CN"/>
        </w:rPr>
      </w:pPr>
      <w:r>
        <w:rPr>
          <w:rFonts w:hint="eastAsia" w:ascii="Times New Roman" w:hAnsi="Times New Roman" w:cs="Times New Roman"/>
          <w:bCs/>
          <w:i/>
          <w:iCs/>
          <w:sz w:val="24"/>
          <w:szCs w:val="24"/>
          <w:vertAlign w:val="baseline"/>
          <w:lang w:val="en-US" w:eastAsia="zh-CN"/>
        </w:rPr>
        <w:t>e National Engineering Research Center for Compounding and Modification of Polymer Materials (Guizhou Material Industrial Technology Institute), Guiyang, 550016, China.</w:t>
      </w:r>
      <w:bookmarkStart w:id="8" w:name="_GoBack"/>
      <w:bookmarkEnd w:id="8"/>
    </w:p>
    <w:p w14:paraId="35708809">
      <w:pPr>
        <w:spacing w:line="360" w:lineRule="auto"/>
        <w:rPr>
          <w:rFonts w:ascii="Times New Roman" w:hAnsi="Times New Roman" w:cs="Times New Roman"/>
          <w:bCs/>
          <w:i/>
          <w:iCs/>
          <w:sz w:val="24"/>
          <w:szCs w:val="24"/>
          <w:vertAlign w:val="baseline"/>
        </w:rPr>
      </w:pPr>
    </w:p>
    <w:p w14:paraId="2ED5054A">
      <w:pPr>
        <w:spacing w:line="360" w:lineRule="auto"/>
        <w:rPr>
          <w:rFonts w:ascii="Times New Roman" w:hAnsi="Times New Roman" w:cs="Times New Roman"/>
          <w:bCs/>
          <w:i/>
          <w:iCs/>
          <w:sz w:val="24"/>
          <w:szCs w:val="24"/>
          <w:vertAlign w:val="baseline"/>
        </w:rPr>
      </w:pPr>
      <w:r>
        <w:rPr>
          <w:rFonts w:ascii="Times New Roman" w:hAnsi="Times New Roman" w:cs="Times New Roman"/>
          <w:bCs/>
          <w:i/>
          <w:iCs/>
          <w:sz w:val="24"/>
          <w:szCs w:val="24"/>
          <w:vertAlign w:val="baseline"/>
        </w:rPr>
        <w:t>* Corresponding author: Zheng Shen</w:t>
      </w:r>
    </w:p>
    <w:p w14:paraId="4D15C462">
      <w:pPr>
        <w:spacing w:line="360" w:lineRule="auto"/>
        <w:rPr>
          <w:rFonts w:ascii="Times New Roman" w:hAnsi="Times New Roman" w:cs="Times New Roman"/>
          <w:bCs/>
          <w:i/>
          <w:iCs/>
          <w:sz w:val="24"/>
          <w:szCs w:val="24"/>
          <w:vertAlign w:val="baseline"/>
        </w:rPr>
      </w:pPr>
      <w:r>
        <w:rPr>
          <w:rFonts w:ascii="Times New Roman" w:hAnsi="Times New Roman" w:cs="Times New Roman"/>
          <w:bCs/>
          <w:i/>
          <w:iCs/>
          <w:sz w:val="24"/>
          <w:szCs w:val="24"/>
          <w:vertAlign w:val="baseline"/>
        </w:rPr>
        <w:t>E-mail: shenzheng@tongji.edu.cn</w:t>
      </w:r>
      <w:r>
        <w:rPr>
          <w:rFonts w:hint="eastAsia" w:ascii="Times New Roman" w:hAnsi="Times New Roman" w:cs="Times New Roman"/>
          <w:bCs/>
          <w:i/>
          <w:iCs/>
          <w:sz w:val="24"/>
          <w:szCs w:val="24"/>
          <w:vertAlign w:val="baseline"/>
        </w:rPr>
        <w:t>:</w:t>
      </w:r>
      <w:r>
        <w:rPr>
          <w:rFonts w:ascii="Times New Roman" w:hAnsi="Times New Roman" w:cs="Times New Roman"/>
          <w:bCs/>
          <w:i/>
          <w:iCs/>
          <w:sz w:val="24"/>
          <w:szCs w:val="24"/>
          <w:vertAlign w:val="baseline"/>
        </w:rPr>
        <w:t xml:space="preserve"> </w:t>
      </w:r>
    </w:p>
    <w:bookmarkEnd w:id="4"/>
    <w:p w14:paraId="58BCEA2A">
      <w:pPr>
        <w:widowControl/>
        <w:jc w:val="left"/>
        <w:rPr>
          <w:rFonts w:ascii="Times New Roman" w:hAnsi="Times New Roman" w:cs="Times New Roman"/>
          <w:b/>
          <w:sz w:val="24"/>
        </w:rPr>
      </w:pPr>
    </w:p>
    <w:p w14:paraId="62B824EB">
      <w:pPr>
        <w:widowControl/>
        <w:jc w:val="left"/>
        <w:rPr>
          <w:rFonts w:ascii="Times New Roman" w:hAnsi="Times New Roman" w:cs="Times New Roman"/>
          <w:b/>
          <w:sz w:val="24"/>
        </w:rPr>
      </w:pPr>
    </w:p>
    <w:p w14:paraId="3F4D569B">
      <w:pPr>
        <w:widowControl/>
        <w:jc w:val="left"/>
        <w:rPr>
          <w:rFonts w:ascii="Times New Roman" w:hAnsi="Times New Roman" w:cs="Times New Roman"/>
          <w:b/>
          <w:sz w:val="24"/>
        </w:rPr>
      </w:pPr>
    </w:p>
    <w:p w14:paraId="680AC4BB">
      <w:pPr>
        <w:widowControl/>
        <w:jc w:val="left"/>
        <w:rPr>
          <w:rFonts w:ascii="Times New Roman" w:hAnsi="Times New Roman" w:cs="Times New Roman"/>
          <w:b/>
          <w:sz w:val="24"/>
        </w:rPr>
      </w:pPr>
    </w:p>
    <w:p w14:paraId="76BBC3AC">
      <w:pPr>
        <w:widowControl/>
        <w:jc w:val="left"/>
        <w:rPr>
          <w:rFonts w:ascii="Times New Roman" w:hAnsi="Times New Roman" w:cs="Times New Roman"/>
          <w:b/>
          <w:sz w:val="24"/>
        </w:rPr>
      </w:pPr>
    </w:p>
    <w:p w14:paraId="373F57D9">
      <w:pPr>
        <w:widowControl/>
        <w:jc w:val="left"/>
        <w:rPr>
          <w:rFonts w:ascii="Times New Roman" w:hAnsi="Times New Roman" w:cs="Times New Roman"/>
          <w:b/>
          <w:sz w:val="24"/>
        </w:rPr>
      </w:pPr>
    </w:p>
    <w:p w14:paraId="3527C499">
      <w:pPr>
        <w:widowControl/>
        <w:jc w:val="left"/>
        <w:rPr>
          <w:rFonts w:ascii="Times New Roman" w:hAnsi="Times New Roman" w:cs="Times New Roman"/>
          <w:b/>
          <w:sz w:val="24"/>
        </w:rPr>
      </w:pPr>
    </w:p>
    <w:p w14:paraId="6435037B">
      <w:pPr>
        <w:widowControl/>
        <w:jc w:val="left"/>
        <w:rPr>
          <w:rFonts w:ascii="Times New Roman" w:hAnsi="Times New Roman" w:cs="Times New Roman"/>
          <w:b/>
          <w:sz w:val="24"/>
        </w:rPr>
      </w:pPr>
    </w:p>
    <w:p w14:paraId="24E5AAED">
      <w:pPr>
        <w:widowControl/>
        <w:jc w:val="left"/>
        <w:rPr>
          <w:rFonts w:ascii="Times New Roman" w:hAnsi="Times New Roman" w:cs="Times New Roman"/>
          <w:b/>
          <w:sz w:val="24"/>
        </w:rPr>
      </w:pPr>
    </w:p>
    <w:p w14:paraId="269D8511">
      <w:pPr>
        <w:widowControl/>
        <w:jc w:val="left"/>
        <w:rPr>
          <w:rFonts w:ascii="Times New Roman" w:hAnsi="Times New Roman" w:cs="Times New Roman"/>
          <w:b/>
          <w:sz w:val="24"/>
        </w:rPr>
      </w:pPr>
    </w:p>
    <w:p w14:paraId="32F12084">
      <w:pPr>
        <w:widowControl/>
        <w:jc w:val="left"/>
        <w:rPr>
          <w:rFonts w:ascii="Times New Roman" w:hAnsi="Times New Roman" w:cs="Times New Roman"/>
          <w:b/>
          <w:sz w:val="24"/>
        </w:rPr>
      </w:pPr>
    </w:p>
    <w:p w14:paraId="0FE530EB">
      <w:pPr>
        <w:widowControl/>
        <w:jc w:val="left"/>
        <w:rPr>
          <w:rFonts w:ascii="Times New Roman" w:hAnsi="Times New Roman" w:cs="Times New Roman"/>
          <w:b/>
          <w:sz w:val="24"/>
        </w:rPr>
      </w:pPr>
    </w:p>
    <w:p w14:paraId="63721C04">
      <w:pPr>
        <w:spacing w:line="360" w:lineRule="auto"/>
        <w:rPr>
          <w:rFonts w:ascii="Times New Roman" w:hAnsi="Times New Roman" w:cs="Times New Roman"/>
          <w:b/>
          <w:sz w:val="22"/>
          <w:lang w:val="en-US" w:eastAsia="zh-CN"/>
        </w:rPr>
      </w:pPr>
      <w:r>
        <w:rPr>
          <w:rFonts w:ascii="Times New Roman" w:hAnsi="Times New Roman" w:cs="Times New Roman"/>
          <w:b/>
          <w:sz w:val="22"/>
        </w:rPr>
        <w:t>Text S1</w:t>
      </w:r>
      <w:r>
        <w:rPr>
          <w:rFonts w:hint="eastAsia" w:ascii="Times New Roman" w:hAnsi="Times New Roman" w:cs="Times New Roman"/>
          <w:b/>
          <w:sz w:val="22"/>
          <w:lang w:val="en-US" w:eastAsia="zh-CN"/>
        </w:rPr>
        <w:t>.</w:t>
      </w:r>
      <w:r>
        <w:rPr>
          <w:rFonts w:ascii="Times New Roman" w:hAnsi="Times New Roman" w:cs="Times New Roman"/>
          <w:b/>
          <w:sz w:val="22"/>
          <w:lang w:val="en-US" w:eastAsia="zh-CN"/>
        </w:rPr>
        <w:t xml:space="preserve"> Catalyst Characterization</w:t>
      </w:r>
    </w:p>
    <w:p w14:paraId="4F73FD61">
      <w:pPr>
        <w:keepNext/>
        <w:keepLines/>
        <w:widowControl w:val="0"/>
        <w:spacing w:line="480" w:lineRule="auto"/>
        <w:jc w:val="both"/>
        <w:outlineLvl w:val="2"/>
        <w:rPr>
          <w:rFonts w:ascii="Times New Roman" w:hAnsi="Times New Roman" w:eastAsia="Times New Roman" w:cs="Times New Roman"/>
          <w:bCs/>
          <w:kern w:val="2"/>
          <w:sz w:val="24"/>
          <w:szCs w:val="32"/>
          <w:lang w:val="en-US" w:eastAsia="zh-CN" w:bidi="ar-SA"/>
        </w:rPr>
      </w:pPr>
      <w:bookmarkStart w:id="6" w:name="_Hlk117541316"/>
      <w:r>
        <w:rPr>
          <w:rFonts w:hint="eastAsia" w:ascii="Times New Roman" w:hAnsi="Times New Roman" w:eastAsia="Times New Roman" w:cs="Times New Roman"/>
          <w:bCs/>
          <w:kern w:val="2"/>
          <w:sz w:val="24"/>
          <w:szCs w:val="32"/>
          <w:lang w:val="en-US" w:eastAsia="zh-CN" w:bidi="ar-SA"/>
        </w:rPr>
        <w:t xml:space="preserve">Text S1.1. </w:t>
      </w:r>
      <w:r>
        <w:rPr>
          <w:rFonts w:ascii="Times New Roman" w:hAnsi="Times New Roman" w:eastAsia="Times New Roman" w:cs="Times New Roman"/>
          <w:bCs/>
          <w:kern w:val="2"/>
          <w:sz w:val="24"/>
          <w:szCs w:val="32"/>
          <w:lang w:val="en-US" w:eastAsia="zh-CN" w:bidi="ar-SA"/>
        </w:rPr>
        <w:t>Analysis of catalyst morphology by scanning electron microscopy</w:t>
      </w:r>
      <w:r>
        <w:rPr>
          <w:rFonts w:ascii="Times New Roman" w:hAnsi="Times New Roman" w:eastAsia="宋体" w:cs="Times New Roman"/>
          <w:bCs/>
          <w:kern w:val="2"/>
          <w:sz w:val="24"/>
          <w:szCs w:val="32"/>
          <w:lang w:val="en-US" w:eastAsia="zh-CN" w:bidi="ar-SA"/>
        </w:rPr>
        <w:t>（</w:t>
      </w:r>
      <w:r>
        <w:rPr>
          <w:rFonts w:ascii="Times New Roman" w:hAnsi="Times New Roman" w:eastAsia="Times New Roman" w:cs="Times New Roman"/>
          <w:bCs/>
          <w:kern w:val="2"/>
          <w:sz w:val="24"/>
          <w:szCs w:val="32"/>
          <w:lang w:val="en-US" w:eastAsia="zh-CN" w:bidi="ar-SA"/>
        </w:rPr>
        <w:t>SEM</w:t>
      </w:r>
      <w:r>
        <w:rPr>
          <w:rFonts w:ascii="Times New Roman" w:hAnsi="Times New Roman" w:eastAsia="宋体" w:cs="Times New Roman"/>
          <w:bCs/>
          <w:kern w:val="2"/>
          <w:sz w:val="24"/>
          <w:szCs w:val="32"/>
          <w:lang w:val="en-US" w:eastAsia="zh-CN" w:bidi="ar-SA"/>
        </w:rPr>
        <w:t>）</w:t>
      </w:r>
    </w:p>
    <w:p w14:paraId="53490DF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portion of the sample was dispersed into an ethanol solution for sonication, and the sample morphology was photographed using a ZEISS Sigma 300 scanning electron microscope. </w:t>
      </w:r>
    </w:p>
    <w:p w14:paraId="36CCCC82">
      <w:pPr>
        <w:keepNext/>
        <w:keepLines/>
        <w:widowControl w:val="0"/>
        <w:spacing w:line="480" w:lineRule="auto"/>
        <w:jc w:val="both"/>
        <w:outlineLvl w:val="2"/>
        <w:rPr>
          <w:rFonts w:ascii="Times New Roman" w:hAnsi="Times New Roman" w:eastAsia="Times New Roman" w:cs="Times New Roman"/>
          <w:bCs/>
          <w:kern w:val="2"/>
          <w:sz w:val="24"/>
          <w:szCs w:val="32"/>
          <w:lang w:val="en-US" w:eastAsia="zh-CN" w:bidi="ar-SA"/>
        </w:rPr>
      </w:pPr>
      <w:r>
        <w:rPr>
          <w:rFonts w:hint="eastAsia" w:ascii="Times New Roman" w:hAnsi="Times New Roman" w:eastAsia="Times New Roman" w:cs="Times New Roman"/>
          <w:bCs/>
          <w:kern w:val="2"/>
          <w:sz w:val="24"/>
          <w:szCs w:val="32"/>
          <w:lang w:val="en-US" w:eastAsia="zh-CN" w:bidi="ar-SA"/>
        </w:rPr>
        <w:t xml:space="preserve">Text S1.2. </w:t>
      </w:r>
      <w:r>
        <w:rPr>
          <w:rFonts w:ascii="Times New Roman" w:hAnsi="Times New Roman" w:eastAsia="Times New Roman" w:cs="Times New Roman"/>
          <w:bCs/>
          <w:kern w:val="2"/>
          <w:sz w:val="24"/>
          <w:szCs w:val="32"/>
          <w:lang w:val="en-US" w:eastAsia="zh-CN" w:bidi="ar-SA"/>
        </w:rPr>
        <w:t>Transmission electron microscopy (TEM)</w:t>
      </w:r>
    </w:p>
    <w:p w14:paraId="5C59BEF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Times New Roman" w:cs="Times New Roman"/>
          <w:sz w:val="24"/>
          <w:szCs w:val="24"/>
        </w:rPr>
      </w:pPr>
      <w:r>
        <w:rPr>
          <w:rFonts w:ascii="Times New Roman" w:hAnsi="Times New Roman" w:eastAsia="宋体" w:cs="Times New Roman"/>
          <w:sz w:val="24"/>
          <w:szCs w:val="24"/>
        </w:rPr>
        <w:t>I</w:t>
      </w:r>
      <w:r>
        <w:rPr>
          <w:rFonts w:ascii="Times New Roman" w:hAnsi="Times New Roman" w:eastAsia="Times New Roman" w:cs="Times New Roman"/>
          <w:sz w:val="24"/>
          <w:szCs w:val="24"/>
        </w:rPr>
        <w:t>mages of the catalysts were recorded on a JEOLJEM-1230 instrument, some samples were dispersed into ethanol solution for sonication, and then a few drops of the dispersed liquid were added drop by drop onto a copper grid, and then the morphology was photographed by using a model of JEOLJEM-F200 with an accelerating voltage of 200 kV and an energy spectroscopy model of JED-2300T, after drying.</w:t>
      </w:r>
    </w:p>
    <w:p w14:paraId="51CDE804">
      <w:pPr>
        <w:keepNext/>
        <w:keepLines/>
        <w:widowControl w:val="0"/>
        <w:spacing w:line="480" w:lineRule="auto"/>
        <w:jc w:val="both"/>
        <w:outlineLvl w:val="2"/>
        <w:rPr>
          <w:rFonts w:ascii="Times New Roman" w:hAnsi="Times New Roman" w:eastAsia="Times New Roman" w:cs="Times New Roman"/>
          <w:bCs/>
          <w:kern w:val="2"/>
          <w:sz w:val="24"/>
          <w:szCs w:val="32"/>
          <w:lang w:val="en-US" w:eastAsia="zh-CN" w:bidi="ar-SA"/>
        </w:rPr>
      </w:pPr>
      <w:r>
        <w:rPr>
          <w:rFonts w:hint="eastAsia" w:ascii="Times New Roman" w:hAnsi="Times New Roman" w:eastAsia="Times New Roman" w:cs="Times New Roman"/>
          <w:bCs/>
          <w:kern w:val="2"/>
          <w:sz w:val="24"/>
          <w:szCs w:val="32"/>
          <w:lang w:val="en-US" w:eastAsia="zh-CN" w:bidi="ar-SA"/>
        </w:rPr>
        <w:t xml:space="preserve">Text S1.2. </w:t>
      </w:r>
      <w:r>
        <w:rPr>
          <w:rFonts w:ascii="Times New Roman" w:hAnsi="Times New Roman" w:eastAsia="Times New Roman" w:cs="Times New Roman"/>
          <w:bCs/>
          <w:kern w:val="2"/>
          <w:sz w:val="24"/>
          <w:szCs w:val="32"/>
          <w:lang w:val="en-US" w:eastAsia="zh-CN" w:bidi="ar-SA"/>
        </w:rPr>
        <w:t>X-ray diffraction analysis (XRD)</w:t>
      </w:r>
    </w:p>
    <w:p w14:paraId="1BA1CD1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The crystal structure of the catalysts and the crystallinity of cellulose and bagasse were characterized using X-ray diffraction, which was tested at room temperature using a Bruker D8 radiometer (40 kV, 40 mA, CuK radiation of = 1.54 Å), with the scanning speed of the instrument selected to be 2 °/min, the scanning step of 0.02°, and the 2θ angle range of 5-90°. The final characterization data were analyzed using Jade 6 software.</w:t>
      </w:r>
    </w:p>
    <w:p w14:paraId="312059B7">
      <w:pPr>
        <w:keepNext/>
        <w:keepLines/>
        <w:widowControl w:val="0"/>
        <w:spacing w:line="480" w:lineRule="auto"/>
        <w:jc w:val="both"/>
        <w:outlineLvl w:val="2"/>
        <w:rPr>
          <w:rFonts w:ascii="Times New Roman" w:hAnsi="Times New Roman" w:eastAsia="Times New Roman" w:cs="Times New Roman"/>
          <w:bCs/>
          <w:kern w:val="2"/>
          <w:sz w:val="24"/>
          <w:szCs w:val="32"/>
          <w:lang w:val="en-US" w:eastAsia="zh-CN" w:bidi="ar-SA"/>
        </w:rPr>
      </w:pPr>
      <w:r>
        <w:rPr>
          <w:rFonts w:hint="eastAsia" w:ascii="Times New Roman" w:hAnsi="Times New Roman" w:eastAsia="Times New Roman" w:cs="Times New Roman"/>
          <w:bCs/>
          <w:kern w:val="2"/>
          <w:sz w:val="24"/>
          <w:szCs w:val="32"/>
          <w:lang w:val="en-US" w:eastAsia="zh-CN" w:bidi="ar-SA"/>
        </w:rPr>
        <w:t>Text S1.3.</w:t>
      </w:r>
      <w:r>
        <w:rPr>
          <w:rFonts w:ascii="Times New Roman" w:hAnsi="Times New Roman" w:eastAsia="Times New Roman" w:cs="Times New Roman"/>
          <w:bCs/>
          <w:kern w:val="2"/>
          <w:sz w:val="24"/>
          <w:szCs w:val="32"/>
          <w:lang w:val="en-US" w:eastAsia="zh-CN" w:bidi="ar-SA"/>
        </w:rPr>
        <w:t xml:space="preserve"> Catalyst alkalinity was determined by CO</w:t>
      </w:r>
      <w:r>
        <w:rPr>
          <w:rFonts w:ascii="Times New Roman" w:hAnsi="Times New Roman" w:eastAsia="Times New Roman" w:cs="Times New Roman"/>
          <w:bCs/>
          <w:kern w:val="2"/>
          <w:sz w:val="24"/>
          <w:szCs w:val="32"/>
          <w:vertAlign w:val="subscript"/>
          <w:lang w:val="en-US" w:eastAsia="zh-CN" w:bidi="ar-SA"/>
        </w:rPr>
        <w:t>2</w:t>
      </w:r>
      <w:r>
        <w:rPr>
          <w:rFonts w:ascii="Times New Roman" w:hAnsi="Times New Roman" w:eastAsia="Times New Roman" w:cs="Times New Roman"/>
          <w:bCs/>
          <w:kern w:val="2"/>
          <w:sz w:val="24"/>
          <w:szCs w:val="32"/>
          <w:lang w:val="en-US" w:eastAsia="zh-CN" w:bidi="ar-SA"/>
        </w:rPr>
        <w:t xml:space="preserve">-TPD. </w:t>
      </w:r>
    </w:p>
    <w:p w14:paraId="15DA14C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Micromeritics AutochemII 2920 was used, and the catalyst was dried in argon atmosphere to remove the surface gas components and moisture, and saturated CO</w:t>
      </w:r>
      <w:r>
        <w:rPr>
          <w:rFonts w:ascii="Times New Roman" w:hAnsi="Times New Roman" w:eastAsia="Times New Roman" w:cs="Times New Roman"/>
          <w:sz w:val="24"/>
          <w:szCs w:val="24"/>
          <w:vertAlign w:val="subscript"/>
        </w:rPr>
        <w:t>2</w:t>
      </w:r>
      <w:r>
        <w:rPr>
          <w:rFonts w:ascii="Times New Roman" w:hAnsi="Times New Roman" w:eastAsia="Times New Roman" w:cs="Times New Roman"/>
          <w:sz w:val="24"/>
          <w:szCs w:val="24"/>
        </w:rPr>
        <w:t xml:space="preserve"> was adsorbed at room temperature, and then programmed to increase the temperature at 10℃/min under argon flow rate of 30 cm</w:t>
      </w:r>
      <w:r>
        <w:rPr>
          <w:rFonts w:ascii="Times New Roman" w:hAnsi="Times New Roman" w:eastAsia="Times New Roman" w:cs="Times New Roman"/>
          <w:sz w:val="24"/>
          <w:szCs w:val="24"/>
          <w:vertAlign w:val="superscript"/>
        </w:rPr>
        <w:t>3</w:t>
      </w:r>
      <w:r>
        <w:rPr>
          <w:rFonts w:ascii="Times New Roman" w:hAnsi="Times New Roman" w:eastAsia="Times New Roman" w:cs="Times New Roman"/>
          <w:sz w:val="24"/>
          <w:szCs w:val="24"/>
        </w:rPr>
        <w:t>/min, and the amount of CO</w:t>
      </w:r>
      <w:r>
        <w:rPr>
          <w:rFonts w:ascii="Times New Roman" w:hAnsi="Times New Roman" w:eastAsia="Times New Roman" w:cs="Times New Roman"/>
          <w:sz w:val="24"/>
          <w:szCs w:val="24"/>
          <w:vertAlign w:val="subscript"/>
        </w:rPr>
        <w:t>2</w:t>
      </w:r>
      <w:r>
        <w:rPr>
          <w:rFonts w:ascii="Times New Roman" w:hAnsi="Times New Roman" w:eastAsia="Times New Roman" w:cs="Times New Roman"/>
          <w:sz w:val="24"/>
          <w:szCs w:val="24"/>
        </w:rPr>
        <w:t xml:space="preserve"> desorbed was recorded from 45℃ to 800℃ with a TCD detector.</w:t>
      </w:r>
    </w:p>
    <w:p w14:paraId="2B553FB0">
      <w:pPr>
        <w:keepNext/>
        <w:keepLines/>
        <w:widowControl w:val="0"/>
        <w:spacing w:line="480" w:lineRule="auto"/>
        <w:jc w:val="both"/>
        <w:outlineLvl w:val="2"/>
        <w:rPr>
          <w:rFonts w:ascii="Times New Roman" w:hAnsi="Times New Roman" w:eastAsia="Times New Roman" w:cs="Times New Roman"/>
          <w:bCs/>
          <w:kern w:val="2"/>
          <w:sz w:val="24"/>
          <w:szCs w:val="32"/>
          <w:lang w:val="en-US" w:eastAsia="zh-CN" w:bidi="ar-SA"/>
        </w:rPr>
      </w:pPr>
      <w:r>
        <w:rPr>
          <w:rFonts w:hint="eastAsia" w:ascii="Times New Roman" w:hAnsi="Times New Roman" w:eastAsia="Times New Roman" w:cs="Times New Roman"/>
          <w:bCs/>
          <w:kern w:val="2"/>
          <w:sz w:val="24"/>
          <w:szCs w:val="32"/>
          <w:lang w:val="en-US" w:eastAsia="zh-CN" w:bidi="ar-SA"/>
        </w:rPr>
        <w:t>Text S1.4.</w:t>
      </w:r>
      <w:r>
        <w:rPr>
          <w:rFonts w:ascii="Times New Roman" w:hAnsi="Times New Roman" w:eastAsia="Times New Roman" w:cs="Times New Roman"/>
          <w:bCs/>
          <w:kern w:val="2"/>
          <w:sz w:val="24"/>
          <w:szCs w:val="32"/>
          <w:lang w:val="en-US" w:eastAsia="zh-CN" w:bidi="ar-SA"/>
        </w:rPr>
        <w:t xml:space="preserve"> Catalyst acidity was determined by NH</w:t>
      </w:r>
      <w:r>
        <w:rPr>
          <w:rFonts w:ascii="Times New Roman" w:hAnsi="Times New Roman" w:eastAsia="Times New Roman" w:cs="Times New Roman"/>
          <w:bCs/>
          <w:kern w:val="2"/>
          <w:sz w:val="24"/>
          <w:szCs w:val="32"/>
          <w:vertAlign w:val="subscript"/>
          <w:lang w:val="en-US" w:eastAsia="zh-CN" w:bidi="ar-SA"/>
        </w:rPr>
        <w:t>3</w:t>
      </w:r>
      <w:r>
        <w:rPr>
          <w:rFonts w:ascii="Times New Roman" w:hAnsi="Times New Roman" w:eastAsia="Times New Roman" w:cs="Times New Roman"/>
          <w:bCs/>
          <w:kern w:val="2"/>
          <w:sz w:val="24"/>
          <w:szCs w:val="32"/>
          <w:lang w:val="en-US" w:eastAsia="zh-CN" w:bidi="ar-SA"/>
        </w:rPr>
        <w:t xml:space="preserve">-TPD. </w:t>
      </w:r>
    </w:p>
    <w:p w14:paraId="6F55689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Micromeritics AutochemII 2920 was used, and the catalyst was placed in a reaction tube at 10℃/min from the H</w:t>
      </w:r>
      <w:r>
        <w:rPr>
          <w:rFonts w:ascii="Times New Roman" w:hAnsi="Times New Roman" w:eastAsia="Times New Roman" w:cs="Times New Roman"/>
          <w:sz w:val="24"/>
          <w:szCs w:val="24"/>
          <w:vertAlign w:val="subscript"/>
        </w:rPr>
        <w:t>2</w:t>
      </w:r>
      <w:r>
        <w:rPr>
          <w:rFonts w:ascii="Times New Roman" w:hAnsi="Times New Roman" w:eastAsia="Times New Roman" w:cs="Times New Roman"/>
          <w:sz w:val="24"/>
          <w:szCs w:val="24"/>
        </w:rPr>
        <w:t xml:space="preserve"> program to 300℃ for dry pretreatment, purged by He airflow for 1 h, cooled to 50℃ and then saturated with 10% NH</w:t>
      </w:r>
      <w:r>
        <w:rPr>
          <w:rFonts w:ascii="Times New Roman" w:hAnsi="Times New Roman" w:eastAsia="Times New Roman" w:cs="Times New Roman"/>
          <w:sz w:val="24"/>
          <w:szCs w:val="24"/>
          <w:vertAlign w:val="subscript"/>
        </w:rPr>
        <w:t>3</w:t>
      </w:r>
      <w:r>
        <w:rPr>
          <w:rFonts w:ascii="Times New Roman" w:hAnsi="Times New Roman" w:eastAsia="Times New Roman" w:cs="Times New Roman"/>
          <w:sz w:val="24"/>
          <w:szCs w:val="24"/>
        </w:rPr>
        <w:t>/He mixture for 1 h. The catalyst was then purged by He airflow for 1 h, cooled to 50℃ and then saturated by 10% NH</w:t>
      </w:r>
      <w:r>
        <w:rPr>
          <w:rFonts w:ascii="Times New Roman" w:hAnsi="Times New Roman" w:eastAsia="Times New Roman" w:cs="Times New Roman"/>
          <w:sz w:val="24"/>
          <w:szCs w:val="24"/>
          <w:vertAlign w:val="subscript"/>
        </w:rPr>
        <w:t>3</w:t>
      </w:r>
      <w:r>
        <w:rPr>
          <w:rFonts w:ascii="Times New Roman" w:hAnsi="Times New Roman" w:eastAsia="Times New Roman" w:cs="Times New Roman"/>
          <w:sz w:val="24"/>
          <w:szCs w:val="24"/>
        </w:rPr>
        <w:t>/He mixture. After cooling down to 50℃, the mixture of 10% NH</w:t>
      </w:r>
      <w:r>
        <w:rPr>
          <w:rFonts w:ascii="Times New Roman" w:hAnsi="Times New Roman" w:eastAsia="Times New Roman" w:cs="Times New Roman"/>
          <w:sz w:val="24"/>
          <w:szCs w:val="24"/>
          <w:vertAlign w:val="subscript"/>
        </w:rPr>
        <w:t>3</w:t>
      </w:r>
      <w:r>
        <w:rPr>
          <w:rFonts w:ascii="Times New Roman" w:hAnsi="Times New Roman" w:eastAsia="Times New Roman" w:cs="Times New Roman"/>
          <w:sz w:val="24"/>
          <w:szCs w:val="24"/>
        </w:rPr>
        <w:t>/He was introduced for 1 h to saturation. After switching to He gas flow for 1 h to remove the weakly adsorbed NH</w:t>
      </w:r>
      <w:r>
        <w:rPr>
          <w:rFonts w:ascii="Times New Roman" w:hAnsi="Times New Roman" w:eastAsia="Times New Roman" w:cs="Times New Roman"/>
          <w:sz w:val="24"/>
          <w:szCs w:val="24"/>
          <w:vertAlign w:val="subscript"/>
        </w:rPr>
        <w:t>3</w:t>
      </w:r>
      <w:r>
        <w:rPr>
          <w:rFonts w:ascii="Times New Roman" w:hAnsi="Times New Roman" w:eastAsia="Times New Roman" w:cs="Times New Roman"/>
          <w:sz w:val="24"/>
          <w:szCs w:val="24"/>
        </w:rPr>
        <w:t xml:space="preserve"> on the surface, the final desorption was carried out under He atmosphere at a heating rate of 10℃/min up to 800℃, and the amount of NH</w:t>
      </w:r>
      <w:r>
        <w:rPr>
          <w:rFonts w:ascii="Times New Roman" w:hAnsi="Times New Roman" w:eastAsia="Times New Roman" w:cs="Times New Roman"/>
          <w:sz w:val="24"/>
          <w:szCs w:val="24"/>
          <w:vertAlign w:val="subscript"/>
        </w:rPr>
        <w:t>3</w:t>
      </w:r>
      <w:r>
        <w:rPr>
          <w:rFonts w:ascii="Times New Roman" w:hAnsi="Times New Roman" w:eastAsia="Times New Roman" w:cs="Times New Roman"/>
          <w:sz w:val="24"/>
          <w:szCs w:val="24"/>
        </w:rPr>
        <w:t xml:space="preserve"> desorbed was recorded from 45℃ to 800℃ using a TCD detector.</w:t>
      </w:r>
    </w:p>
    <w:bookmarkEnd w:id="6"/>
    <w:p w14:paraId="236C7BF6">
      <w:pPr>
        <w:spacing w:line="360" w:lineRule="auto"/>
        <w:rPr>
          <w:rFonts w:ascii="Times New Roman" w:hAnsi="Times New Roman" w:cs="Times New Roman"/>
          <w:b/>
          <w:sz w:val="22"/>
        </w:rPr>
      </w:pPr>
    </w:p>
    <w:p w14:paraId="62704272">
      <w:pPr>
        <w:spacing w:line="360" w:lineRule="auto"/>
        <w:rPr>
          <w:rFonts w:ascii="Times New Roman" w:hAnsi="Times New Roman"/>
          <w:b/>
          <w:sz w:val="22"/>
        </w:rPr>
      </w:pPr>
      <w:r>
        <w:rPr>
          <w:rFonts w:ascii="Times New Roman" w:hAnsi="Times New Roman" w:cs="Times New Roman"/>
          <w:b/>
          <w:sz w:val="22"/>
        </w:rPr>
        <w:t>Text S</w:t>
      </w:r>
      <w:r>
        <w:rPr>
          <w:rFonts w:hint="eastAsia" w:ascii="Times New Roman" w:hAnsi="Times New Roman" w:cs="Times New Roman"/>
          <w:b/>
          <w:sz w:val="22"/>
          <w:lang w:val="en-US" w:eastAsia="zh-CN"/>
        </w:rPr>
        <w:t>2</w:t>
      </w:r>
      <w:r>
        <w:rPr>
          <w:rFonts w:ascii="Times New Roman" w:hAnsi="Times New Roman" w:cs="Times New Roman"/>
          <w:b/>
          <w:sz w:val="22"/>
        </w:rPr>
        <w:t>.</w:t>
      </w:r>
      <w:r>
        <w:rPr>
          <w:rFonts w:ascii="Times New Roman" w:hAnsi="Times New Roman"/>
          <w:b/>
          <w:sz w:val="22"/>
        </w:rPr>
        <w:t xml:space="preserve"> </w:t>
      </w:r>
      <w:r>
        <w:rPr>
          <w:rFonts w:ascii="Times New Roman" w:hAnsi="Times New Roman"/>
          <w:b/>
          <w:bCs/>
          <w:sz w:val="22"/>
          <w:lang w:val="en-US" w:eastAsia="zh-CN"/>
        </w:rPr>
        <w:t>Catalytic reaction and product identification</w:t>
      </w:r>
    </w:p>
    <w:p w14:paraId="563BDA9C">
      <w:pPr>
        <w:keepNext/>
        <w:keepLines/>
        <w:widowControl w:val="0"/>
        <w:spacing w:line="480" w:lineRule="auto"/>
        <w:jc w:val="both"/>
        <w:outlineLvl w:val="2"/>
        <w:rPr>
          <w:rFonts w:ascii="Times New Roman" w:hAnsi="Times New Roman" w:eastAsia="宋体" w:cs="Times New Roman"/>
          <w:bCs/>
          <w:kern w:val="2"/>
          <w:sz w:val="24"/>
          <w:szCs w:val="32"/>
          <w:lang w:val="en-US" w:eastAsia="zh-CN" w:bidi="ar-SA"/>
        </w:rPr>
      </w:pPr>
      <w:bookmarkStart w:id="7" w:name="_Hlk117350793"/>
      <w:r>
        <w:rPr>
          <w:rFonts w:hint="eastAsia" w:ascii="Times New Roman" w:hAnsi="Times New Roman" w:eastAsia="Times New Roman" w:cs="Times New Roman"/>
          <w:bCs/>
          <w:kern w:val="2"/>
          <w:sz w:val="24"/>
          <w:szCs w:val="32"/>
          <w:lang w:val="en-US" w:eastAsia="zh-CN" w:bidi="ar-SA"/>
        </w:rPr>
        <w:t xml:space="preserve">TextS2.1. </w:t>
      </w:r>
      <w:r>
        <w:rPr>
          <w:rFonts w:ascii="Times New Roman" w:hAnsi="Times New Roman" w:eastAsia="Times New Roman" w:cs="Times New Roman"/>
          <w:bCs/>
          <w:kern w:val="2"/>
          <w:sz w:val="24"/>
          <w:szCs w:val="32"/>
          <w:lang w:val="en-US" w:eastAsia="zh-CN" w:bidi="ar-SA"/>
        </w:rPr>
        <w:t>catalytic reaction</w:t>
      </w:r>
    </w:p>
    <w:p w14:paraId="2576A81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sz w:val="24"/>
          <w:szCs w:val="21"/>
        </w:rPr>
      </w:pPr>
      <w:r>
        <w:rPr>
          <w:rFonts w:ascii="Times New Roman" w:hAnsi="Times New Roman" w:eastAsia="宋体" w:cs="Times New Roman"/>
          <w:sz w:val="24"/>
          <w:szCs w:val="21"/>
        </w:rPr>
        <w:t>A certain amount of reaction substrate cellulose and catalyst were added to a high temperature and high pressure reactor and a rotating magnetic stirrer was added to the system. React at a certain temperature for a certain time and then cool. The liquid phase product and solid phase catalyst were collected separately. The liquid-phase products were tested using gas chromatography (Agilent 7820A) with a FID detector and a DB-WAXetr column (30.0 m × 530 µm × 1 µm). Quantitative analysis was performed and the solid catalysts were either characterized or cleaned and stored for further use.</w:t>
      </w:r>
    </w:p>
    <w:bookmarkEnd w:id="7"/>
    <w:p w14:paraId="7C559AB3">
      <w:pPr>
        <w:keepNext/>
        <w:keepLines/>
        <w:widowControl w:val="0"/>
        <w:spacing w:line="480" w:lineRule="auto"/>
        <w:jc w:val="both"/>
        <w:outlineLvl w:val="2"/>
        <w:rPr>
          <w:rFonts w:ascii="Times New Roman" w:hAnsi="Times New Roman" w:eastAsia="宋体" w:cs="Times New Roman"/>
          <w:bCs/>
          <w:kern w:val="2"/>
          <w:sz w:val="24"/>
          <w:szCs w:val="32"/>
          <w:lang w:val="en-US" w:eastAsia="zh-CN" w:bidi="ar-SA"/>
        </w:rPr>
      </w:pPr>
      <w:r>
        <w:rPr>
          <w:rFonts w:hint="eastAsia" w:ascii="Times New Roman" w:hAnsi="Times New Roman" w:eastAsia="Times New Roman" w:cs="Times New Roman"/>
          <w:bCs/>
          <w:kern w:val="2"/>
          <w:sz w:val="24"/>
          <w:szCs w:val="32"/>
          <w:lang w:val="en-US" w:eastAsia="zh-CN" w:bidi="ar-SA"/>
        </w:rPr>
        <w:t>TextS2.2.</w:t>
      </w:r>
      <w:r>
        <w:rPr>
          <w:rFonts w:ascii="Times New Roman" w:hAnsi="Times New Roman" w:eastAsia="Times New Roman" w:cs="Times New Roman"/>
          <w:bCs/>
          <w:kern w:val="2"/>
          <w:sz w:val="24"/>
          <w:szCs w:val="32"/>
          <w:lang w:val="en-US" w:eastAsia="zh-CN" w:bidi="ar-SA"/>
        </w:rPr>
        <w:t xml:space="preserve"> Catalytic product identification methods</w:t>
      </w:r>
    </w:p>
    <w:p w14:paraId="44251C0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sz w:val="24"/>
          <w:szCs w:val="21"/>
        </w:rPr>
      </w:pPr>
      <w:r>
        <w:rPr>
          <w:rFonts w:ascii="Times New Roman" w:hAnsi="Times New Roman" w:eastAsia="宋体" w:cs="Times New Roman"/>
          <w:sz w:val="24"/>
          <w:szCs w:val="21"/>
        </w:rPr>
        <w:t xml:space="preserve">(1) Gas chromatography (GC) determination: </w:t>
      </w:r>
    </w:p>
    <w:p w14:paraId="3CF429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sz w:val="24"/>
          <w:szCs w:val="21"/>
        </w:rPr>
      </w:pPr>
      <w:r>
        <w:rPr>
          <w:rFonts w:ascii="Times New Roman" w:hAnsi="Times New Roman" w:eastAsia="宋体" w:cs="Times New Roman"/>
          <w:sz w:val="24"/>
          <w:szCs w:val="21"/>
        </w:rPr>
        <w:t>Alcohol products such as 1,2-propanediol, ethylene glycol and n-propanol were analyzed by gas chromatography (Agilent 7820A). The injection volume was 0.4 μL, the injection temperature was 240 °C, the detector temperature was 250 °C, the carrier gas flow rate was 20 mL/min, the column was DB-WAXetr, the column temperature was firstly increased from 60 °C to 85 °C at 5 °C/min, then to 210 °C at 15 °C/min, and then to 230 °C at 8 °C/min, and finally the temperature was constant for 3 min. The detector was FID.</w:t>
      </w:r>
    </w:p>
    <w:p w14:paraId="30FB0A9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sz w:val="24"/>
          <w:szCs w:val="21"/>
        </w:rPr>
      </w:pPr>
      <w:r>
        <w:rPr>
          <w:rFonts w:ascii="Times New Roman" w:hAnsi="Times New Roman" w:eastAsia="宋体" w:cs="Times New Roman"/>
          <w:sz w:val="24"/>
          <w:szCs w:val="21"/>
        </w:rPr>
        <w:t>(2) Liquid chromatography (LC)</w:t>
      </w:r>
    </w:p>
    <w:p w14:paraId="662784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eastAsiaTheme="minorEastAsia"/>
          <w:b/>
          <w:bCs/>
          <w:color w:val="1F1F1F"/>
          <w:sz w:val="28"/>
          <w:szCs w:val="28"/>
        </w:rPr>
      </w:pPr>
      <w:r>
        <w:rPr>
          <w:rFonts w:ascii="Times New Roman" w:hAnsi="Times New Roman" w:eastAsia="宋体" w:cs="Times New Roman"/>
          <w:sz w:val="24"/>
          <w:szCs w:val="21"/>
        </w:rPr>
        <w:t>Glucose, fructose, sucrose, sorbitol, mannitol and other sugars, sugar alcohols and polyols were analyzed on a Shodex SUGAR SH1011 column in an Agilent 1200 high performance liquid chromatograph, and the testing process was carried out with the use of an oscillometric detector and an ultraviolet detector, with an injection volume of 10 μL The mobile phase was used with 0.005 M sulfuric acid solution, and the flow rate was set at 0.5 mL/min. The flow rate was set at 0.5 mL/min and the column temperature was 55 °C.</w:t>
      </w:r>
    </w:p>
    <w:p w14:paraId="30F3D2E0">
      <w:pPr>
        <w:jc w:val="center"/>
      </w:pPr>
    </w:p>
    <w:p w14:paraId="4263215D">
      <w:pPr>
        <w:pStyle w:val="8"/>
        <w:jc w:val="both"/>
        <w:rPr>
          <w:b/>
          <w:bCs/>
        </w:rPr>
      </w:pPr>
      <w:r>
        <w:rPr>
          <w:b/>
          <w:bCs/>
        </w:rPr>
        <w:t xml:space="preserve">Figure </w:t>
      </w:r>
      <w:r>
        <w:rPr>
          <w:rFonts w:hint="eastAsia"/>
          <w:b/>
          <w:bCs/>
          <w:lang w:val="en-US" w:eastAsia="zh-CN"/>
        </w:rPr>
        <w:t xml:space="preserve">S1. </w:t>
      </w:r>
      <w:r>
        <w:rPr>
          <w:b/>
          <w:bCs/>
        </w:rPr>
        <w:t>SEM characterization pattern of Ru/SiO2@Mg(OH)2 catalysts</w:t>
      </w:r>
    </w:p>
    <w:p w14:paraId="5EAB1D5E">
      <w:pPr>
        <w:jc w:val="both"/>
      </w:pPr>
    </w:p>
    <w:p w14:paraId="7546EB48">
      <w:pPr>
        <w:jc w:val="center"/>
      </w:pPr>
      <w:r>
        <w:drawing>
          <wp:inline distT="0" distB="0" distL="0" distR="0">
            <wp:extent cx="5236845" cy="3499485"/>
            <wp:effectExtent l="0" t="0" r="1905" b="5715"/>
            <wp:docPr id="21459612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961212" name="图片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36845" cy="3499485"/>
                    </a:xfrm>
                    <a:prstGeom prst="rect">
                      <a:avLst/>
                    </a:prstGeom>
                    <a:noFill/>
                  </pic:spPr>
                </pic:pic>
              </a:graphicData>
            </a:graphic>
          </wp:inline>
        </w:drawing>
      </w:r>
    </w:p>
    <w:p w14:paraId="4E9A3590">
      <w:pPr>
        <w:jc w:val="center"/>
      </w:pPr>
    </w:p>
    <w:p w14:paraId="5E4B3E45">
      <w:pPr>
        <w:jc w:val="center"/>
      </w:pPr>
    </w:p>
    <w:p w14:paraId="7625FB8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D35C0A"/>
    <w:rsid w:val="23D7024B"/>
    <w:rsid w:val="31680FAF"/>
    <w:rsid w:val="37F22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spacing w:beforeAutospacing="1" w:afterAutospacing="1"/>
      <w:outlineLvl w:val="1"/>
    </w:pPr>
    <w:rPr>
      <w:rFonts w:hint="eastAsia" w:ascii="宋体" w:hAnsi="宋体"/>
      <w:b/>
      <w:bCs/>
      <w:kern w:val="0"/>
      <w:sz w:val="36"/>
      <w:szCs w:val="36"/>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EndNote Bibliography"/>
    <w:basedOn w:val="1"/>
    <w:qFormat/>
    <w:uiPriority w:val="0"/>
    <w:rPr>
      <w:rFonts w:ascii="Times New Roman" w:hAnsi="Times New Roman" w:cs="Times New Roman"/>
      <w:sz w:val="20"/>
    </w:rPr>
  </w:style>
  <w:style w:type="paragraph" w:customStyle="1" w:styleId="7">
    <w:name w:val="第X章"/>
    <w:qFormat/>
    <w:uiPriority w:val="0"/>
    <w:pPr>
      <w:spacing w:before="100" w:beforeLines="100" w:after="100" w:afterLines="100"/>
      <w:jc w:val="center"/>
      <w:outlineLvl w:val="0"/>
    </w:pPr>
    <w:rPr>
      <w:rFonts w:ascii="Times New Roman" w:hAnsi="Times New Roman" w:eastAsia="黑体" w:cs="Times New Roman"/>
      <w:kern w:val="2"/>
      <w:sz w:val="28"/>
      <w:szCs w:val="28"/>
      <w:lang w:val="en-US" w:eastAsia="zh-CN" w:bidi="ar-SA"/>
    </w:rPr>
  </w:style>
  <w:style w:type="paragraph" w:customStyle="1" w:styleId="8">
    <w:name w:val="图表英"/>
    <w:qFormat/>
    <w:uiPriority w:val="0"/>
    <w:pPr>
      <w:jc w:val="center"/>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816</Words>
  <Characters>4309</Characters>
  <Lines>0</Lines>
  <Paragraphs>0</Paragraphs>
  <TotalTime>0</TotalTime>
  <ScaleCrop>false</ScaleCrop>
  <LinksUpToDate>false</LinksUpToDate>
  <CharactersWithSpaces>5099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2026-03-17T07:43:00Z</dcterms:created>
  <dc:creator>毛鑫明</dc:creator>
  <cp:lastModifiedBy>傻明</cp:lastModifiedBy>
  <dcterms:modified xsi:type="dcterms:W3CDTF">2026-05-26T07:07:37Z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eyJoZGlkIjoiYjZhNjVhNTdmNzYxNjYzZmJiNmRiNjM1YTQyNGFhZTQiLCJ1c2VySWQiOiI0NTY5NDAwOTMifQ==</vt:lpwstr>
  </property>
  <property fmtid="{D5CDD505-2E9C-101B-9397-08002B2CF9AE}" pid="4" name="ICV">
    <vt:lpwstr>8B20E26F10D34246B393E134A3FCAFF1_12</vt:lpwstr>
  </property>
</Properties>
</file>