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02954" w14:textId="307D0058" w:rsidR="001825CA" w:rsidRPr="00CA49ED" w:rsidRDefault="00FD6A73" w:rsidP="00CA49ED">
      <w:pPr>
        <w:spacing w:line="360" w:lineRule="auto"/>
        <w:jc w:val="center"/>
        <w:rPr>
          <w:b/>
          <w:bCs/>
          <w:lang w:val="en-US"/>
        </w:rPr>
      </w:pPr>
      <w:r w:rsidRPr="00CA49ED">
        <w:rPr>
          <w:b/>
          <w:bCs/>
          <w:lang w:val="en-US"/>
        </w:rPr>
        <w:t>Supplementary</w:t>
      </w:r>
    </w:p>
    <w:p w14:paraId="760F3369" w14:textId="127E2295" w:rsidR="00CA49ED" w:rsidRDefault="00CA49ED" w:rsidP="00CA49ED">
      <w:pPr>
        <w:spacing w:before="100" w:beforeAutospacing="1" w:after="100" w:afterAutospacing="1" w:line="360" w:lineRule="auto"/>
        <w:rPr>
          <w:rFonts w:eastAsia="Times New Roman"/>
          <w:b/>
          <w:bCs/>
          <w:lang w:val="en-IL" w:eastAsia="en-IL"/>
        </w:rPr>
      </w:pPr>
      <w:r>
        <w:rPr>
          <w:rFonts w:eastAsia="Times New Roman"/>
          <w:b/>
          <w:bCs/>
          <w:lang w:val="en-IL" w:eastAsia="en-IL"/>
        </w:rPr>
        <w:t>Reaction Time (RT)</w:t>
      </w:r>
    </w:p>
    <w:p w14:paraId="1AF4FE6F" w14:textId="77777777" w:rsidR="00CA49ED" w:rsidRDefault="00CA49ED" w:rsidP="00CA49ED">
      <w:pPr>
        <w:spacing w:before="100" w:beforeAutospacing="1" w:after="100" w:afterAutospacing="1" w:line="360" w:lineRule="auto"/>
        <w:ind w:firstLine="720"/>
        <w:rPr>
          <w:rFonts w:eastAsia="Times New Roman"/>
          <w:lang w:val="en-IL" w:eastAsia="en-IL"/>
        </w:rPr>
      </w:pPr>
      <w:r w:rsidRPr="00CA49ED">
        <w:rPr>
          <w:rFonts w:eastAsia="Times New Roman"/>
          <w:lang w:val="en-IL" w:eastAsia="en-IL"/>
        </w:rPr>
        <w:t xml:space="preserve">We carried out </w:t>
      </w:r>
      <w:r>
        <w:rPr>
          <w:rFonts w:eastAsia="Times New Roman"/>
          <w:lang w:val="en-IL" w:eastAsia="en-IL"/>
        </w:rPr>
        <w:t>a</w:t>
      </w:r>
      <w:r w:rsidRPr="00CA49ED">
        <w:rPr>
          <w:rFonts w:eastAsia="Times New Roman"/>
          <w:lang w:val="en-IL" w:eastAsia="en-IL"/>
        </w:rPr>
        <w:t xml:space="preserve"> 5 × 2 mixed-model ANOVA on raw RT data, with stimulus-type (neutral shapes, neutral words, color-associated words, non-response set incongruent, and response set incongruent) as a within-subject factor and age-group (younger adults vs. older adults) as a between-subject factor. As in the main analysis</w:t>
      </w:r>
      <w:r>
        <w:rPr>
          <w:rFonts w:eastAsia="Times New Roman"/>
          <w:lang w:val="en-IL" w:eastAsia="en-IL"/>
        </w:rPr>
        <w:t xml:space="preserve"> for Z-scores</w:t>
      </w:r>
      <w:r w:rsidRPr="00CA49ED">
        <w:rPr>
          <w:rFonts w:eastAsia="Times New Roman"/>
          <w:lang w:val="en-IL" w:eastAsia="en-IL"/>
        </w:rPr>
        <w:t xml:space="preserve">, only correct responses were included, and trials that were 3 SDs below or above each participant’s mean RT within each stimulus-type condition were removed. </w:t>
      </w:r>
    </w:p>
    <w:p w14:paraId="1A8BD37E" w14:textId="5819C02E" w:rsidR="00E0492D" w:rsidRDefault="00CA49ED" w:rsidP="00E0492D">
      <w:pPr>
        <w:spacing w:before="100" w:beforeAutospacing="1" w:after="100" w:afterAutospacing="1" w:line="360" w:lineRule="auto"/>
        <w:ind w:firstLine="720"/>
        <w:rPr>
          <w:rFonts w:eastAsia="Times New Roman"/>
          <w:lang w:val="en-IL" w:eastAsia="en-IL"/>
        </w:rPr>
      </w:pPr>
      <w:r w:rsidRPr="00CA49ED">
        <w:rPr>
          <w:rFonts w:eastAsia="Times New Roman"/>
          <w:lang w:val="en-IL" w:eastAsia="en-IL"/>
        </w:rPr>
        <w:t xml:space="preserve">A main effect was found for stimulus type,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(4, 612) = 377.296,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 = .711. Pairwise comparisons corrected using the Benjamini-Hochberg procedure indicated that all stimulus types differed significantly from one another</w:t>
      </w:r>
      <w:r>
        <w:rPr>
          <w:rFonts w:eastAsia="Times New Roman"/>
          <w:lang w:val="en-IL" w:eastAsia="en-IL"/>
        </w:rPr>
        <w:t xml:space="preserve"> (</w:t>
      </w:r>
      <w:r w:rsidRPr="00CA49ED">
        <w:rPr>
          <w:rFonts w:eastAsia="Times New Roman"/>
          <w:lang w:val="en-IL" w:eastAsia="en-IL"/>
        </w:rPr>
        <w:t xml:space="preserve">all </w:t>
      </w:r>
      <w:r w:rsidRPr="00CA49ED">
        <w:rPr>
          <w:rFonts w:eastAsia="Times New Roman"/>
          <w:i/>
          <w:iCs/>
          <w:lang w:val="en-IL" w:eastAsia="en-IL"/>
        </w:rPr>
        <w:t>ps</w:t>
      </w:r>
      <w:r w:rsidRPr="00CA49ED">
        <w:rPr>
          <w:rFonts w:eastAsia="Times New Roman"/>
          <w:lang w:val="en-IL" w:eastAsia="en-IL"/>
        </w:rPr>
        <w:t xml:space="preserve"> &lt; .001</w:t>
      </w:r>
      <w:r>
        <w:rPr>
          <w:rFonts w:eastAsia="Times New Roman"/>
          <w:lang w:val="en-IL" w:eastAsia="en-IL"/>
        </w:rPr>
        <w:t>)</w:t>
      </w:r>
      <w:r w:rsidRPr="00CA49ED">
        <w:rPr>
          <w:rFonts w:eastAsia="Times New Roman"/>
          <w:lang w:val="en-IL" w:eastAsia="en-IL"/>
        </w:rPr>
        <w:t xml:space="preserve">. A main effect was also found for age-group,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(1, 153) = 48.712,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 = .241, such that younger adults responded faster than older adults. Importantly, a significant two-way interaction was found between stimulus-type and age-group,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(4, 612) = 14.659,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 = .087.</w:t>
      </w:r>
      <w:r w:rsidR="009B0184">
        <w:rPr>
          <w:rFonts w:eastAsia="Times New Roman"/>
          <w:lang w:val="en-IL" w:eastAsia="en-IL"/>
        </w:rPr>
        <w:t xml:space="preserve"> </w:t>
      </w:r>
      <w:r w:rsidR="00E0492D">
        <w:t xml:space="preserve">To further examine this interaction, we tested age-related differences in each of the conflicts of interest, including response conflict (response set incongruent – non-response set incongruent), semantic relevance (non-response set incongruent – color-associated words), semantic relatedness (color-associated words – neutral words), and task conflict (neutral words – neutral shapes). Larger effects in older adults were evident for response conflict, </w:t>
      </w:r>
      <w:r w:rsidR="00E0492D">
        <w:rPr>
          <w:rStyle w:val="Emphasis"/>
        </w:rPr>
        <w:t>t</w:t>
      </w:r>
      <w:r w:rsidR="00E0492D">
        <w:t xml:space="preserve">(153) = 2.439, </w:t>
      </w:r>
      <w:r w:rsidR="00E0492D">
        <w:rPr>
          <w:rStyle w:val="Emphasis"/>
        </w:rPr>
        <w:t>p</w:t>
      </w:r>
      <w:r w:rsidR="00E0492D">
        <w:t xml:space="preserve"> = .016, semantic relevance, </w:t>
      </w:r>
      <w:r w:rsidR="00E0492D">
        <w:rPr>
          <w:rStyle w:val="Emphasis"/>
        </w:rPr>
        <w:t>t</w:t>
      </w:r>
      <w:r w:rsidR="00E0492D">
        <w:t xml:space="preserve">(153) = 2.050, </w:t>
      </w:r>
      <w:r w:rsidR="00E0492D">
        <w:rPr>
          <w:rStyle w:val="Emphasis"/>
        </w:rPr>
        <w:t>p</w:t>
      </w:r>
      <w:r w:rsidR="00E0492D">
        <w:t xml:space="preserve"> = .042, and semantic relatedness, </w:t>
      </w:r>
      <w:r w:rsidR="00E0492D">
        <w:rPr>
          <w:rStyle w:val="Emphasis"/>
        </w:rPr>
        <w:t>t</w:t>
      </w:r>
      <w:r w:rsidR="00E0492D">
        <w:t xml:space="preserve">(153) = 2.046, </w:t>
      </w:r>
      <w:r w:rsidR="00E0492D">
        <w:rPr>
          <w:rStyle w:val="Emphasis"/>
        </w:rPr>
        <w:t>p</w:t>
      </w:r>
      <w:r w:rsidR="00E0492D">
        <w:t xml:space="preserve"> = .042. Task conflict did not differ between younger and older adults, </w:t>
      </w:r>
      <w:r w:rsidR="00E0492D">
        <w:rPr>
          <w:rStyle w:val="Emphasis"/>
        </w:rPr>
        <w:t>t</w:t>
      </w:r>
      <w:r w:rsidR="00E0492D">
        <w:t xml:space="preserve">(153) = 1.781, </w:t>
      </w:r>
      <w:r w:rsidR="00E0492D">
        <w:rPr>
          <w:rStyle w:val="Emphasis"/>
        </w:rPr>
        <w:t>p</w:t>
      </w:r>
      <w:r w:rsidR="00E0492D">
        <w:t xml:space="preserve"> = .077.</w:t>
      </w:r>
    </w:p>
    <w:p w14:paraId="4012B50B" w14:textId="2A692179" w:rsidR="00CA49ED" w:rsidRPr="00CA49ED" w:rsidRDefault="00CA49ED" w:rsidP="00E0492D">
      <w:pPr>
        <w:spacing w:before="100" w:beforeAutospacing="1" w:after="100" w:afterAutospacing="1" w:line="360" w:lineRule="auto"/>
        <w:rPr>
          <w:rFonts w:eastAsia="Times New Roman"/>
          <w:b/>
          <w:bCs/>
          <w:lang w:val="en-IL" w:eastAsia="en-IL"/>
        </w:rPr>
      </w:pPr>
      <w:r w:rsidRPr="00CA49ED">
        <w:rPr>
          <w:rFonts w:eastAsia="Times New Roman"/>
          <w:b/>
          <w:bCs/>
          <w:lang w:val="en-IL" w:eastAsia="en-IL"/>
        </w:rPr>
        <w:t>Accuracy</w:t>
      </w:r>
      <w:r w:rsidR="00E0492D">
        <w:rPr>
          <w:rFonts w:eastAsia="Times New Roman"/>
          <w:b/>
          <w:bCs/>
          <w:lang w:val="en-IL" w:eastAsia="en-IL"/>
        </w:rPr>
        <w:t xml:space="preserve"> (ACC)</w:t>
      </w:r>
    </w:p>
    <w:p w14:paraId="28B84B54" w14:textId="6EEE8943" w:rsidR="00CA49ED" w:rsidRPr="00CA49ED" w:rsidRDefault="00CA49ED" w:rsidP="00E0492D">
      <w:pPr>
        <w:spacing w:before="100" w:beforeAutospacing="1" w:after="100" w:afterAutospacing="1" w:line="360" w:lineRule="auto"/>
        <w:ind w:firstLine="720"/>
        <w:rPr>
          <w:rFonts w:eastAsia="Times New Roman"/>
          <w:lang w:val="en-IL" w:eastAsia="en-IL"/>
        </w:rPr>
      </w:pPr>
      <w:r w:rsidRPr="00CA49ED">
        <w:rPr>
          <w:rFonts w:eastAsia="Times New Roman"/>
          <w:lang w:val="en-IL" w:eastAsia="en-IL"/>
        </w:rPr>
        <w:t>We carried out the same 5 × 2 mixed-model ANOVA on accuracy rates, with stimulus-type as a within-subject factor and age-group as a between-subject factor. Accuracy was analyzed as subject-level accuracy proportions for each stimulus-type condition.</w:t>
      </w:r>
    </w:p>
    <w:p w14:paraId="32895B97" w14:textId="24F94E5F" w:rsidR="00CA49ED" w:rsidRDefault="00CA49ED" w:rsidP="00E0492D">
      <w:pPr>
        <w:spacing w:before="100" w:beforeAutospacing="1" w:after="100" w:afterAutospacing="1" w:line="360" w:lineRule="auto"/>
      </w:pPr>
      <w:r w:rsidRPr="00CA49ED">
        <w:rPr>
          <w:rFonts w:eastAsia="Times New Roman"/>
          <w:lang w:val="en-IL" w:eastAsia="en-IL"/>
        </w:rPr>
        <w:t xml:space="preserve">A main effect was found for stimulus type,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(4, 612) = 20.951,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</w:t>
      </w:r>
      <w:r w:rsidR="00E0492D">
        <w:rPr>
          <w:rFonts w:eastAsia="Times New Roman"/>
          <w:lang w:val="en-IL" w:eastAsia="en-IL"/>
        </w:rPr>
        <w:t xml:space="preserve">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= .120. Pairwise comparisons corrected using the Benjamini-Hochberg procedure indicated that accuracy was significantly lower for response set incongruent trials than for neutral shapes,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6.372, </w:t>
      </w:r>
      <w:r w:rsidRPr="00CA49ED">
        <w:rPr>
          <w:rFonts w:eastAsia="Times New Roman"/>
          <w:i/>
          <w:iCs/>
          <w:lang w:val="en-IL" w:eastAsia="en-IL"/>
        </w:rPr>
        <w:lastRenderedPageBreak/>
        <w:t>p</w:t>
      </w:r>
      <w:r w:rsidRPr="00CA49ED">
        <w:rPr>
          <w:rFonts w:eastAsia="Times New Roman"/>
          <w:lang w:val="en-IL" w:eastAsia="en-IL"/>
        </w:rPr>
        <w:t xml:space="preserve"> &lt; .001, color-associated words,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5.650,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non-response set incongruent trials,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5.222,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.001, and neutral words,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4.965,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&lt; .001. Accuracy was also higher for neutral shapes than for neutral words,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2.559,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= .023, color-associated words,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2.415,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= .028, and non-response set incongruent trials, </w:t>
      </w:r>
      <w:r w:rsidRPr="00CA49ED">
        <w:rPr>
          <w:rFonts w:eastAsia="Times New Roman"/>
          <w:i/>
          <w:iCs/>
          <w:lang w:val="en-IL" w:eastAsia="en-IL"/>
        </w:rPr>
        <w:t>t</w:t>
      </w:r>
      <w:r w:rsidRPr="00CA49ED">
        <w:rPr>
          <w:rFonts w:eastAsia="Times New Roman"/>
          <w:lang w:val="en-IL" w:eastAsia="en-IL"/>
        </w:rPr>
        <w:t xml:space="preserve">(153) = 2.292,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= .033. No significant differences were found among neutral words, color-associated words, and non-response set incongruent trials, all </w:t>
      </w:r>
      <w:r w:rsidRPr="00CA49ED">
        <w:rPr>
          <w:rFonts w:eastAsia="Times New Roman"/>
          <w:i/>
          <w:iCs/>
          <w:lang w:val="en-IL" w:eastAsia="en-IL"/>
        </w:rPr>
        <w:t>ps</w:t>
      </w:r>
      <w:r w:rsidRPr="00CA49ED">
        <w:rPr>
          <w:rFonts w:eastAsia="Times New Roman"/>
          <w:lang w:val="en-IL" w:eastAsia="en-IL"/>
        </w:rPr>
        <w:t xml:space="preserve"> = .940.</w:t>
      </w:r>
      <w:r w:rsidR="00E0492D">
        <w:rPr>
          <w:rFonts w:eastAsia="Times New Roman"/>
          <w:lang w:val="en-IL" w:eastAsia="en-IL"/>
        </w:rPr>
        <w:t xml:space="preserve"> </w:t>
      </w:r>
      <w:r w:rsidRPr="00CA49ED">
        <w:rPr>
          <w:rFonts w:eastAsia="Times New Roman"/>
          <w:lang w:val="en-IL" w:eastAsia="en-IL"/>
        </w:rPr>
        <w:t xml:space="preserve">No main effect was found for age-group,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(1, 153) = 0.030,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= .863, </w:t>
      </w:r>
      <w:r w:rsidR="00E0492D">
        <w:rPr>
          <w:rFonts w:eastAsia="Times New Roman"/>
          <w:lang w:val="en-IL" w:eastAsia="en-IL"/>
        </w:rPr>
        <w:t xml:space="preserve">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 </w:t>
      </w:r>
      <w:r w:rsidR="00E0492D">
        <w:rPr>
          <w:rFonts w:eastAsia="Times New Roman"/>
          <w:lang w:val="en-IL" w:eastAsia="en-IL"/>
        </w:rPr>
        <w:t>=</w:t>
      </w:r>
      <w:r w:rsidRPr="00CA49ED">
        <w:rPr>
          <w:rFonts w:eastAsia="Times New Roman"/>
          <w:lang w:val="en-IL" w:eastAsia="en-IL"/>
        </w:rPr>
        <w:t xml:space="preserve"> .001. However, a significant two-way interaction was found between stimulus-type and age-group, </w:t>
      </w:r>
      <w:r w:rsidRPr="00CA49ED">
        <w:rPr>
          <w:rFonts w:eastAsia="Times New Roman"/>
          <w:i/>
          <w:iCs/>
          <w:lang w:val="en-IL" w:eastAsia="en-IL"/>
        </w:rPr>
        <w:t>F</w:t>
      </w:r>
      <w:r w:rsidRPr="00CA49ED">
        <w:rPr>
          <w:rFonts w:eastAsia="Times New Roman"/>
          <w:lang w:val="en-IL" w:eastAsia="en-IL"/>
        </w:rPr>
        <w:t xml:space="preserve">(4, 612) = 2.642, </w:t>
      </w:r>
      <w:r w:rsidRPr="00CA49ED">
        <w:rPr>
          <w:rFonts w:eastAsia="Times New Roman"/>
          <w:i/>
          <w:iCs/>
          <w:lang w:val="en-IL" w:eastAsia="en-IL"/>
        </w:rPr>
        <w:t>p</w:t>
      </w:r>
      <w:r w:rsidRPr="00CA49ED">
        <w:rPr>
          <w:rFonts w:eastAsia="Times New Roman"/>
          <w:lang w:val="en-IL" w:eastAsia="en-IL"/>
        </w:rPr>
        <w:t xml:space="preserve"> = .033, </w:t>
      </w:r>
      <w:r w:rsidR="00E0492D">
        <w:rPr>
          <w:rFonts w:eastAsia="Times New Roman"/>
          <w:lang w:val="en-IL" w:eastAsia="en-IL"/>
        </w:rPr>
        <w:t xml:space="preserve"> </w:t>
      </w:r>
      <m:oMath>
        <m:sSubSup>
          <m:sSub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η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p>
        </m:sSubSup>
      </m:oMath>
      <w:r w:rsidRPr="00CA49ED">
        <w:rPr>
          <w:rFonts w:eastAsia="Times New Roman"/>
          <w:lang w:val="en-IL" w:eastAsia="en-IL"/>
        </w:rPr>
        <w:t xml:space="preserve"> = .017. </w:t>
      </w:r>
      <w:r w:rsidR="00E0492D">
        <w:t xml:space="preserve">To further examine this interaction, we tested age-related differences in the same conflict effects used in the RT analysis. A significant age-related difference was found for response conflict, </w:t>
      </w:r>
      <w:r w:rsidR="00E0492D">
        <w:rPr>
          <w:rStyle w:val="Emphasis"/>
        </w:rPr>
        <w:t>t</w:t>
      </w:r>
      <w:r w:rsidR="00E0492D">
        <w:t xml:space="preserve">(153) = 2.028, </w:t>
      </w:r>
      <w:r w:rsidR="00E0492D">
        <w:rPr>
          <w:rStyle w:val="Emphasis"/>
        </w:rPr>
        <w:t>p</w:t>
      </w:r>
      <w:r w:rsidR="00E0492D">
        <w:t xml:space="preserve"> = .044, reflecting a larger accuracy cost in older adults than in younger adults. No age-related differences were found for semantic relevance, </w:t>
      </w:r>
      <w:r w:rsidR="00E0492D">
        <w:rPr>
          <w:rStyle w:val="Emphasis"/>
        </w:rPr>
        <w:t>t</w:t>
      </w:r>
      <w:r w:rsidR="00E0492D">
        <w:t xml:space="preserve">(153) = 0.531, </w:t>
      </w:r>
      <w:r w:rsidR="00E0492D">
        <w:rPr>
          <w:rStyle w:val="Emphasis"/>
        </w:rPr>
        <w:t>p</w:t>
      </w:r>
      <w:r w:rsidR="00E0492D">
        <w:t xml:space="preserve"> = .596, semantic relatedness, </w:t>
      </w:r>
      <w:r w:rsidR="00E0492D">
        <w:rPr>
          <w:rStyle w:val="Emphasis"/>
        </w:rPr>
        <w:t>t</w:t>
      </w:r>
      <w:r w:rsidR="00E0492D">
        <w:t xml:space="preserve">(153) = 0.594, </w:t>
      </w:r>
      <w:r w:rsidR="00E0492D">
        <w:rPr>
          <w:rStyle w:val="Emphasis"/>
        </w:rPr>
        <w:t>p</w:t>
      </w:r>
      <w:r w:rsidR="00E0492D">
        <w:t xml:space="preserve"> = .553, or task conflict, </w:t>
      </w:r>
      <w:r w:rsidR="00E0492D">
        <w:rPr>
          <w:rStyle w:val="Emphasis"/>
        </w:rPr>
        <w:t>t</w:t>
      </w:r>
      <w:r w:rsidR="00E0492D">
        <w:t xml:space="preserve">(153) = -0.197, </w:t>
      </w:r>
      <w:r w:rsidR="00E0492D">
        <w:rPr>
          <w:rStyle w:val="Emphasis"/>
        </w:rPr>
        <w:t>p</w:t>
      </w:r>
      <w:r w:rsidR="00E0492D">
        <w:t xml:space="preserve"> = .844.</w:t>
      </w:r>
    </w:p>
    <w:p w14:paraId="31904AC8" w14:textId="77777777" w:rsidR="005020AE" w:rsidRDefault="005020AE" w:rsidP="005020AE">
      <w:pPr>
        <w:spacing w:after="80"/>
      </w:pPr>
      <w:r>
        <w:rPr>
          <w:rFonts w:eastAsia="Times New Roman"/>
          <w:b/>
        </w:rPr>
        <w:t>Table S1</w:t>
      </w:r>
    </w:p>
    <w:tbl>
      <w:tblPr>
        <w:tblpPr w:leftFromText="180" w:rightFromText="180" w:vertAnchor="text" w:horzAnchor="margin" w:tblpY="337"/>
        <w:tblW w:w="9076" w:type="dxa"/>
        <w:tblLayout w:type="fixed"/>
        <w:tblLook w:val="04A0" w:firstRow="1" w:lastRow="0" w:firstColumn="1" w:lastColumn="0" w:noHBand="0" w:noVBand="1"/>
      </w:tblPr>
      <w:tblGrid>
        <w:gridCol w:w="4252"/>
        <w:gridCol w:w="1368"/>
        <w:gridCol w:w="1080"/>
        <w:gridCol w:w="1296"/>
        <w:gridCol w:w="1080"/>
      </w:tblGrid>
      <w:tr w:rsidR="005020AE" w14:paraId="4BD781D9" w14:textId="77777777" w:rsidTr="005020AE">
        <w:trPr>
          <w:tblHeader/>
        </w:trPr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C3EA6A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  <w:b/>
              </w:rPr>
              <w:t>Comparison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04DC1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  <w:b/>
              </w:rPr>
              <w:t>Estimate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7C5AA9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  <w:b/>
              </w:rPr>
              <w:t>SE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AEEC5A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  <w:b/>
              </w:rPr>
              <w:t>t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AF7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ADDBD5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  <w:b/>
              </w:rPr>
              <w:t>p</w:t>
            </w:r>
          </w:p>
        </w:tc>
      </w:tr>
      <w:tr w:rsidR="005020AE" w14:paraId="35BCDFC8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59D4B42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Response set incongruent – non-response set incongruent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5CEC42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0.247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E06C2D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0.018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A2F022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13.944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E336DE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40858934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9E1BC2C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Response set incongruent – color-associated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FCA685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0.340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8D218C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0.019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4CBA8C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18.223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9D59A9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10A9B85D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ED5D71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Response set incongruent – neutral shapes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2691D0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0.665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0B4C9A1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0.022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A80312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30.486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8AC4B9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7B7A1A4A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128261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Response set incongruent – neutral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209EBB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0.447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761717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0.020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60BF2B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22.674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92D173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1BD28939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4F9035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Non-response set incongruent – color-associated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5BF68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0.092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0D7881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0.015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D4B014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6.368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73A01F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04CCD4E4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E71FE1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Non-response set incongruent – neutral shapes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BEE23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0.417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F92BFB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0.017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18E10C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25.148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7E714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67EE0B21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0FDA5D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Non-response set incongruent – neutral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838E9B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0.199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6AF9B4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0.015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FA61A1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13.251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4804544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10EB46FF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2DF17E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Color-associated words – neutral shapes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9635F5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0.325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8A0C0E9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0.013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157A5E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25.537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044C2E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77804771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0F66A6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Color-associated words – neutral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E1C91E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0.107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AED636E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0.013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0C6381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8.509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521F1B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  <w:tr w:rsidR="005020AE" w14:paraId="7F8D374E" w14:textId="77777777" w:rsidTr="005020AE">
        <w:tc>
          <w:tcPr>
            <w:tcW w:w="42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41A4D4" w14:textId="77777777" w:rsidR="005020AE" w:rsidRPr="00321300" w:rsidRDefault="005020AE" w:rsidP="005020AE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Neutral shapes – neutral words</w:t>
            </w:r>
          </w:p>
        </w:tc>
        <w:tc>
          <w:tcPr>
            <w:tcW w:w="13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5D0658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-0.218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C95A0C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0.012</w:t>
            </w:r>
          </w:p>
        </w:tc>
        <w:tc>
          <w:tcPr>
            <w:tcW w:w="12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9076C5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-18.883</w:t>
            </w:r>
          </w:p>
        </w:tc>
        <w:tc>
          <w:tcPr>
            <w:tcW w:w="10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293970" w14:textId="77777777" w:rsidR="005020AE" w:rsidRPr="00321300" w:rsidRDefault="005020AE" w:rsidP="005020AE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321300">
              <w:rPr>
                <w:rFonts w:asciiTheme="majorBidi" w:eastAsia="Times New Roman" w:hAnsiTheme="majorBidi" w:cstheme="majorBidi"/>
              </w:rPr>
              <w:t>&lt; .001</w:t>
            </w:r>
          </w:p>
        </w:tc>
      </w:tr>
    </w:tbl>
    <w:p w14:paraId="07919D6C" w14:textId="3CB68F8C" w:rsidR="005020AE" w:rsidRPr="005020AE" w:rsidRDefault="005020AE" w:rsidP="005020AE">
      <w:pPr>
        <w:rPr>
          <w:b/>
          <w:bCs/>
        </w:rPr>
      </w:pPr>
      <w:r w:rsidRPr="005020AE">
        <w:rPr>
          <w:rFonts w:eastAsia="Times New Roman"/>
          <w:b/>
          <w:bCs/>
          <w:i/>
        </w:rPr>
        <w:t>Post-hoc comparisons</w:t>
      </w:r>
      <w:r w:rsidRPr="005020AE">
        <w:rPr>
          <w:rFonts w:eastAsia="Times New Roman"/>
          <w:b/>
          <w:bCs/>
          <w:i/>
        </w:rPr>
        <w:t xml:space="preserve"> (RT)</w:t>
      </w:r>
      <w:r w:rsidRPr="005020AE">
        <w:rPr>
          <w:rFonts w:eastAsia="Times New Roman"/>
          <w:b/>
          <w:bCs/>
          <w:i/>
        </w:rPr>
        <w:t xml:space="preserve"> for the main effect of stimulus-type</w:t>
      </w:r>
    </w:p>
    <w:p w14:paraId="7CD423FC" w14:textId="77777777" w:rsidR="005020AE" w:rsidRDefault="005020AE" w:rsidP="00E0492D">
      <w:pPr>
        <w:spacing w:before="100" w:beforeAutospacing="1" w:after="100" w:afterAutospacing="1" w:line="360" w:lineRule="auto"/>
      </w:pPr>
    </w:p>
    <w:p w14:paraId="0BE013E3" w14:textId="77777777" w:rsidR="005020AE" w:rsidRDefault="005020AE" w:rsidP="00E0492D">
      <w:pPr>
        <w:spacing w:before="100" w:beforeAutospacing="1" w:after="100" w:afterAutospacing="1" w:line="360" w:lineRule="auto"/>
        <w:rPr>
          <w:b/>
          <w:bCs/>
        </w:rPr>
      </w:pPr>
    </w:p>
    <w:p w14:paraId="0FF92C97" w14:textId="678F9F53" w:rsidR="00A45669" w:rsidRDefault="00A45669" w:rsidP="00E0492D">
      <w:pPr>
        <w:spacing w:before="100" w:beforeAutospacing="1" w:after="100" w:afterAutospacing="1" w:line="360" w:lineRule="auto"/>
        <w:rPr>
          <w:b/>
          <w:bCs/>
        </w:rPr>
      </w:pPr>
      <w:r w:rsidRPr="00A45669">
        <w:rPr>
          <w:b/>
          <w:bCs/>
        </w:rPr>
        <w:lastRenderedPageBreak/>
        <w:t>Table S2</w:t>
      </w:r>
    </w:p>
    <w:p w14:paraId="0A680218" w14:textId="3FACE690" w:rsidR="00A45669" w:rsidRPr="005020AE" w:rsidRDefault="00A45669" w:rsidP="00A45669">
      <w:pPr>
        <w:spacing w:after="120"/>
        <w:rPr>
          <w:b/>
          <w:bCs/>
        </w:rPr>
      </w:pPr>
      <w:r w:rsidRPr="005020AE">
        <w:rPr>
          <w:b/>
          <w:bCs/>
          <w:i/>
        </w:rPr>
        <w:t>Post-hoc comparisons</w:t>
      </w:r>
      <w:r w:rsidRPr="005020AE">
        <w:rPr>
          <w:b/>
          <w:bCs/>
          <w:i/>
        </w:rPr>
        <w:t xml:space="preserve"> (RT)</w:t>
      </w:r>
      <w:r w:rsidRPr="005020AE">
        <w:rPr>
          <w:b/>
          <w:bCs/>
          <w:i/>
        </w:rPr>
        <w:t xml:space="preserve"> between stimulus-type conditions, separately for younger and older adults</w:t>
      </w:r>
    </w:p>
    <w:tbl>
      <w:tblPr>
        <w:tblStyle w:val="TableGrid"/>
        <w:tblW w:w="9315" w:type="dxa"/>
        <w:jc w:val="center"/>
        <w:tblLayout w:type="fixed"/>
        <w:tblLook w:val="04A0" w:firstRow="1" w:lastRow="0" w:firstColumn="1" w:lastColumn="0" w:noHBand="0" w:noVBand="1"/>
      </w:tblPr>
      <w:tblGrid>
        <w:gridCol w:w="1376"/>
        <w:gridCol w:w="4081"/>
        <w:gridCol w:w="1075"/>
        <w:gridCol w:w="767"/>
        <w:gridCol w:w="1080"/>
        <w:gridCol w:w="936"/>
      </w:tblGrid>
      <w:tr w:rsidR="00A45669" w14:paraId="43B4AE95" w14:textId="77777777" w:rsidTr="00A45669">
        <w:trPr>
          <w:cantSplit/>
          <w:tblHeader/>
          <w:jc w:val="center"/>
        </w:trPr>
        <w:tc>
          <w:tcPr>
            <w:tcW w:w="1376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FEF68D0" w14:textId="77777777" w:rsidR="00A45669" w:rsidRPr="00E66718" w:rsidRDefault="00A45669" w:rsidP="00A121A5">
            <w:pPr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4081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E94F590" w14:textId="77777777" w:rsidR="00A45669" w:rsidRPr="00E66718" w:rsidRDefault="00A45669" w:rsidP="00A121A5">
            <w:pPr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Comparison</w:t>
            </w:r>
          </w:p>
        </w:tc>
        <w:tc>
          <w:tcPr>
            <w:tcW w:w="1075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439D74D9" w14:textId="77777777" w:rsidR="00A45669" w:rsidRPr="00E66718" w:rsidRDefault="00A45669" w:rsidP="00A121A5">
            <w:pPr>
              <w:jc w:val="center"/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767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0A987304" w14:textId="77777777" w:rsidR="00A45669" w:rsidRPr="00E66718" w:rsidRDefault="00A45669" w:rsidP="00A121A5">
            <w:pPr>
              <w:jc w:val="center"/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SE</w:t>
            </w:r>
          </w:p>
        </w:tc>
        <w:tc>
          <w:tcPr>
            <w:tcW w:w="1080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5810D30" w14:textId="77777777" w:rsidR="00A45669" w:rsidRPr="00E66718" w:rsidRDefault="00A45669" w:rsidP="00A121A5">
            <w:pPr>
              <w:jc w:val="center"/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</w:tc>
        <w:tc>
          <w:tcPr>
            <w:tcW w:w="936" w:type="dxa"/>
            <w:shd w:val="clear" w:color="auto" w:fill="D9EAF7"/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2E3AEC6" w14:textId="77777777" w:rsidR="00A45669" w:rsidRPr="00E66718" w:rsidRDefault="00A45669" w:rsidP="00A121A5">
            <w:pPr>
              <w:jc w:val="center"/>
              <w:rPr>
                <w:sz w:val="24"/>
                <w:szCs w:val="24"/>
              </w:rPr>
            </w:pPr>
            <w:r w:rsidRPr="00E66718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</w:tr>
      <w:tr w:rsidR="00A45669" w14:paraId="63C216E6" w14:textId="77777777" w:rsidTr="00A45669">
        <w:trPr>
          <w:cantSplit/>
          <w:jc w:val="center"/>
        </w:trPr>
        <w:tc>
          <w:tcPr>
            <w:tcW w:w="1376" w:type="dxa"/>
            <w:vMerge w:val="restart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9A5D01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56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Younger </w:t>
            </w:r>
          </w:p>
          <w:p w14:paraId="0DEE9ECC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56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Adults</w:t>
            </w: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4EAAC4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non-response set incongruent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F9CC9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0.209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2A76DA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1E534E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8.309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6E7D1B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153C6863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F56833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AB3390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color-associated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E5D649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0.271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5A601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26688C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10.243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8569E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4B7BBE12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7D4A8C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A1B99E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ADDA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0.562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F6482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3ADD02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18.155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3D4B39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2B4EAAD3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3795D3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7B9EF7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8E1F0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0.352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4848D3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E89DC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12.605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9BBA8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1AEAD71C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FC30D5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EA0D21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color-associated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069C3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0.062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A3626A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03491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3.003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179CE4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</w:tr>
      <w:tr w:rsidR="00A45669" w14:paraId="1E9EF5FD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4AFF73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36B40B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A5FEF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0.353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32EB99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0.024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852A5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14.971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B5482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283BC022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4FA641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A9E00F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056E1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0.143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5E90D3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E6C84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6.709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9DBBD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3C592515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46A59B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4BE934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Color-associated words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3E24B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0.291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135C7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D029B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16.099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DD001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68D041A5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F06F58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EC5F35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Color-associated words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0D3EBC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2C7AE8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73CA22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4.564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1E488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6420DA8F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734D68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6D48EE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Neutral shapes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938423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-0.209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11CF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00F91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-12.775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60942A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6430F85F" w14:textId="77777777" w:rsidTr="00A45669">
        <w:trPr>
          <w:cantSplit/>
          <w:jc w:val="center"/>
        </w:trPr>
        <w:tc>
          <w:tcPr>
            <w:tcW w:w="1376" w:type="dxa"/>
            <w:vMerge w:val="restart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6D8ED7" w14:textId="77777777" w:rsidR="00A45669" w:rsidRPr="00A45669" w:rsidRDefault="00A45669" w:rsidP="00A121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456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Older Adults</w:t>
            </w: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0DC7B8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non-response set incongruent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B389C0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0.286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B8758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81694D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11.421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B17DB8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39E5F578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B55085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DEC965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color-associated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E101A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0.408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0A4FD3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A4FC70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15.545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7523A9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23963089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06C5B9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C2ED7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FD9F68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0.768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D9468E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0.031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46D1C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24.981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8A958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5C64433C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D0B3DC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90F2B1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Response set incongruent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BB15C4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0.541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3ED32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373590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19.483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0ED092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60CD4498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4389B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AC43B0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color-associated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AD854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0.123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E027C1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0.020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61DAED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6.013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18785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7C5771EF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D74C1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04DB6B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62606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0.482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1922AA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53A61B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20.612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182530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188410D8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BAD350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4976B6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Non-response set incongruent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5BE502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0.255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6D3CBE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015A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12.048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0B45DE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7EE4601B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86F4FB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70F1BC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Color-associated words - neutral shapes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F6AE1C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0.359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8248D5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30D2FD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20.029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1B3C48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7F8E606F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47F6BA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D10E6B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Color-associated words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22F856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0.133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9DD06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0.018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522053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7.480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AEB624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  <w:tr w:rsidR="00A45669" w14:paraId="681153F9" w14:textId="77777777" w:rsidTr="00A45669">
        <w:trPr>
          <w:cantSplit/>
          <w:jc w:val="center"/>
        </w:trPr>
        <w:tc>
          <w:tcPr>
            <w:tcW w:w="1376" w:type="dxa"/>
            <w:vMerge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168EF8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1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777152" w14:textId="77777777" w:rsidR="00A45669" w:rsidRPr="00E66718" w:rsidRDefault="00A45669" w:rsidP="00A121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Neutral shapes - neutral words</w:t>
            </w:r>
          </w:p>
        </w:tc>
        <w:tc>
          <w:tcPr>
            <w:tcW w:w="1075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433D97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-0.227</w:t>
            </w:r>
          </w:p>
        </w:tc>
        <w:tc>
          <w:tcPr>
            <w:tcW w:w="767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9EABC9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0.016</w:t>
            </w:r>
          </w:p>
        </w:tc>
        <w:tc>
          <w:tcPr>
            <w:tcW w:w="1080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31275F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-13.933</w:t>
            </w:r>
          </w:p>
        </w:tc>
        <w:tc>
          <w:tcPr>
            <w:tcW w:w="93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C029D2" w14:textId="77777777" w:rsidR="00A45669" w:rsidRPr="00E66718" w:rsidRDefault="00A45669" w:rsidP="005020A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66718">
              <w:rPr>
                <w:rFonts w:asciiTheme="majorBidi" w:hAnsiTheme="majorBidi" w:cstheme="majorBidi"/>
                <w:sz w:val="24"/>
                <w:szCs w:val="24"/>
              </w:rPr>
              <w:t>&lt; .001</w:t>
            </w:r>
          </w:p>
        </w:tc>
      </w:tr>
    </w:tbl>
    <w:p w14:paraId="4EC4D36A" w14:textId="77777777" w:rsidR="00A45669" w:rsidRPr="00A45669" w:rsidRDefault="00A45669" w:rsidP="00E0492D">
      <w:pPr>
        <w:spacing w:before="100" w:beforeAutospacing="1" w:after="100" w:afterAutospacing="1" w:line="360" w:lineRule="auto"/>
        <w:rPr>
          <w:rFonts w:eastAsia="Times New Roman"/>
          <w:lang w:eastAsia="en-IL"/>
        </w:rPr>
      </w:pPr>
    </w:p>
    <w:p w14:paraId="2A26EF58" w14:textId="77777777" w:rsidR="00FD6A73" w:rsidRPr="00CA49ED" w:rsidRDefault="00FD6A73" w:rsidP="00CA49ED">
      <w:pPr>
        <w:spacing w:line="360" w:lineRule="auto"/>
        <w:rPr>
          <w:lang w:val="en-IL"/>
        </w:rPr>
      </w:pPr>
    </w:p>
    <w:sectPr w:rsidR="00FD6A73" w:rsidRPr="00CA4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Q0MzA2MjA0NjY3NzdQ0lEKTi0uzszPAykwrAUATSe0miwAAAA="/>
  </w:docVars>
  <w:rsids>
    <w:rsidRoot w:val="00FD6A73"/>
    <w:rsid w:val="000F6AD7"/>
    <w:rsid w:val="00127469"/>
    <w:rsid w:val="001825CA"/>
    <w:rsid w:val="005020AE"/>
    <w:rsid w:val="005E58EA"/>
    <w:rsid w:val="00624CF1"/>
    <w:rsid w:val="009059F8"/>
    <w:rsid w:val="009B0184"/>
    <w:rsid w:val="00A45669"/>
    <w:rsid w:val="00A962F9"/>
    <w:rsid w:val="00B363ED"/>
    <w:rsid w:val="00BB759B"/>
    <w:rsid w:val="00BC1078"/>
    <w:rsid w:val="00C652DB"/>
    <w:rsid w:val="00C767CD"/>
    <w:rsid w:val="00CA49ED"/>
    <w:rsid w:val="00E0492D"/>
    <w:rsid w:val="00F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F21D"/>
  <w15:chartTrackingRefBased/>
  <w15:docId w15:val="{E5BAA86E-78FD-42F2-BEF4-DBC69527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A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A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A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A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A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A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A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6A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A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A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A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A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A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A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A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A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A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A49ED"/>
    <w:pPr>
      <w:spacing w:before="100" w:beforeAutospacing="1" w:after="100" w:afterAutospacing="1" w:line="240" w:lineRule="auto"/>
    </w:pPr>
    <w:rPr>
      <w:rFonts w:eastAsia="Times New Roman"/>
      <w:lang w:val="en-IL" w:eastAsia="en-IL"/>
    </w:rPr>
  </w:style>
  <w:style w:type="character" w:styleId="Emphasis">
    <w:name w:val="Emphasis"/>
    <w:basedOn w:val="DefaultParagraphFont"/>
    <w:uiPriority w:val="20"/>
    <w:qFormat/>
    <w:rsid w:val="00CA49ED"/>
    <w:rPr>
      <w:i/>
      <w:iCs/>
    </w:rPr>
  </w:style>
  <w:style w:type="table" w:styleId="TableGrid">
    <w:name w:val="Table Grid"/>
    <w:basedOn w:val="TableNormal"/>
    <w:uiPriority w:val="59"/>
    <w:rsid w:val="00A4566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Keha, Eldad</dc:creator>
  <cp:keywords/>
  <dc:description/>
  <cp:lastModifiedBy>Keha, Eldad</cp:lastModifiedBy>
  <cp:revision>2</cp:revision>
  <dcterms:created xsi:type="dcterms:W3CDTF">2026-04-29T18:18:00Z</dcterms:created>
  <dcterms:modified xsi:type="dcterms:W3CDTF">2026-04-29T21:01:00Z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fa0794a9-6546-4040-8db9-85182f3bc782</vt:lpwstr>
  </property>
</Properties>
</file>