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6983DB" w14:textId="77777777" w:rsidR="002F54C4" w:rsidRDefault="00000000">
      <w:pPr>
        <w:pStyle w:val="TableTitle"/>
      </w:pPr>
      <w:bookmarkStart w:id="0" w:name="results"/>
      <w:bookmarkStart w:id="1" w:name="participants"/>
      <w:r>
        <w:rPr>
          <w:b/>
          <w:bCs/>
        </w:rPr>
        <w:t>Table 1: Baseline characteristics and outcomes by trauma cohort.</w:t>
      </w:r>
    </w:p>
    <w:tbl>
      <w:tblPr>
        <w:tblW w:w="0" w:type="pct"/>
        <w:jc w:val="center"/>
        <w:tblLook w:val="0420" w:firstRow="1" w:lastRow="0" w:firstColumn="0" w:lastColumn="0" w:noHBand="0" w:noVBand="1"/>
      </w:tblPr>
      <w:tblGrid>
        <w:gridCol w:w="2153"/>
        <w:gridCol w:w="1051"/>
        <w:gridCol w:w="1126"/>
        <w:gridCol w:w="1022"/>
        <w:gridCol w:w="1049"/>
        <w:gridCol w:w="1569"/>
        <w:gridCol w:w="1056"/>
      </w:tblGrid>
      <w:tr w:rsidR="002F54C4" w14:paraId="6100E86E" w14:textId="77777777">
        <w:trPr>
          <w:tblHeader/>
          <w:jc w:val="center"/>
        </w:trPr>
        <w:tc>
          <w:tcPr>
            <w:tcW w:w="0" w:type="auto"/>
            <w:gridSpan w:val="2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F44DA3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100" w:right="100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  <w:gridSpan w:val="5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534167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b/>
                <w:color w:val="000000"/>
                <w:sz w:val="16"/>
                <w:szCs w:val="16"/>
              </w:rPr>
              <w:t>TQIP Cohort</w:t>
            </w:r>
          </w:p>
        </w:tc>
      </w:tr>
      <w:tr w:rsidR="002F54C4" w14:paraId="1027D1E3" w14:textId="77777777">
        <w:trPr>
          <w:tblHeader/>
          <w:jc w:val="center"/>
        </w:trPr>
        <w:tc>
          <w:tcPr>
            <w:tcW w:w="0" w:type="auto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E19FE5" w14:textId="77777777" w:rsidR="002F54C4" w:rsidRDefault="002F54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100" w:right="100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C00F86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b/>
                <w:color w:val="000000"/>
                <w:sz w:val="16"/>
                <w:szCs w:val="16"/>
              </w:rPr>
              <w:t>Overall</w:t>
            </w: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 xml:space="preserve">  </w:t>
            </w: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br/>
              <w:t>N = 8,298</w:t>
            </w:r>
            <w:r>
              <w:rPr>
                <w:rFonts w:ascii="Helvetica" w:eastAsia="Helvetica" w:hAnsi="Helvetica" w:cs="Helvetica"/>
                <w:color w:val="000000"/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2060EC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b/>
                <w:color w:val="000000"/>
                <w:sz w:val="16"/>
                <w:szCs w:val="16"/>
              </w:rPr>
              <w:t>Isolated TBI</w:t>
            </w: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 xml:space="preserve">  </w:t>
            </w: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br/>
              <w:t>N = 246</w:t>
            </w:r>
            <w:r>
              <w:rPr>
                <w:rFonts w:ascii="Helvetica" w:eastAsia="Helvetica" w:hAnsi="Helvetica" w:cs="Helvetica"/>
                <w:color w:val="000000"/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32FE07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b/>
                <w:color w:val="000000"/>
                <w:sz w:val="16"/>
                <w:szCs w:val="16"/>
              </w:rPr>
              <w:t>BM with TBI</w:t>
            </w: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 xml:space="preserve">  </w:t>
            </w: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br/>
              <w:t>N = 587</w:t>
            </w:r>
            <w:r>
              <w:rPr>
                <w:rFonts w:ascii="Helvetica" w:eastAsia="Helvetica" w:hAnsi="Helvetica" w:cs="Helvetica"/>
                <w:color w:val="000000"/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48002D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b/>
                <w:color w:val="000000"/>
                <w:sz w:val="16"/>
                <w:szCs w:val="16"/>
              </w:rPr>
              <w:t>BM without TBI</w:t>
            </w: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 xml:space="preserve">  </w:t>
            </w: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br/>
              <w:t>N = 427</w:t>
            </w:r>
            <w:r>
              <w:rPr>
                <w:rFonts w:ascii="Helvetica" w:eastAsia="Helvetica" w:hAnsi="Helvetica" w:cs="Helvetica"/>
                <w:color w:val="000000"/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3B8994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b/>
                <w:color w:val="000000"/>
                <w:sz w:val="16"/>
                <w:szCs w:val="16"/>
              </w:rPr>
              <w:t>Penetrating truncal injury</w:t>
            </w: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 xml:space="preserve">  </w:t>
            </w: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br/>
              <w:t>N = 423</w:t>
            </w:r>
            <w:r>
              <w:rPr>
                <w:rFonts w:ascii="Helvetica" w:eastAsia="Helvetica" w:hAnsi="Helvetica" w:cs="Helvetica"/>
                <w:color w:val="000000"/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19B454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b/>
                <w:color w:val="000000"/>
                <w:sz w:val="16"/>
                <w:szCs w:val="16"/>
              </w:rPr>
              <w:t>Non TQIP-cohort</w:t>
            </w: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 xml:space="preserve">  </w:t>
            </w: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br/>
              <w:t>N = 6,615</w:t>
            </w:r>
            <w:r>
              <w:rPr>
                <w:rFonts w:ascii="Helvetica" w:eastAsia="Helvetica" w:hAnsi="Helvetica" w:cs="Helvetica"/>
                <w:color w:val="000000"/>
                <w:sz w:val="16"/>
                <w:szCs w:val="16"/>
                <w:vertAlign w:val="superscript"/>
              </w:rPr>
              <w:t>1</w:t>
            </w:r>
          </w:p>
        </w:tc>
      </w:tr>
      <w:tr w:rsidR="002F54C4" w14:paraId="6D8E51B1" w14:textId="77777777">
        <w:trPr>
          <w:jc w:val="center"/>
        </w:trPr>
        <w:tc>
          <w:tcPr>
            <w:tcW w:w="0" w:type="auto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AB9CFF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rPr>
                <w:rFonts w:ascii="Helvetica" w:eastAsia="Helvetica" w:hAnsi="Helvetica" w:cs="Helvetica"/>
                <w:b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b/>
                <w:color w:val="000000"/>
                <w:sz w:val="16"/>
                <w:szCs w:val="16"/>
              </w:rPr>
              <w:t>Age, years</w:t>
            </w:r>
          </w:p>
        </w:tc>
        <w:tc>
          <w:tcPr>
            <w:tcW w:w="0" w:type="auto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B2D0EE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43 (27, 61)</w:t>
            </w:r>
          </w:p>
        </w:tc>
        <w:tc>
          <w:tcPr>
            <w:tcW w:w="0" w:type="auto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0622B0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59 (38, 74)</w:t>
            </w:r>
          </w:p>
        </w:tc>
        <w:tc>
          <w:tcPr>
            <w:tcW w:w="0" w:type="auto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6D86E4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49 (30, 66)</w:t>
            </w:r>
          </w:p>
        </w:tc>
        <w:tc>
          <w:tcPr>
            <w:tcW w:w="0" w:type="auto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DCA136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49 (32, 64)</w:t>
            </w:r>
          </w:p>
        </w:tc>
        <w:tc>
          <w:tcPr>
            <w:tcW w:w="0" w:type="auto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2159EE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28 (21, 41)</w:t>
            </w:r>
          </w:p>
        </w:tc>
        <w:tc>
          <w:tcPr>
            <w:tcW w:w="0" w:type="auto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83B39D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42 (27, 61)</w:t>
            </w:r>
          </w:p>
        </w:tc>
      </w:tr>
      <w:tr w:rsidR="002F54C4" w14:paraId="03DEE474" w14:textId="77777777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E0F455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rPr>
                <w:rFonts w:ascii="Helvetica" w:eastAsia="Helvetica" w:hAnsi="Helvetica" w:cs="Helvetica"/>
                <w:b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b/>
                <w:color w:val="000000"/>
                <w:sz w:val="16"/>
                <w:szCs w:val="16"/>
              </w:rPr>
              <w:t>Male sex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0A0C43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5,748 (69%)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8546B4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183 (74%)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F60B21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409 (70%)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15E37B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305 (71%)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C4AE24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382 (90%)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59675B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4,469 (68%)</w:t>
            </w:r>
          </w:p>
        </w:tc>
      </w:tr>
      <w:tr w:rsidR="002F54C4" w14:paraId="09296160" w14:textId="77777777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EEFA2E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rPr>
                <w:rFonts w:ascii="Helvetica" w:eastAsia="Helvetica" w:hAnsi="Helvetica" w:cs="Helvetica"/>
                <w:b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b/>
                <w:color w:val="000000"/>
                <w:sz w:val="16"/>
                <w:szCs w:val="16"/>
              </w:rPr>
              <w:t>ASA ≥3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00677E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1,539 (19%)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8F09C3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81 (33%)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76787F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138 (24%)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F9873D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88 (21%)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C6069A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29 (7.0%)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F81ACF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1,203 (18%)</w:t>
            </w:r>
          </w:p>
        </w:tc>
      </w:tr>
      <w:tr w:rsidR="002F54C4" w14:paraId="2EFFBB83" w14:textId="77777777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89621D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rPr>
                <w:rFonts w:ascii="Helvetica" w:eastAsia="Helvetica" w:hAnsi="Helvetica" w:cs="Helvetica"/>
                <w:b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b/>
                <w:color w:val="000000"/>
                <w:sz w:val="16"/>
                <w:szCs w:val="16"/>
              </w:rPr>
              <w:t>NISS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85BBE5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11 (3, 22)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85ECFF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38 (27, 50)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E1E44D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34 (27, 50)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004CDD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34 (27, 41)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91B3E6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22 (14, 35)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AF2A89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8 (3, 17)</w:t>
            </w:r>
          </w:p>
        </w:tc>
      </w:tr>
      <w:tr w:rsidR="002F54C4" w14:paraId="33084E31" w14:textId="77777777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C96017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rPr>
                <w:rFonts w:ascii="Helvetica" w:eastAsia="Helvetica" w:hAnsi="Helvetica" w:cs="Helvetica"/>
                <w:b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b/>
                <w:color w:val="000000"/>
                <w:sz w:val="16"/>
                <w:szCs w:val="16"/>
              </w:rPr>
              <w:t>Intubated in ED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78217A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725 (8.7%)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A93E54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130 (53%)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C903D7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133 (23%)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A53B74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67 (16%)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E69DCC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93 (22%)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40479D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302 (4.6%)</w:t>
            </w:r>
          </w:p>
        </w:tc>
      </w:tr>
      <w:tr w:rsidR="002F54C4" w14:paraId="2D5628A1" w14:textId="77777777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AC86E4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rPr>
                <w:rFonts w:ascii="Helvetica" w:eastAsia="Helvetica" w:hAnsi="Helvetica" w:cs="Helvetica"/>
                <w:b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b/>
                <w:color w:val="000000"/>
                <w:sz w:val="16"/>
                <w:szCs w:val="16"/>
              </w:rPr>
              <w:t>Respiratory rate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BFB18B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18 (16, 20)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0AFDBC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18 (14, 20)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B4DFC6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18 (16, 20)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F99DE6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18 (16, 22)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2B5AC5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18 (17, 22)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4605B8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18 (16, 20)</w:t>
            </w:r>
          </w:p>
        </w:tc>
      </w:tr>
      <w:tr w:rsidR="002F54C4" w14:paraId="20D2D1AA" w14:textId="77777777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617896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rPr>
                <w:rFonts w:ascii="Helvetica" w:eastAsia="Helvetica" w:hAnsi="Helvetica" w:cs="Helvetica"/>
                <w:b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b/>
                <w:color w:val="000000"/>
                <w:sz w:val="16"/>
                <w:szCs w:val="16"/>
              </w:rPr>
              <w:t>SBP, mmHg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5BF2FF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135 (120, 150)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861F0B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143 (120, 165)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61ACF6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128 (100, 146)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35032E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125 (104, 142)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C7BCD2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120 (83, 141)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A3BE93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136 (122, 150)</w:t>
            </w:r>
          </w:p>
        </w:tc>
      </w:tr>
      <w:tr w:rsidR="002F54C4" w14:paraId="03D5FCA5" w14:textId="77777777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C22C71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rPr>
                <w:rFonts w:ascii="Helvetica" w:eastAsia="Helvetica" w:hAnsi="Helvetica" w:cs="Helvetica"/>
                <w:b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b/>
                <w:color w:val="000000"/>
                <w:sz w:val="16"/>
                <w:szCs w:val="16"/>
              </w:rPr>
              <w:t>GCS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2FC20A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15 (14, 15)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33F56B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5 (3, 6)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5AC00C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14 (10, 15)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864C5A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15 (14, 15)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2BD0D1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15 (15, 15)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F6BDA3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15 (15, 15)</w:t>
            </w:r>
          </w:p>
        </w:tc>
      </w:tr>
      <w:tr w:rsidR="002F54C4" w14:paraId="7DF75B43" w14:textId="77777777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4A0508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rPr>
                <w:rFonts w:ascii="Helvetica" w:eastAsia="Helvetica" w:hAnsi="Helvetica" w:cs="Helvetica"/>
                <w:b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b/>
                <w:color w:val="000000"/>
                <w:sz w:val="16"/>
                <w:szCs w:val="16"/>
              </w:rPr>
              <w:t>Admission ward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AFDB80" w14:textId="77777777" w:rsidR="002F54C4" w:rsidRDefault="002F54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847DF0" w14:textId="77777777" w:rsidR="002F54C4" w:rsidRDefault="002F54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E0421F" w14:textId="77777777" w:rsidR="002F54C4" w:rsidRDefault="002F54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55623F" w14:textId="77777777" w:rsidR="002F54C4" w:rsidRDefault="002F54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A6F391" w14:textId="77777777" w:rsidR="002F54C4" w:rsidRDefault="002F54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DAABA3" w14:textId="77777777" w:rsidR="002F54C4" w:rsidRDefault="002F54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</w:p>
        </w:tc>
      </w:tr>
      <w:tr w:rsidR="002F54C4" w14:paraId="56D050ED" w14:textId="77777777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750B62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ED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4273C3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1,499 (18%)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5FCC6A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9 (3.7%)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31F0C6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40 (6.8%)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EEB5EB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20 (4.7%)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C5D7FA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33 (7.8%)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FB8956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1,397 (21%)</w:t>
            </w:r>
          </w:p>
        </w:tc>
      </w:tr>
      <w:tr w:rsidR="002F54C4" w14:paraId="4B2E7041" w14:textId="77777777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BD8624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General ward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CFD816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3,076 (37%)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A1A8FF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18 (7.3%)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DD12C8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78 (13%)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265BD3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50 (12%)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9D66F8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65 (15%)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843692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2,865 (43%)</w:t>
            </w:r>
          </w:p>
        </w:tc>
      </w:tr>
      <w:tr w:rsidR="002F54C4" w14:paraId="279F92DA" w14:textId="77777777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95590F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OR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86806C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1,590 (19%)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F97F42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3 (1.2%)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93E084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81 (14%)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19041D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137 (32%)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BFB669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147 (35%)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C5A6DF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1,222 (18%)</w:t>
            </w:r>
          </w:p>
        </w:tc>
      </w:tr>
      <w:tr w:rsidR="002F54C4" w14:paraId="71180F86" w14:textId="77777777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D186DE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Specialised ward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2FCC0A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393 (4.7%)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B369DD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2 (0.8%)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F0E8AC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20 (3.4%)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1B00D3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25 (5.9%)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FB7F89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23 (5.4%)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587F4A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323 (4.9%)</w:t>
            </w:r>
          </w:p>
        </w:tc>
      </w:tr>
      <w:tr w:rsidR="002F54C4" w14:paraId="42FB7F67" w14:textId="77777777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18791F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ICU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EB7467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1,740 (21%)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DD5A9A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214 (87%)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E98EDA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368 (63%)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1A10EB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195 (46%)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07EB67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155 (37%)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DE94B4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808 (12%)</w:t>
            </w:r>
          </w:p>
        </w:tc>
      </w:tr>
      <w:tr w:rsidR="002F54C4" w14:paraId="4AFF14B1" w14:textId="77777777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536D3B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rPr>
                <w:rFonts w:ascii="Helvetica" w:eastAsia="Helvetica" w:hAnsi="Helvetica" w:cs="Helvetica"/>
                <w:b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b/>
                <w:color w:val="000000"/>
                <w:sz w:val="16"/>
                <w:szCs w:val="16"/>
              </w:rPr>
              <w:t>Emergency intervention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924FF8" w14:textId="77777777" w:rsidR="002F54C4" w:rsidRDefault="002F54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12A747" w14:textId="77777777" w:rsidR="002F54C4" w:rsidRDefault="002F54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A7FB86" w14:textId="77777777" w:rsidR="002F54C4" w:rsidRDefault="002F54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692E60" w14:textId="77777777" w:rsidR="002F54C4" w:rsidRDefault="002F54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250BE4" w14:textId="77777777" w:rsidR="002F54C4" w:rsidRDefault="002F54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45FCC6" w14:textId="77777777" w:rsidR="002F54C4" w:rsidRDefault="002F54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</w:p>
        </w:tc>
      </w:tr>
      <w:tr w:rsidR="002F54C4" w14:paraId="18045302" w14:textId="77777777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C99F32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No intervention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ED1348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5,970 (72%)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09B45A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135 (55%)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58E300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283 (48%)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0925AE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174 (41%)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F76445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69 (16%)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CE7FAA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5,309 (80%)</w:t>
            </w:r>
          </w:p>
        </w:tc>
      </w:tr>
      <w:tr w:rsidR="002F54C4" w14:paraId="6B89967D" w14:textId="77777777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F13AAE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Thoracotomy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6525F0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105 (1.3%)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6D446D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3 (1.2%)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E6D414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14 (2.4%)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62CBDF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16 (3.7%)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340439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59 (14%)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92F338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13 (0.2%)</w:t>
            </w:r>
          </w:p>
        </w:tc>
      </w:tr>
      <w:tr w:rsidR="002F54C4" w14:paraId="0D264A70" w14:textId="77777777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5F2FE0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Laparotomy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BC5E99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245 (3.0%)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85CC3A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0 (0%)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F8B332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23 (3.9%)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FF751C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33 (7.7%)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3C74E3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104 (25%)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5CE768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85 (1.3%)</w:t>
            </w:r>
          </w:p>
        </w:tc>
      </w:tr>
      <w:tr w:rsidR="002F54C4" w14:paraId="46D1564B" w14:textId="77777777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02735F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Pelvic packing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10BE55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5 (&lt;0.1%)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628CE8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0 (0%)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C48BCE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1 (0.2%)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342A7E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2 (0.5%)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4ED049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0 (0%)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992FF4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2 (&lt;0.1%)</w:t>
            </w:r>
          </w:p>
        </w:tc>
      </w:tr>
      <w:tr w:rsidR="002F54C4" w14:paraId="78A3FE83" w14:textId="77777777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E84CFE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Revascularisation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DE8CA1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49 (0.6%)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C5ECF4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0 (0%)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203F22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2 (0.3%)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22C3CE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5 (1.2%)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BEA87B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3 (0.7%)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5226B6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39 (0.6%)</w:t>
            </w:r>
          </w:p>
        </w:tc>
      </w:tr>
      <w:tr w:rsidR="002F54C4" w14:paraId="065E44FC" w14:textId="77777777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67E518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Radiological intervention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CCAD27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101 (1.2%)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1B6611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0 (0%)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277D27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17 (2.9%)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F93F58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31 (7.3%)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000EAD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2 (0.5%)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3FD86B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51 (0.8%)</w:t>
            </w:r>
          </w:p>
        </w:tc>
      </w:tr>
      <w:tr w:rsidR="002F54C4" w14:paraId="05F50F85" w14:textId="77777777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892F4B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Craniotomy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E82F7B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283 (3.4%)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72565A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64 (26%)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679E47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50 (8.5%)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2FCCA0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0 (0%)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CA173A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1 (0.2%)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E9E4A2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168 (2.5%)</w:t>
            </w:r>
          </w:p>
        </w:tc>
      </w:tr>
      <w:tr w:rsidR="002F54C4" w14:paraId="3910084A" w14:textId="77777777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610DC0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ICP monitoring only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594D94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102 (1.2%)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01DD89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40 (16%)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9CC881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35 (6.0%)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C4E0BE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0 (0%)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EEB7BB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0 (0%)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0B718E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27 (0.4%)</w:t>
            </w:r>
          </w:p>
        </w:tc>
      </w:tr>
      <w:tr w:rsidR="002F54C4" w14:paraId="5E9407E1" w14:textId="77777777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1ABF19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Other action§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21EF1C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1,438 (17%)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DED485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4 (1.6%)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8BD9DE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162 (28%)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31F489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166 (39%)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7F1246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185 (44%)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ECCD7C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921 (14%)</w:t>
            </w:r>
          </w:p>
        </w:tc>
      </w:tr>
      <w:tr w:rsidR="002F54C4" w14:paraId="19814D85" w14:textId="77777777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FF2A10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rPr>
                <w:rFonts w:ascii="Helvetica" w:eastAsia="Helvetica" w:hAnsi="Helvetica" w:cs="Helvetica"/>
                <w:b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b/>
                <w:color w:val="000000"/>
                <w:sz w:val="16"/>
                <w:szCs w:val="16"/>
              </w:rPr>
              <w:t>Time to procedure, min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FD9429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106 (54, 257)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29B58B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114 (80, 163)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268EBB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98 (19, 160)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3E71B9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100 (16, 245)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9DC596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30 (10, 80)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B1DD3D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134 (79, 419)</w:t>
            </w:r>
          </w:p>
        </w:tc>
      </w:tr>
      <w:tr w:rsidR="002F54C4" w14:paraId="096B243F" w14:textId="77777777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87B16C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rPr>
                <w:rFonts w:ascii="Helvetica" w:eastAsia="Helvetica" w:hAnsi="Helvetica" w:cs="Helvetica"/>
                <w:b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b/>
                <w:color w:val="000000"/>
                <w:sz w:val="16"/>
                <w:szCs w:val="16"/>
              </w:rPr>
              <w:t>Time to CT, min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AE485D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33 (21, 66)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1AE03D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27 (21, 37)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1976CE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32 (23, 47)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EF6D04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35 (24, 58)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36046C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32 (22, 54)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549880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34 (21, 71)</w:t>
            </w:r>
          </w:p>
        </w:tc>
      </w:tr>
      <w:tr w:rsidR="002F54C4" w14:paraId="20BE8AC5" w14:textId="77777777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5A2BC6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rPr>
                <w:rFonts w:ascii="Helvetica" w:eastAsia="Helvetica" w:hAnsi="Helvetica" w:cs="Helvetica"/>
                <w:b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b/>
                <w:color w:val="000000"/>
                <w:sz w:val="16"/>
                <w:szCs w:val="16"/>
              </w:rPr>
              <w:t>30-day mortality*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4E2F30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727 (8.8%)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74F96A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130 (53%)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911B18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169 (29%)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C93B69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68 (16%)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F9273A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90 (21%)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62AE1D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270 (4.1%)</w:t>
            </w:r>
          </w:p>
        </w:tc>
      </w:tr>
      <w:tr w:rsidR="002F54C4" w14:paraId="5BEAC7D9" w14:textId="77777777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DE6156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rPr>
                <w:rFonts w:ascii="Helvetica" w:eastAsia="Helvetica" w:hAnsi="Helvetica" w:cs="Helvetica"/>
                <w:b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b/>
                <w:color w:val="000000"/>
                <w:sz w:val="16"/>
                <w:szCs w:val="16"/>
              </w:rPr>
              <w:t>30-day mortality excl. DOA*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48FBCF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564 (6.8%)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F0E654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122 (50%)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C0EBDA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128 (22%)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24BAAD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46 (11%)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1A4655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39 (9.2%)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08E94B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229 (3.5%)</w:t>
            </w:r>
          </w:p>
        </w:tc>
      </w:tr>
      <w:tr w:rsidR="002F54C4" w14:paraId="49FC8C85" w14:textId="77777777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01B55C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rPr>
                <w:rFonts w:ascii="Helvetica" w:eastAsia="Helvetica" w:hAnsi="Helvetica" w:cs="Helvetica"/>
                <w:b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b/>
                <w:color w:val="000000"/>
                <w:sz w:val="16"/>
                <w:szCs w:val="16"/>
              </w:rPr>
              <w:t>Cause of death, n (% cohort, % deaths)†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9768FC" w14:textId="77777777" w:rsidR="002F54C4" w:rsidRDefault="002F54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A347DE" w14:textId="77777777" w:rsidR="002F54C4" w:rsidRDefault="002F54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08CB97" w14:textId="77777777" w:rsidR="002F54C4" w:rsidRDefault="002F54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7745AF" w14:textId="77777777" w:rsidR="002F54C4" w:rsidRDefault="002F54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B91EA5" w14:textId="77777777" w:rsidR="002F54C4" w:rsidRDefault="002F54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D97223" w14:textId="77777777" w:rsidR="002F54C4" w:rsidRDefault="002F54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</w:p>
        </w:tc>
      </w:tr>
      <w:tr w:rsidR="002F54C4" w14:paraId="40B5028B" w14:textId="77777777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A7A20E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Bleeding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00E7D3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131 (1.6%, 18.6%)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CA637F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57AA71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21 (3.6%, 12.4%)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32B0CF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28 (6.6%, 41.2%)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B59D24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71 (16.8%, 78.9%)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5A1A6F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11 (0.2%, 4.4%)</w:t>
            </w:r>
          </w:p>
        </w:tc>
      </w:tr>
      <w:tr w:rsidR="002F54C4" w14:paraId="567C68D4" w14:textId="77777777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2F6FC0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Multi organ failure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DF101C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36 (0.4%, 5.1%)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79E9A6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05593A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3 (0.5%, 1.8%)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3CCA55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12 (2.8%, 17.6%)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2AE48F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1 (0.2%, 1.1%)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8F3F4F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20 (0.3%, 8.0%)</w:t>
            </w:r>
          </w:p>
        </w:tc>
      </w:tr>
      <w:tr w:rsidR="002F54C4" w14:paraId="000C4F9A" w14:textId="77777777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CE7084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Other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BF808B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183 (2.2%, 26.0%)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B359CC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7 (2.8%, 5.5%)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889FFB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28 (4.8%, 16.6%)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6E34D9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22 (5.2%, 32.4%)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EE72C6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5 (1.2%, 5.6%)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B5FF35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121 (1.8%, 48.4%)</w:t>
            </w:r>
          </w:p>
        </w:tc>
      </w:tr>
      <w:tr w:rsidR="002F54C4" w14:paraId="6EE70096" w14:textId="77777777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567506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TBI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D45C38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329 (4.0%, 46.7%)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E2AD55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119 (48.4%, 93.7%)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205951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109 (18.6%, 64.5%)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0F3E30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6 (1.4%, 8.8%)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D16F09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13 (3.1%, 14.4%)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9D7D92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82 (1.2%, 32.8%)</w:t>
            </w:r>
          </w:p>
        </w:tc>
      </w:tr>
      <w:tr w:rsidR="002F54C4" w14:paraId="32DED192" w14:textId="77777777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0E5D54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Unknown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1F1A09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25 (0.3%, 3.6%)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369FCA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1 (0.4%, 0.8%)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9CDE07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8 (1.4%, 4.7%)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FE7DA0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2616C0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43A35B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16 (0.2%, 6.4%)</w:t>
            </w:r>
          </w:p>
        </w:tc>
      </w:tr>
      <w:tr w:rsidR="002F54C4" w14:paraId="3A3DF475" w14:textId="77777777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1A9D17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rPr>
                <w:rFonts w:ascii="Helvetica" w:eastAsia="Helvetica" w:hAnsi="Helvetica" w:cs="Helvetica"/>
                <w:b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b/>
                <w:color w:val="000000"/>
                <w:sz w:val="16"/>
                <w:szCs w:val="16"/>
              </w:rPr>
              <w:t>GOS at discharge*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094708" w14:textId="77777777" w:rsidR="002F54C4" w:rsidRDefault="002F54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F6E947" w14:textId="77777777" w:rsidR="002F54C4" w:rsidRDefault="002F54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602DE0" w14:textId="77777777" w:rsidR="002F54C4" w:rsidRDefault="002F54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CC9F20" w14:textId="77777777" w:rsidR="002F54C4" w:rsidRDefault="002F54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0163AB" w14:textId="77777777" w:rsidR="002F54C4" w:rsidRDefault="002F54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59772E" w14:textId="77777777" w:rsidR="002F54C4" w:rsidRDefault="002F54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</w:p>
        </w:tc>
      </w:tr>
      <w:tr w:rsidR="002F54C4" w14:paraId="04F2BE47" w14:textId="77777777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D7F0B0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Good recovery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397503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2,629 (32%)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4AF5A4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3 (1.2%)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BE70AB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1 (0.2%)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F50CA9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4 (0.9%)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F3A69A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59 (14%)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4B61C6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2,562 (39%)</w:t>
            </w:r>
          </w:p>
        </w:tc>
      </w:tr>
      <w:tr w:rsidR="002F54C4" w14:paraId="71714B3E" w14:textId="77777777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7A58FF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Moderate disability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B5191C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2,773 (33%)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91255C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19 (7.7%)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52FA42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93 (16%)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57ACE4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101 (24%)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90647F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216 (51%)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6C226C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2,344 (35%)</w:t>
            </w:r>
          </w:p>
        </w:tc>
      </w:tr>
      <w:tr w:rsidR="002F54C4" w14:paraId="7A695666" w14:textId="77777777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608AB4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Severe disability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B5D48F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2,225 (27%)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A8627F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91 (37%)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D74F05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325 (55%)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FF4516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253 (59%)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0A47C3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57 (13%)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6FFDD4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1,499 (23%)</w:t>
            </w:r>
          </w:p>
        </w:tc>
      </w:tr>
      <w:tr w:rsidR="002F54C4" w14:paraId="5BD61666" w14:textId="77777777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248396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Dead/Vegetative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D8E723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671 (8.1%)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27F4CA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133 (54%)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E6E9BC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168 (29%)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A1B0E9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69 (16%)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0C856E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91 (22%)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679BF1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210 (3.2%)</w:t>
            </w:r>
          </w:p>
        </w:tc>
      </w:tr>
      <w:tr w:rsidR="002F54C4" w14:paraId="77E0874B" w14:textId="77777777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261ED6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rPr>
                <w:rFonts w:ascii="Helvetica" w:eastAsia="Helvetica" w:hAnsi="Helvetica" w:cs="Helvetica"/>
                <w:b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b/>
                <w:color w:val="000000"/>
                <w:sz w:val="16"/>
                <w:szCs w:val="16"/>
              </w:rPr>
              <w:t>OFI identified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79CD63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493 (5.9%)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C91A0B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18 (7.3%)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F8F1FD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62 (11%)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683029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72 (17%)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0C3FAD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30 (7.1%)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F3C52F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311 (4.7%)</w:t>
            </w:r>
          </w:p>
        </w:tc>
      </w:tr>
      <w:tr w:rsidR="002F54C4" w14:paraId="5CCC60E6" w14:textId="77777777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B345AC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rPr>
                <w:rFonts w:ascii="Helvetica" w:eastAsia="Helvetica" w:hAnsi="Helvetica" w:cs="Helvetica"/>
                <w:b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b/>
                <w:color w:val="000000"/>
                <w:sz w:val="16"/>
                <w:szCs w:val="16"/>
              </w:rPr>
              <w:t>OFI type, n (% cohort, % OFIs)‡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84DA63" w14:textId="77777777" w:rsidR="002F54C4" w:rsidRDefault="002F54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BAC808" w14:textId="77777777" w:rsidR="002F54C4" w:rsidRDefault="002F54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9899FF" w14:textId="77777777" w:rsidR="002F54C4" w:rsidRDefault="002F54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58A33A" w14:textId="77777777" w:rsidR="002F54C4" w:rsidRDefault="002F54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7ACEE0" w14:textId="77777777" w:rsidR="002F54C4" w:rsidRDefault="002F54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5F22F2" w14:textId="77777777" w:rsidR="002F54C4" w:rsidRDefault="002F54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</w:p>
        </w:tc>
      </w:tr>
      <w:tr w:rsidR="002F54C4" w14:paraId="19A84220" w14:textId="77777777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AE403C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lastRenderedPageBreak/>
              <w:t>Clinical judgement error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E2F624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174 (2.1%, 35.3%)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09B3B2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7 (2.8%, 38.9%)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3F8DBA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25 (4.3%, 40.3%)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2CFF27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30 (7.0%, 41.7%)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4521D5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12 (2.8%, 40.0%)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2FB7BB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100 (1.5%, 32.2%)</w:t>
            </w:r>
          </w:p>
        </w:tc>
      </w:tr>
      <w:tr w:rsidR="002F54C4" w14:paraId="56F59776" w14:textId="77777777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FD7A26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Delay in treatment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43EA4F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72 (0.9%, 14.6%)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809EC2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5 (2.0%, 27.8%)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574BF3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7 (1.2%, 11.3%)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096A17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9 (2.1%, 12.5%)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37D2C4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5 (1.2%, 16.7%)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9D7DF3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46 (0.7%, 14.8%)</w:t>
            </w:r>
          </w:p>
        </w:tc>
      </w:tr>
      <w:tr w:rsidR="002F54C4" w14:paraId="2772F29D" w14:textId="77777777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C06EF3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Inadequate protocols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6D1507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24 (0.3%, 4.9%)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CC8296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BA948C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2 (0.3%, 3.2%)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E1B9D1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7 (1.6%, 9.7%)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A2639D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D44BF5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15 (0.2%, 4.8%)</w:t>
            </w:r>
          </w:p>
        </w:tc>
      </w:tr>
      <w:tr w:rsidR="002F54C4" w14:paraId="0AF27033" w14:textId="77777777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D22734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Inadequate resources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37029B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111 (1.3%, 22.5%)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6BD2F2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2 (0.8%, 11.1%)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885133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13 (2.2%, 21.0%)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9FEFB6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14 (3.3%, 19.4%)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BBFF52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6 (1.4%, 20.0%)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3EBD57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76 (1.1%, 24.4%)</w:t>
            </w:r>
          </w:p>
        </w:tc>
      </w:tr>
      <w:tr w:rsidR="002F54C4" w14:paraId="37E8DE57" w14:textId="77777777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C713D8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Missed diagnosis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510B9B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70 (0.8%, 14.2%)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36ED62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2 (0.8%, 11.1%)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3DABA8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7 (1.2%, 11.3%)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EF2AD0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7 (1.6%, 9.7%)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4A6526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1 (0.2%, 3.3%)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1738C0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53 (0.8%, 17.0%)</w:t>
            </w:r>
          </w:p>
        </w:tc>
      </w:tr>
      <w:tr w:rsidR="002F54C4" w14:paraId="72AA6085" w14:textId="77777777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A6791B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Potentially preventable deaths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810848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42 (0.5%, 8.5%)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277538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2 (0.8%, 11.1%)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C8AEA0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8 (1.4%, 12.9%)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DFFC55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5 (1.2%, 6.9%)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DFF1F0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6 (1.4%, 20.0%)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5172B4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jc w:val="center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21 (0.3%, 6.8%)</w:t>
            </w:r>
          </w:p>
        </w:tc>
      </w:tr>
      <w:tr w:rsidR="002F54C4" w14:paraId="464AC184" w14:textId="77777777">
        <w:trPr>
          <w:jc w:val="center"/>
        </w:trPr>
        <w:tc>
          <w:tcPr>
            <w:tcW w:w="0" w:type="auto"/>
            <w:gridSpan w:val="7"/>
            <w:tcBorders>
              <w:top w:val="single" w:sz="8" w:space="0" w:color="000000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45B559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ascii="Helvetica" w:eastAsia="Helvetica" w:hAnsi="Helvetica" w:cs="Helvetica"/>
                <w:color w:val="000000"/>
                <w:sz w:val="14"/>
                <w:szCs w:val="14"/>
              </w:rPr>
            </w:pPr>
            <w:r>
              <w:rPr>
                <w:rFonts w:ascii="Helvetica" w:eastAsia="Helvetica" w:hAnsi="Helvetica" w:cs="Helvetica"/>
                <w:color w:val="000000"/>
                <w:sz w:val="14"/>
                <w:szCs w:val="14"/>
                <w:vertAlign w:val="superscript"/>
              </w:rPr>
              <w:t>1</w:t>
            </w:r>
            <w:r>
              <w:rPr>
                <w:rFonts w:ascii="Helvetica" w:eastAsia="Helvetica" w:hAnsi="Helvetica" w:cs="Helvetica"/>
                <w:color w:val="000000"/>
                <w:sz w:val="14"/>
                <w:szCs w:val="14"/>
              </w:rPr>
              <w:t>Median (Q1, Q3) for continuous; n (%) for categorical.</w:t>
            </w:r>
          </w:p>
        </w:tc>
      </w:tr>
      <w:tr w:rsidR="002F54C4" w14:paraId="2F9E51F6" w14:textId="77777777">
        <w:trPr>
          <w:jc w:val="center"/>
        </w:trPr>
        <w:tc>
          <w:tcPr>
            <w:tcW w:w="0" w:type="auto"/>
            <w:gridSpan w:val="7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EEC8E8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ascii="Helvetica" w:eastAsia="Helvetica" w:hAnsi="Helvetica" w:cs="Helvetica"/>
                <w:color w:val="000000"/>
                <w:sz w:val="14"/>
                <w:szCs w:val="14"/>
              </w:rPr>
            </w:pPr>
            <w:r>
              <w:rPr>
                <w:rFonts w:ascii="Helvetica" w:eastAsia="Helvetica" w:hAnsi="Helvetica" w:cs="Helvetica"/>
                <w:color w:val="000000"/>
                <w:sz w:val="14"/>
                <w:szCs w:val="14"/>
              </w:rPr>
              <w:t>§ Other action includes: chest drain, external fracture fixation, major fracture surgery, wound revision in OR, other procedure.</w:t>
            </w:r>
          </w:p>
        </w:tc>
      </w:tr>
      <w:tr w:rsidR="002F54C4" w14:paraId="0E74D8F1" w14:textId="77777777">
        <w:trPr>
          <w:jc w:val="center"/>
        </w:trPr>
        <w:tc>
          <w:tcPr>
            <w:tcW w:w="0" w:type="auto"/>
            <w:gridSpan w:val="7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BB107F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ascii="Helvetica" w:eastAsia="Helvetica" w:hAnsi="Helvetica" w:cs="Helvetica"/>
                <w:color w:val="000000"/>
                <w:sz w:val="14"/>
                <w:szCs w:val="14"/>
              </w:rPr>
            </w:pPr>
            <w:r>
              <w:rPr>
                <w:rFonts w:ascii="Helvetica" w:eastAsia="Helvetica" w:hAnsi="Helvetica" w:cs="Helvetica"/>
                <w:color w:val="000000"/>
                <w:sz w:val="14"/>
                <w:szCs w:val="14"/>
              </w:rPr>
              <w:t>† Cause of death: n (% of cohort, % of deaths in cohort).</w:t>
            </w:r>
          </w:p>
        </w:tc>
      </w:tr>
      <w:tr w:rsidR="002F54C4" w14:paraId="0166F350" w14:textId="77777777">
        <w:trPr>
          <w:jc w:val="center"/>
        </w:trPr>
        <w:tc>
          <w:tcPr>
            <w:tcW w:w="0" w:type="auto"/>
            <w:gridSpan w:val="7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B3523E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ascii="Helvetica" w:eastAsia="Helvetica" w:hAnsi="Helvetica" w:cs="Helvetica"/>
                <w:color w:val="000000"/>
                <w:sz w:val="14"/>
                <w:szCs w:val="14"/>
              </w:rPr>
            </w:pPr>
            <w:r>
              <w:rPr>
                <w:rFonts w:ascii="Helvetica" w:eastAsia="Helvetica" w:hAnsi="Helvetica" w:cs="Helvetica"/>
                <w:color w:val="000000"/>
                <w:sz w:val="14"/>
                <w:szCs w:val="14"/>
              </w:rPr>
              <w:t>‡ OFI type: n (% of cohort, % of OFIs in cohort).</w:t>
            </w:r>
          </w:p>
        </w:tc>
      </w:tr>
      <w:tr w:rsidR="002F54C4" w14:paraId="042AA9AF" w14:textId="77777777">
        <w:trPr>
          <w:jc w:val="center"/>
        </w:trPr>
        <w:tc>
          <w:tcPr>
            <w:tcW w:w="0" w:type="auto"/>
            <w:gridSpan w:val="7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90EEEB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ascii="Helvetica" w:eastAsia="Helvetica" w:hAnsi="Helvetica" w:cs="Helvetica"/>
                <w:color w:val="000000"/>
                <w:sz w:val="14"/>
                <w:szCs w:val="14"/>
              </w:rPr>
            </w:pPr>
            <w:r>
              <w:rPr>
                <w:rFonts w:ascii="Helvetica" w:eastAsia="Helvetica" w:hAnsi="Helvetica" w:cs="Helvetica"/>
                <w:color w:val="000000"/>
                <w:sz w:val="14"/>
                <w:szCs w:val="14"/>
              </w:rPr>
              <w:t>* GOS is assessed at discharge from the primary admitting hospital; 30-day mortality is ascertained independently. The two measures are not directly comparable, as patients discharged alive may die within 30 days.</w:t>
            </w:r>
          </w:p>
        </w:tc>
      </w:tr>
    </w:tbl>
    <w:p w14:paraId="3765D55E" w14:textId="77777777" w:rsidR="009D7863" w:rsidRDefault="009D7863">
      <w:pPr>
        <w:pStyle w:val="TableTitle"/>
        <w:rPr>
          <w:b/>
          <w:bCs/>
        </w:rPr>
      </w:pPr>
      <w:bookmarkStart w:id="2" w:name="opportunities-for-improvement"/>
      <w:bookmarkEnd w:id="1"/>
    </w:p>
    <w:p w14:paraId="09046A1B" w14:textId="77777777" w:rsidR="009D7863" w:rsidRDefault="009D7863">
      <w:pPr>
        <w:pStyle w:val="TableTitle"/>
        <w:rPr>
          <w:b/>
          <w:bCs/>
        </w:rPr>
      </w:pPr>
    </w:p>
    <w:p w14:paraId="5B3488B0" w14:textId="77777777" w:rsidR="009D7863" w:rsidRDefault="009D7863">
      <w:pPr>
        <w:pStyle w:val="TableTitle"/>
        <w:rPr>
          <w:b/>
          <w:bCs/>
        </w:rPr>
      </w:pPr>
    </w:p>
    <w:p w14:paraId="293C0D4F" w14:textId="77777777" w:rsidR="009D7863" w:rsidRDefault="009D7863">
      <w:pPr>
        <w:pStyle w:val="TableTitle"/>
        <w:rPr>
          <w:b/>
          <w:bCs/>
        </w:rPr>
      </w:pPr>
    </w:p>
    <w:p w14:paraId="498C4752" w14:textId="7FD75C7F" w:rsidR="002F54C4" w:rsidRDefault="00000000">
      <w:pPr>
        <w:pStyle w:val="TableTitle"/>
      </w:pPr>
      <w:r>
        <w:rPr>
          <w:b/>
          <w:bCs/>
        </w:rPr>
        <w:t>Table 2: OFI categories by TQIP cohort.</w:t>
      </w:r>
    </w:p>
    <w:tbl>
      <w:tblPr>
        <w:tblW w:w="5000" w:type="pct"/>
        <w:jc w:val="center"/>
        <w:tblLook w:val="0420" w:firstRow="1" w:lastRow="0" w:firstColumn="0" w:lastColumn="0" w:noHBand="0" w:noVBand="1"/>
      </w:tblPr>
      <w:tblGrid>
        <w:gridCol w:w="2594"/>
        <w:gridCol w:w="2199"/>
        <w:gridCol w:w="1682"/>
        <w:gridCol w:w="614"/>
        <w:gridCol w:w="980"/>
        <w:gridCol w:w="957"/>
      </w:tblGrid>
      <w:tr w:rsidR="002F54C4" w14:paraId="0B1F211D" w14:textId="77777777" w:rsidTr="009D7863">
        <w:trPr>
          <w:tblHeader/>
          <w:jc w:val="center"/>
        </w:trPr>
        <w:tc>
          <w:tcPr>
            <w:tcW w:w="0" w:type="auto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990376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ascii="Helvetica" w:eastAsia="Helvetica" w:hAnsi="Helvetica" w:cs="Helvetica"/>
                <w:b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b/>
                <w:color w:val="000000"/>
                <w:sz w:val="16"/>
                <w:szCs w:val="16"/>
              </w:rPr>
              <w:t>Cohort</w:t>
            </w:r>
          </w:p>
        </w:tc>
        <w:tc>
          <w:tcPr>
            <w:tcW w:w="0" w:type="auto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268434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ascii="Helvetica" w:eastAsia="Helvetica" w:hAnsi="Helvetica" w:cs="Helvetica"/>
                <w:b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b/>
                <w:color w:val="000000"/>
                <w:sz w:val="16"/>
                <w:szCs w:val="16"/>
              </w:rPr>
              <w:t>OFI category</w:t>
            </w:r>
          </w:p>
        </w:tc>
        <w:tc>
          <w:tcPr>
            <w:tcW w:w="0" w:type="auto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AAC3E4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ascii="Helvetica" w:eastAsia="Helvetica" w:hAnsi="Helvetica" w:cs="Helvetica"/>
                <w:b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b/>
                <w:color w:val="000000"/>
                <w:sz w:val="16"/>
                <w:szCs w:val="16"/>
              </w:rPr>
              <w:t>OFI Frequency</w:t>
            </w:r>
          </w:p>
        </w:tc>
        <w:tc>
          <w:tcPr>
            <w:tcW w:w="0" w:type="auto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29C530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ascii="Helvetica" w:eastAsia="Helvetica" w:hAnsi="Helvetica" w:cs="Helvetica"/>
                <w:b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b/>
                <w:color w:val="000000"/>
                <w:sz w:val="16"/>
                <w:szCs w:val="16"/>
              </w:rPr>
              <w:t>OR</w:t>
            </w:r>
          </w:p>
        </w:tc>
        <w:tc>
          <w:tcPr>
            <w:tcW w:w="0" w:type="auto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7EA797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ascii="Helvetica" w:eastAsia="Helvetica" w:hAnsi="Helvetica" w:cs="Helvetica"/>
                <w:b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b/>
                <w:color w:val="000000"/>
                <w:sz w:val="16"/>
                <w:szCs w:val="16"/>
              </w:rPr>
              <w:t>95% CI</w:t>
            </w:r>
          </w:p>
        </w:tc>
        <w:tc>
          <w:tcPr>
            <w:tcW w:w="0" w:type="auto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F02DF0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ascii="Helvetica" w:eastAsia="Helvetica" w:hAnsi="Helvetica" w:cs="Helvetica"/>
                <w:b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b/>
                <w:color w:val="000000"/>
                <w:sz w:val="16"/>
                <w:szCs w:val="16"/>
              </w:rPr>
              <w:t>p-value</w:t>
            </w:r>
          </w:p>
        </w:tc>
      </w:tr>
      <w:tr w:rsidR="002F54C4" w14:paraId="1FAD6722" w14:textId="77777777" w:rsidTr="009D7863">
        <w:trPr>
          <w:jc w:val="center"/>
        </w:trPr>
        <w:tc>
          <w:tcPr>
            <w:tcW w:w="0" w:type="auto"/>
            <w:vMerge w:val="restart"/>
            <w:tcBorders>
              <w:top w:val="single" w:sz="12" w:space="0" w:color="666666"/>
              <w:left w:val="none" w:sz="0" w:space="0" w:color="000000"/>
              <w:bottom w:val="single" w:sz="12" w:space="0" w:color="333333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460F9B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Blunt multisystem without TBI (n=427)</w:t>
            </w:r>
          </w:p>
        </w:tc>
        <w:tc>
          <w:tcPr>
            <w:tcW w:w="0" w:type="auto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D17E61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No OFI</w:t>
            </w:r>
          </w:p>
        </w:tc>
        <w:tc>
          <w:tcPr>
            <w:tcW w:w="0" w:type="auto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EA3D9B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354 / 7,788 (4.5%)</w:t>
            </w:r>
          </w:p>
        </w:tc>
        <w:tc>
          <w:tcPr>
            <w:tcW w:w="0" w:type="auto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4A5281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—</w:t>
            </w:r>
          </w:p>
        </w:tc>
        <w:tc>
          <w:tcPr>
            <w:tcW w:w="0" w:type="auto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4BE79F" w14:textId="77777777" w:rsidR="002F54C4" w:rsidRDefault="002F54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01808C" w14:textId="77777777" w:rsidR="002F54C4" w:rsidRDefault="002F54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</w:p>
        </w:tc>
      </w:tr>
      <w:tr w:rsidR="002F54C4" w14:paraId="15DB882D" w14:textId="77777777" w:rsidTr="009D7863">
        <w:trPr>
          <w:jc w:val="center"/>
        </w:trPr>
        <w:tc>
          <w:tcPr>
            <w:tcW w:w="0" w:type="auto"/>
            <w:vMerge/>
            <w:tcBorders>
              <w:top w:val="single" w:sz="12" w:space="0" w:color="333333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5A48E2" w14:textId="77777777" w:rsidR="002F54C4" w:rsidRDefault="002F54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AAF585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Clinical judgement error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99CCFA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30 / 174 (17.2%)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596E9B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5.33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F51DB5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3.50, 8.13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8163BA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rPr>
                <w:rFonts w:ascii="Helvetica" w:eastAsia="Helvetica" w:hAnsi="Helvetica" w:cs="Helvetica"/>
                <w:b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b/>
                <w:color w:val="000000"/>
                <w:sz w:val="16"/>
                <w:szCs w:val="16"/>
              </w:rPr>
              <w:t>&lt;0.001</w:t>
            </w:r>
          </w:p>
        </w:tc>
      </w:tr>
      <w:tr w:rsidR="002F54C4" w14:paraId="02045151" w14:textId="77777777" w:rsidTr="009D7863">
        <w:trPr>
          <w:jc w:val="center"/>
        </w:trPr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03E344" w14:textId="77777777" w:rsidR="002F54C4" w:rsidRDefault="002F54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327508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Delay in treatment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C078C4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9 / 72 (12.5%)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E5CE46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3.48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270975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1.69, 7.16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A27F8E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rPr>
                <w:rFonts w:ascii="Helvetica" w:eastAsia="Helvetica" w:hAnsi="Helvetica" w:cs="Helvetica"/>
                <w:b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b/>
                <w:color w:val="000000"/>
                <w:sz w:val="16"/>
                <w:szCs w:val="16"/>
              </w:rPr>
              <w:t>&lt;0.001</w:t>
            </w:r>
          </w:p>
        </w:tc>
      </w:tr>
      <w:tr w:rsidR="002F54C4" w14:paraId="640A59CC" w14:textId="77777777" w:rsidTr="009D7863">
        <w:trPr>
          <w:jc w:val="center"/>
        </w:trPr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B04519" w14:textId="77777777" w:rsidR="002F54C4" w:rsidRDefault="002F54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57C486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Inadequate protocols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1B1D92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7 / 24 (29.2%)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4A6285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7.34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B28B84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2.79, 17.5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9F22E4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rPr>
                <w:rFonts w:ascii="Helvetica" w:eastAsia="Helvetica" w:hAnsi="Helvetica" w:cs="Helvetica"/>
                <w:b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b/>
                <w:color w:val="000000"/>
                <w:sz w:val="16"/>
                <w:szCs w:val="16"/>
              </w:rPr>
              <w:t>&lt;0.001</w:t>
            </w:r>
          </w:p>
        </w:tc>
      </w:tr>
      <w:tr w:rsidR="002F54C4" w14:paraId="29F6CAF1" w14:textId="77777777" w:rsidTr="009D7863">
        <w:trPr>
          <w:jc w:val="center"/>
        </w:trPr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23C032" w14:textId="77777777" w:rsidR="002F54C4" w:rsidRDefault="002F54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913D3F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Inadequate resources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E74FC3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14 / 111 (12.6%)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EBB651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3.27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BE4765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1.83, 5.85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C5E534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rPr>
                <w:rFonts w:ascii="Helvetica" w:eastAsia="Helvetica" w:hAnsi="Helvetica" w:cs="Helvetica"/>
                <w:b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b/>
                <w:color w:val="000000"/>
                <w:sz w:val="16"/>
                <w:szCs w:val="16"/>
              </w:rPr>
              <w:t>&lt;0.001</w:t>
            </w:r>
          </w:p>
        </w:tc>
      </w:tr>
      <w:tr w:rsidR="002F54C4" w14:paraId="1573FD57" w14:textId="77777777" w:rsidTr="009D7863">
        <w:trPr>
          <w:jc w:val="center"/>
        </w:trPr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D44B3A" w14:textId="77777777" w:rsidR="002F54C4" w:rsidRDefault="002F54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56DB72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Missed diagnosis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2D6322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7 / 70 (10.0%)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40C41B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2.35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AFEE7C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1.06, 5.20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5D1178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rPr>
                <w:rFonts w:ascii="Helvetica" w:eastAsia="Helvetica" w:hAnsi="Helvetica" w:cs="Helvetica"/>
                <w:b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b/>
                <w:color w:val="000000"/>
                <w:sz w:val="16"/>
                <w:szCs w:val="16"/>
              </w:rPr>
              <w:t>0.035</w:t>
            </w:r>
          </w:p>
        </w:tc>
      </w:tr>
      <w:tr w:rsidR="002F54C4" w14:paraId="7790727B" w14:textId="77777777" w:rsidTr="009D7863">
        <w:trPr>
          <w:jc w:val="center"/>
        </w:trPr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12" w:space="0" w:color="333333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CAB6CB" w14:textId="77777777" w:rsidR="002F54C4" w:rsidRDefault="002F54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12" w:space="0" w:color="333333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D34877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Potentially preventable deaths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12" w:space="0" w:color="333333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8FB1FB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5 / 42 (11.9%)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12" w:space="0" w:color="333333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ABBF39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4.23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12" w:space="0" w:color="333333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D3F422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1.59, 11.29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12" w:space="0" w:color="333333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496ABC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rPr>
                <w:rFonts w:ascii="Helvetica" w:eastAsia="Helvetica" w:hAnsi="Helvetica" w:cs="Helvetica"/>
                <w:b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b/>
                <w:color w:val="000000"/>
                <w:sz w:val="16"/>
                <w:szCs w:val="16"/>
              </w:rPr>
              <w:t>0.004</w:t>
            </w:r>
          </w:p>
        </w:tc>
      </w:tr>
      <w:tr w:rsidR="002F54C4" w14:paraId="01A308C8" w14:textId="77777777" w:rsidTr="009D7863">
        <w:trPr>
          <w:jc w:val="center"/>
        </w:trPr>
        <w:tc>
          <w:tcPr>
            <w:tcW w:w="0" w:type="auto"/>
            <w:vMerge w:val="restart"/>
            <w:tcBorders>
              <w:top w:val="single" w:sz="12" w:space="0" w:color="333333"/>
              <w:left w:val="none" w:sz="0" w:space="0" w:color="000000"/>
              <w:bottom w:val="single" w:sz="12" w:space="0" w:color="333333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84BDC2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Blunt multisystem with TBI (n=587)</w:t>
            </w:r>
          </w:p>
        </w:tc>
        <w:tc>
          <w:tcPr>
            <w:tcW w:w="0" w:type="auto"/>
            <w:tcBorders>
              <w:top w:val="single" w:sz="12" w:space="0" w:color="333333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70BD07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No OFI</w:t>
            </w:r>
          </w:p>
        </w:tc>
        <w:tc>
          <w:tcPr>
            <w:tcW w:w="0" w:type="auto"/>
            <w:tcBorders>
              <w:top w:val="single" w:sz="12" w:space="0" w:color="333333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1091A1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521 / 7,788 (6.7%)</w:t>
            </w:r>
          </w:p>
        </w:tc>
        <w:tc>
          <w:tcPr>
            <w:tcW w:w="0" w:type="auto"/>
            <w:tcBorders>
              <w:top w:val="single" w:sz="12" w:space="0" w:color="333333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AFB065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—</w:t>
            </w:r>
          </w:p>
        </w:tc>
        <w:tc>
          <w:tcPr>
            <w:tcW w:w="0" w:type="auto"/>
            <w:tcBorders>
              <w:top w:val="single" w:sz="12" w:space="0" w:color="333333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0EE38A" w14:textId="77777777" w:rsidR="002F54C4" w:rsidRDefault="002F54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12" w:space="0" w:color="333333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3BFE98" w14:textId="77777777" w:rsidR="002F54C4" w:rsidRDefault="002F54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</w:p>
        </w:tc>
      </w:tr>
      <w:tr w:rsidR="002F54C4" w14:paraId="165389D0" w14:textId="77777777" w:rsidTr="009D7863">
        <w:trPr>
          <w:jc w:val="center"/>
        </w:trPr>
        <w:tc>
          <w:tcPr>
            <w:tcW w:w="0" w:type="auto"/>
            <w:vMerge/>
            <w:tcBorders>
              <w:top w:val="single" w:sz="12" w:space="0" w:color="333333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9481FF" w14:textId="77777777" w:rsidR="002F54C4" w:rsidRDefault="002F54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4C0D52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Clinical judgement error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A7E77F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25 / 174 (14.4%)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68AB68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3.02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849E70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1.93, 4.72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BED739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rPr>
                <w:rFonts w:ascii="Helvetica" w:eastAsia="Helvetica" w:hAnsi="Helvetica" w:cs="Helvetica"/>
                <w:b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b/>
                <w:color w:val="000000"/>
                <w:sz w:val="16"/>
                <w:szCs w:val="16"/>
              </w:rPr>
              <w:t>&lt;0.001</w:t>
            </w:r>
          </w:p>
        </w:tc>
      </w:tr>
      <w:tr w:rsidR="002F54C4" w14:paraId="421C1C73" w14:textId="77777777" w:rsidTr="009D7863">
        <w:trPr>
          <w:jc w:val="center"/>
        </w:trPr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DABDD1" w14:textId="77777777" w:rsidR="002F54C4" w:rsidRDefault="002F54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B0B8D0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Delay in treatment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AF051C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7 / 72 (9.7%)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64059F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1.84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3887BE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0.83, 4.09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BC5BD7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0.136</w:t>
            </w:r>
          </w:p>
        </w:tc>
      </w:tr>
      <w:tr w:rsidR="002F54C4" w14:paraId="17BD07E0" w14:textId="77777777" w:rsidTr="009D7863">
        <w:trPr>
          <w:jc w:val="center"/>
        </w:trPr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7C3D58" w14:textId="77777777" w:rsidR="002F54C4" w:rsidRDefault="002F54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4A4370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Inadequate resources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0A2429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13 / 111 (11.7%)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1A1821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2.07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1C7EA9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1.14, 3.75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33D69D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rPr>
                <w:rFonts w:ascii="Helvetica" w:eastAsia="Helvetica" w:hAnsi="Helvetica" w:cs="Helvetica"/>
                <w:b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b/>
                <w:color w:val="000000"/>
                <w:sz w:val="16"/>
                <w:szCs w:val="16"/>
              </w:rPr>
              <w:t>0.017</w:t>
            </w:r>
          </w:p>
        </w:tc>
      </w:tr>
      <w:tr w:rsidR="002F54C4" w14:paraId="75315642" w14:textId="77777777" w:rsidTr="009D7863">
        <w:trPr>
          <w:jc w:val="center"/>
        </w:trPr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E3D0C0" w14:textId="77777777" w:rsidR="002F54C4" w:rsidRDefault="002F54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CC2E51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Missed diagnosis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19A7BB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7 / 70 (10.0%)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445D4A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1.60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BBCE1A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0.72, 3.53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DE9CC8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0.249</w:t>
            </w:r>
          </w:p>
        </w:tc>
      </w:tr>
      <w:tr w:rsidR="002F54C4" w14:paraId="23F58540" w14:textId="77777777" w:rsidTr="009D7863">
        <w:trPr>
          <w:jc w:val="center"/>
        </w:trPr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12" w:space="0" w:color="333333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C70543" w14:textId="77777777" w:rsidR="002F54C4" w:rsidRDefault="002F54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12" w:space="0" w:color="333333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218260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Potentially preventable deaths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12" w:space="0" w:color="333333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938F12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8 / 42 (19.0%)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12" w:space="0" w:color="333333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E45DA9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4.60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12" w:space="0" w:color="333333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E9F81C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2.03, 10.44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12" w:space="0" w:color="333333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E00A3C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rPr>
                <w:rFonts w:ascii="Helvetica" w:eastAsia="Helvetica" w:hAnsi="Helvetica" w:cs="Helvetica"/>
                <w:b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b/>
                <w:color w:val="000000"/>
                <w:sz w:val="16"/>
                <w:szCs w:val="16"/>
              </w:rPr>
              <w:t>&lt;0.001</w:t>
            </w:r>
          </w:p>
        </w:tc>
      </w:tr>
      <w:tr w:rsidR="002F54C4" w14:paraId="01FC265A" w14:textId="77777777" w:rsidTr="009D7863">
        <w:trPr>
          <w:jc w:val="center"/>
        </w:trPr>
        <w:tc>
          <w:tcPr>
            <w:tcW w:w="0" w:type="auto"/>
            <w:vMerge w:val="restart"/>
            <w:tcBorders>
              <w:top w:val="single" w:sz="12" w:space="0" w:color="333333"/>
              <w:left w:val="none" w:sz="0" w:space="0" w:color="000000"/>
              <w:bottom w:val="single" w:sz="12" w:space="0" w:color="333333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05BFFE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Isolated severe TBI (n=246)</w:t>
            </w:r>
          </w:p>
        </w:tc>
        <w:tc>
          <w:tcPr>
            <w:tcW w:w="0" w:type="auto"/>
            <w:tcBorders>
              <w:top w:val="single" w:sz="12" w:space="0" w:color="333333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A341A7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No OFI</w:t>
            </w:r>
          </w:p>
        </w:tc>
        <w:tc>
          <w:tcPr>
            <w:tcW w:w="0" w:type="auto"/>
            <w:tcBorders>
              <w:top w:val="single" w:sz="12" w:space="0" w:color="333333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1A56FF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228 / 7,788 (2.9%)</w:t>
            </w:r>
          </w:p>
        </w:tc>
        <w:tc>
          <w:tcPr>
            <w:tcW w:w="0" w:type="auto"/>
            <w:tcBorders>
              <w:top w:val="single" w:sz="12" w:space="0" w:color="333333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883860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—</w:t>
            </w:r>
          </w:p>
        </w:tc>
        <w:tc>
          <w:tcPr>
            <w:tcW w:w="0" w:type="auto"/>
            <w:tcBorders>
              <w:top w:val="single" w:sz="12" w:space="0" w:color="333333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E781A5" w14:textId="77777777" w:rsidR="002F54C4" w:rsidRDefault="002F54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12" w:space="0" w:color="333333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657311" w14:textId="77777777" w:rsidR="002F54C4" w:rsidRDefault="002F54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</w:p>
        </w:tc>
      </w:tr>
      <w:tr w:rsidR="002F54C4" w14:paraId="55F342DC" w14:textId="77777777" w:rsidTr="009D7863">
        <w:trPr>
          <w:jc w:val="center"/>
        </w:trPr>
        <w:tc>
          <w:tcPr>
            <w:tcW w:w="0" w:type="auto"/>
            <w:vMerge/>
            <w:tcBorders>
              <w:top w:val="single" w:sz="12" w:space="0" w:color="333333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57EFA3" w14:textId="77777777" w:rsidR="002F54C4" w:rsidRDefault="002F54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9108BF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Clinical judgement error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0971A4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7 / 174 (4.0%)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59436B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1.93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7C4B79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0.89, 4.20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680E23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0.097</w:t>
            </w:r>
          </w:p>
        </w:tc>
      </w:tr>
      <w:tr w:rsidR="002F54C4" w14:paraId="70440E42" w14:textId="77777777" w:rsidTr="009D7863">
        <w:trPr>
          <w:jc w:val="center"/>
        </w:trPr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58CC5C" w14:textId="77777777" w:rsidR="002F54C4" w:rsidRDefault="002F54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A4C87B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Delay in treatment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ABCF41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5 / 72 (6.9%)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3ACFC6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3.00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41ACA1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1.18, 7.62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888430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rPr>
                <w:rFonts w:ascii="Helvetica" w:eastAsia="Helvetica" w:hAnsi="Helvetica" w:cs="Helvetica"/>
                <w:b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b/>
                <w:color w:val="000000"/>
                <w:sz w:val="16"/>
                <w:szCs w:val="16"/>
              </w:rPr>
              <w:t>0.021</w:t>
            </w:r>
          </w:p>
        </w:tc>
      </w:tr>
      <w:tr w:rsidR="002F54C4" w14:paraId="260450D1" w14:textId="77777777" w:rsidTr="009D7863">
        <w:trPr>
          <w:jc w:val="center"/>
        </w:trPr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E3FE99" w14:textId="77777777" w:rsidR="002F54C4" w:rsidRDefault="002F54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AB20E7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Inadequate resources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1A185A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2 / 111 (1.8%)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253E1D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0.73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CCBD78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0.18, 2.97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8D83C1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0.656</w:t>
            </w:r>
          </w:p>
        </w:tc>
      </w:tr>
      <w:tr w:rsidR="002F54C4" w14:paraId="4D5615C5" w14:textId="77777777" w:rsidTr="009D7863">
        <w:trPr>
          <w:jc w:val="center"/>
        </w:trPr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9D2344" w14:textId="77777777" w:rsidR="002F54C4" w:rsidRDefault="002F54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5EAA2A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Missed diagnosis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B2EB84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2 / 70 (2.9%)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021420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1.04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CADC21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0.25, 4.30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6BA2EC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0.955</w:t>
            </w:r>
          </w:p>
        </w:tc>
      </w:tr>
      <w:tr w:rsidR="002F54C4" w14:paraId="07FAA688" w14:textId="77777777" w:rsidTr="009D7863">
        <w:trPr>
          <w:jc w:val="center"/>
        </w:trPr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12" w:space="0" w:color="333333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8DFED4" w14:textId="77777777" w:rsidR="002F54C4" w:rsidRDefault="002F54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12" w:space="0" w:color="333333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760A2C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Potentially preventable deaths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12" w:space="0" w:color="333333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70F6E7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2 / 42 (4.8%)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12" w:space="0" w:color="333333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BCC93F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2.63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12" w:space="0" w:color="333333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813ABF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0.61, 11.28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12" w:space="0" w:color="333333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B78874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0.193</w:t>
            </w:r>
          </w:p>
        </w:tc>
      </w:tr>
      <w:tr w:rsidR="002F54C4" w14:paraId="02AF0D63" w14:textId="77777777" w:rsidTr="009D7863">
        <w:trPr>
          <w:jc w:val="center"/>
        </w:trPr>
        <w:tc>
          <w:tcPr>
            <w:tcW w:w="0" w:type="auto"/>
            <w:vMerge w:val="restart"/>
            <w:tcBorders>
              <w:top w:val="single" w:sz="12" w:space="0" w:color="333333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D36176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Penetrating truncal injury (n=423)</w:t>
            </w:r>
          </w:p>
        </w:tc>
        <w:tc>
          <w:tcPr>
            <w:tcW w:w="0" w:type="auto"/>
            <w:tcBorders>
              <w:top w:val="single" w:sz="12" w:space="0" w:color="333333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4EAC3C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No OFI</w:t>
            </w:r>
          </w:p>
        </w:tc>
        <w:tc>
          <w:tcPr>
            <w:tcW w:w="0" w:type="auto"/>
            <w:tcBorders>
              <w:top w:val="single" w:sz="12" w:space="0" w:color="333333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322E66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393 / 7,788 (5.0%)</w:t>
            </w:r>
          </w:p>
        </w:tc>
        <w:tc>
          <w:tcPr>
            <w:tcW w:w="0" w:type="auto"/>
            <w:tcBorders>
              <w:top w:val="single" w:sz="12" w:space="0" w:color="333333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2AC629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—</w:t>
            </w:r>
          </w:p>
        </w:tc>
        <w:tc>
          <w:tcPr>
            <w:tcW w:w="0" w:type="auto"/>
            <w:tcBorders>
              <w:top w:val="single" w:sz="12" w:space="0" w:color="333333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00FB32" w14:textId="77777777" w:rsidR="002F54C4" w:rsidRDefault="002F54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12" w:space="0" w:color="333333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B18103" w14:textId="77777777" w:rsidR="002F54C4" w:rsidRDefault="002F54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</w:p>
        </w:tc>
      </w:tr>
      <w:tr w:rsidR="002F54C4" w14:paraId="71CCFA82" w14:textId="77777777" w:rsidTr="009D7863">
        <w:trPr>
          <w:jc w:val="center"/>
        </w:trPr>
        <w:tc>
          <w:tcPr>
            <w:tcW w:w="0" w:type="auto"/>
            <w:vMerge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A13269" w14:textId="77777777" w:rsidR="002F54C4" w:rsidRDefault="002F54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179667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Clinical judgement error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F1B700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12 / 174 (6.9%)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063CB6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1.92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53F76B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1.05, 3.53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47B3E3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rPr>
                <w:rFonts w:ascii="Helvetica" w:eastAsia="Helvetica" w:hAnsi="Helvetica" w:cs="Helvetica"/>
                <w:b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b/>
                <w:color w:val="000000"/>
                <w:sz w:val="16"/>
                <w:szCs w:val="16"/>
              </w:rPr>
              <w:t>0.035</w:t>
            </w:r>
          </w:p>
        </w:tc>
      </w:tr>
      <w:tr w:rsidR="002F54C4" w14:paraId="4EFE9BBD" w14:textId="77777777" w:rsidTr="009D7863">
        <w:trPr>
          <w:jc w:val="center"/>
        </w:trPr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B32E8F" w14:textId="77777777" w:rsidR="002F54C4" w:rsidRDefault="002F54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0DFBFD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Delay in treatment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890328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5 / 72 (6.9%)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4B053F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1.74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153B6B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0.69, 4.40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95698A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0.242</w:t>
            </w:r>
          </w:p>
        </w:tc>
      </w:tr>
      <w:tr w:rsidR="002F54C4" w14:paraId="599FD884" w14:textId="77777777" w:rsidTr="009D7863">
        <w:trPr>
          <w:jc w:val="center"/>
        </w:trPr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A97BE0" w14:textId="77777777" w:rsidR="002F54C4" w:rsidRDefault="002F54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020E87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Inadequate resources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F415D4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6 / 111 (5.4%)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F6361E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1.26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86D70B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0.55, 2.92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F4990A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0.583</w:t>
            </w:r>
          </w:p>
        </w:tc>
      </w:tr>
      <w:tr w:rsidR="002F54C4" w14:paraId="1FC4DD84" w14:textId="77777777" w:rsidTr="009D7863">
        <w:trPr>
          <w:jc w:val="center"/>
        </w:trPr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422F85" w14:textId="77777777" w:rsidR="002F54C4" w:rsidRDefault="002F54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25ECEA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Missed diagnosis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FEA08D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1 / 70 (1.4%)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622F5D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0.30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C00396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0.04, 2.19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56749F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0.236</w:t>
            </w:r>
          </w:p>
        </w:tc>
      </w:tr>
      <w:tr w:rsidR="002F54C4" w14:paraId="4ACC9C04" w14:textId="77777777" w:rsidTr="009D7863">
        <w:trPr>
          <w:jc w:val="center"/>
        </w:trPr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72DE0E" w14:textId="77777777" w:rsidR="002F54C4" w:rsidRDefault="002F54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BD9566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Potentially preventable deaths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1973D9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6 / 42 (14.3%)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7E272B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4.57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B18692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color w:val="000000"/>
                <w:sz w:val="16"/>
                <w:szCs w:val="16"/>
              </w:rPr>
              <w:t>1.84, 11.40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8462BC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40" w:lineRule="auto"/>
              <w:ind w:left="40" w:right="40"/>
              <w:rPr>
                <w:rFonts w:ascii="Helvetica" w:eastAsia="Helvetica" w:hAnsi="Helvetica" w:cs="Helvetica"/>
                <w:b/>
                <w:color w:val="000000"/>
                <w:sz w:val="16"/>
                <w:szCs w:val="16"/>
              </w:rPr>
            </w:pPr>
            <w:r>
              <w:rPr>
                <w:rFonts w:ascii="Helvetica" w:eastAsia="Helvetica" w:hAnsi="Helvetica" w:cs="Helvetica"/>
                <w:b/>
                <w:color w:val="000000"/>
                <w:sz w:val="16"/>
                <w:szCs w:val="16"/>
              </w:rPr>
              <w:t>0.001</w:t>
            </w:r>
          </w:p>
        </w:tc>
      </w:tr>
      <w:tr w:rsidR="002F54C4" w14:paraId="1AB45F5F" w14:textId="77777777" w:rsidTr="009D7863">
        <w:trPr>
          <w:jc w:val="center"/>
        </w:trPr>
        <w:tc>
          <w:tcPr>
            <w:tcW w:w="0" w:type="auto"/>
            <w:gridSpan w:val="6"/>
            <w:tcBorders>
              <w:top w:val="single" w:sz="12" w:space="0" w:color="666666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8A1780" w14:textId="77777777" w:rsidR="002F54C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40" w:lineRule="auto"/>
              <w:ind w:left="100" w:right="100"/>
              <w:rPr>
                <w:rFonts w:ascii="Helvetica" w:eastAsia="Helvetica" w:hAnsi="Helvetica" w:cs="Helvetica"/>
                <w:color w:val="000000"/>
                <w:sz w:val="14"/>
                <w:szCs w:val="14"/>
              </w:rPr>
            </w:pPr>
            <w:r>
              <w:rPr>
                <w:rFonts w:ascii="Helvetica" w:eastAsia="Helvetica" w:hAnsi="Helvetica" w:cs="Helvetica"/>
                <w:color w:val="000000"/>
                <w:sz w:val="14"/>
                <w:szCs w:val="14"/>
              </w:rPr>
              <w:t>Odds ratios relative to the non-TQIP reference cohort. Bold indicates p &lt; 0.05. OFI Frequency: n / N (%), where N is the total count of that OFI category across all cohorts. Multinomial logistic regression for all categories except Inadequate protocols (binomial; only present in two cohorts). Other errors excluded.</w:t>
            </w:r>
          </w:p>
        </w:tc>
      </w:tr>
    </w:tbl>
    <w:p w14:paraId="2F6D1044" w14:textId="56B59803" w:rsidR="002F54C4" w:rsidRDefault="002F54C4">
      <w:pPr>
        <w:pStyle w:val="Bibliography1"/>
      </w:pPr>
      <w:bookmarkStart w:id="3" w:name="references"/>
      <w:bookmarkStart w:id="4" w:name="refs"/>
      <w:bookmarkStart w:id="5" w:name="ref-Evans2009"/>
      <w:bookmarkEnd w:id="0"/>
      <w:bookmarkEnd w:id="2"/>
      <w:bookmarkEnd w:id="3"/>
      <w:bookmarkEnd w:id="4"/>
      <w:bookmarkEnd w:id="5"/>
    </w:p>
    <w:sectPr w:rsidR="002F54C4" w:rsidSect="00034616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000A990"/>
    <w:multiLevelType w:val="multilevel"/>
    <w:tmpl w:val="8FBE15C4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" w16cid:durableId="1867676032">
    <w:abstractNumId w:val="8"/>
  </w:num>
  <w:num w:numId="2" w16cid:durableId="1449394184">
    <w:abstractNumId w:val="6"/>
  </w:num>
  <w:num w:numId="3" w16cid:durableId="1169254171">
    <w:abstractNumId w:val="5"/>
  </w:num>
  <w:num w:numId="4" w16cid:durableId="1193031538">
    <w:abstractNumId w:val="4"/>
  </w:num>
  <w:num w:numId="5" w16cid:durableId="95952366">
    <w:abstractNumId w:val="7"/>
  </w:num>
  <w:num w:numId="6" w16cid:durableId="588926282">
    <w:abstractNumId w:val="3"/>
  </w:num>
  <w:num w:numId="7" w16cid:durableId="434638026">
    <w:abstractNumId w:val="2"/>
  </w:num>
  <w:num w:numId="8" w16cid:durableId="563876359">
    <w:abstractNumId w:val="1"/>
  </w:num>
  <w:num w:numId="9" w16cid:durableId="1827554525">
    <w:abstractNumId w:val="0"/>
  </w:num>
  <w:num w:numId="10" w16cid:durableId="177905690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0153F"/>
    <w:rsid w:val="0015074B"/>
    <w:rsid w:val="0029639D"/>
    <w:rsid w:val="002F54C4"/>
    <w:rsid w:val="00326F90"/>
    <w:rsid w:val="009D7863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EEC1123"/>
  <w15:docId w15:val="{1F363423-A11D-43B5-B526-2B41D8433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480" w:line="480" w:lineRule="auto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40" w:after="12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20"/>
      <w:outlineLvl w:val="2"/>
    </w:pPr>
    <w:rPr>
      <w:rFonts w:asciiTheme="majorHAnsi" w:eastAsiaTheme="majorEastAsia" w:hAnsiTheme="majorHAnsi" w:cstheme="majorBidi"/>
      <w:b/>
      <w:bCs/>
      <w:i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240"/>
      <w:contextualSpacing/>
    </w:pPr>
    <w:rPr>
      <w:rFonts w:asciiTheme="majorHAnsi" w:eastAsiaTheme="majorEastAsia" w:hAnsiTheme="majorHAnsi" w:cstheme="majorBidi"/>
      <w:b/>
      <w:color w:val="17365D" w:themeColor="text2" w:themeShade="BF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8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after="0" w:line="240" w:lineRule="auto"/>
    </w:pPr>
    <w:rPr>
      <w:b/>
      <w:bCs/>
      <w:i/>
      <w:color w:val="4F81BD" w:themeColor="accent1"/>
      <w:sz w:val="20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Bibliography1">
    <w:name w:val="Bibliography1"/>
    <w:basedOn w:val="Normal"/>
    <w:pPr>
      <w:spacing w:after="0"/>
    </w:pPr>
  </w:style>
  <w:style w:type="paragraph" w:customStyle="1" w:styleId="TableTitle">
    <w:name w:val="Table Title"/>
    <w:basedOn w:val="Normal"/>
    <w:pPr>
      <w:keepNext/>
      <w:spacing w:after="0" w:line="240" w:lineRule="auto"/>
    </w:pPr>
  </w:style>
  <w:style w:type="paragraph" w:customStyle="1" w:styleId="FigureNote">
    <w:name w:val="Figure Note"/>
    <w:basedOn w:val="Normal"/>
    <w:pPr>
      <w:spacing w:line="240" w:lineRule="auto"/>
    </w:pPr>
  </w:style>
  <w:style w:type="paragraph" w:customStyle="1" w:styleId="SourceCode">
    <w:name w:val="Source Code"/>
    <w:basedOn w:val="Normal"/>
    <w:pPr>
      <w:shd w:val="clear" w:color="auto" w:fill="F1F3F5"/>
      <w:wordWrap w:val="0"/>
    </w:pPr>
  </w:style>
  <w:style w:type="character" w:customStyle="1" w:styleId="KeywordTok">
    <w:name w:val="KeywordTok"/>
    <w:rPr>
      <w:b/>
      <w:color w:val="003B4F"/>
      <w:shd w:val="clear" w:color="auto" w:fill="F1F3F5"/>
    </w:rPr>
  </w:style>
  <w:style w:type="character" w:customStyle="1" w:styleId="DataTypeTok">
    <w:name w:val="DataTypeTok"/>
    <w:rPr>
      <w:color w:val="AD0000"/>
      <w:shd w:val="clear" w:color="auto" w:fill="F1F3F5"/>
    </w:rPr>
  </w:style>
  <w:style w:type="character" w:customStyle="1" w:styleId="DecValTok">
    <w:name w:val="DecValTok"/>
    <w:rPr>
      <w:color w:val="AD0000"/>
      <w:shd w:val="clear" w:color="auto" w:fill="F1F3F5"/>
    </w:rPr>
  </w:style>
  <w:style w:type="character" w:customStyle="1" w:styleId="BaseNTok">
    <w:name w:val="BaseNTok"/>
    <w:rPr>
      <w:color w:val="AD0000"/>
      <w:shd w:val="clear" w:color="auto" w:fill="F1F3F5"/>
    </w:rPr>
  </w:style>
  <w:style w:type="character" w:customStyle="1" w:styleId="FloatTok">
    <w:name w:val="FloatTok"/>
    <w:rPr>
      <w:color w:val="AD0000"/>
      <w:shd w:val="clear" w:color="auto" w:fill="F1F3F5"/>
    </w:rPr>
  </w:style>
  <w:style w:type="character" w:customStyle="1" w:styleId="ConstantTok">
    <w:name w:val="ConstantTok"/>
    <w:rPr>
      <w:color w:val="8F5902"/>
      <w:shd w:val="clear" w:color="auto" w:fill="F1F3F5"/>
    </w:rPr>
  </w:style>
  <w:style w:type="character" w:customStyle="1" w:styleId="CharTok">
    <w:name w:val="CharTok"/>
    <w:rPr>
      <w:color w:val="20794D"/>
      <w:shd w:val="clear" w:color="auto" w:fill="F1F3F5"/>
    </w:rPr>
  </w:style>
  <w:style w:type="character" w:customStyle="1" w:styleId="SpecialCharTok">
    <w:name w:val="SpecialCharTok"/>
    <w:rPr>
      <w:color w:val="5E5E5E"/>
      <w:shd w:val="clear" w:color="auto" w:fill="F1F3F5"/>
    </w:rPr>
  </w:style>
  <w:style w:type="character" w:customStyle="1" w:styleId="StringTok">
    <w:name w:val="StringTok"/>
    <w:rPr>
      <w:color w:val="20794D"/>
      <w:shd w:val="clear" w:color="auto" w:fill="F1F3F5"/>
    </w:rPr>
  </w:style>
  <w:style w:type="character" w:customStyle="1" w:styleId="VerbatimStringTok">
    <w:name w:val="VerbatimStringTok"/>
    <w:rPr>
      <w:color w:val="20794D"/>
      <w:shd w:val="clear" w:color="auto" w:fill="F1F3F5"/>
    </w:rPr>
  </w:style>
  <w:style w:type="character" w:customStyle="1" w:styleId="SpecialStringTok">
    <w:name w:val="SpecialStringTok"/>
    <w:rPr>
      <w:color w:val="20794D"/>
      <w:shd w:val="clear" w:color="auto" w:fill="F1F3F5"/>
    </w:rPr>
  </w:style>
  <w:style w:type="character" w:customStyle="1" w:styleId="ImportTok">
    <w:name w:val="ImportTok"/>
    <w:rPr>
      <w:color w:val="00769E"/>
      <w:shd w:val="clear" w:color="auto" w:fill="F1F3F5"/>
    </w:rPr>
  </w:style>
  <w:style w:type="character" w:customStyle="1" w:styleId="CommentTok">
    <w:name w:val="CommentTok"/>
    <w:rPr>
      <w:color w:val="5E5E5E"/>
      <w:shd w:val="clear" w:color="auto" w:fill="F1F3F5"/>
    </w:rPr>
  </w:style>
  <w:style w:type="character" w:customStyle="1" w:styleId="DocumentationTok">
    <w:name w:val="DocumentationTok"/>
    <w:rPr>
      <w:i/>
      <w:color w:val="5E5E5E"/>
      <w:shd w:val="clear" w:color="auto" w:fill="F1F3F5"/>
    </w:rPr>
  </w:style>
  <w:style w:type="character" w:customStyle="1" w:styleId="AnnotationTok">
    <w:name w:val="AnnotationTok"/>
    <w:rPr>
      <w:color w:val="5E5E5E"/>
      <w:shd w:val="clear" w:color="auto" w:fill="F1F3F5"/>
    </w:rPr>
  </w:style>
  <w:style w:type="character" w:customStyle="1" w:styleId="CommentVarTok">
    <w:name w:val="CommentVarTok"/>
    <w:rPr>
      <w:i/>
      <w:color w:val="5E5E5E"/>
      <w:shd w:val="clear" w:color="auto" w:fill="F1F3F5"/>
    </w:rPr>
  </w:style>
  <w:style w:type="character" w:customStyle="1" w:styleId="OtherTok">
    <w:name w:val="OtherTok"/>
    <w:rPr>
      <w:color w:val="003B4F"/>
      <w:shd w:val="clear" w:color="auto" w:fill="F1F3F5"/>
    </w:rPr>
  </w:style>
  <w:style w:type="character" w:customStyle="1" w:styleId="FunctionTok">
    <w:name w:val="FunctionTok"/>
    <w:rPr>
      <w:color w:val="4758AB"/>
      <w:shd w:val="clear" w:color="auto" w:fill="F1F3F5"/>
    </w:rPr>
  </w:style>
  <w:style w:type="character" w:customStyle="1" w:styleId="VariableTok">
    <w:name w:val="VariableTok"/>
    <w:rPr>
      <w:color w:val="111111"/>
      <w:shd w:val="clear" w:color="auto" w:fill="F1F3F5"/>
    </w:rPr>
  </w:style>
  <w:style w:type="character" w:customStyle="1" w:styleId="ControlFlowTok">
    <w:name w:val="ControlFlowTok"/>
    <w:rPr>
      <w:b/>
      <w:color w:val="003B4F"/>
      <w:shd w:val="clear" w:color="auto" w:fill="F1F3F5"/>
    </w:rPr>
  </w:style>
  <w:style w:type="character" w:customStyle="1" w:styleId="OperatorTok">
    <w:name w:val="OperatorTok"/>
    <w:rPr>
      <w:color w:val="5E5E5E"/>
      <w:shd w:val="clear" w:color="auto" w:fill="F1F3F5"/>
    </w:rPr>
  </w:style>
  <w:style w:type="character" w:customStyle="1" w:styleId="BuiltInTok">
    <w:name w:val="BuiltInTok"/>
    <w:rPr>
      <w:color w:val="003B4F"/>
      <w:shd w:val="clear" w:color="auto" w:fill="F1F3F5"/>
    </w:rPr>
  </w:style>
  <w:style w:type="character" w:customStyle="1" w:styleId="ExtensionTok">
    <w:name w:val="ExtensionTok"/>
    <w:rPr>
      <w:color w:val="003B4F"/>
      <w:shd w:val="clear" w:color="auto" w:fill="F1F3F5"/>
    </w:rPr>
  </w:style>
  <w:style w:type="character" w:customStyle="1" w:styleId="PreprocessorTok">
    <w:name w:val="PreprocessorTok"/>
    <w:rPr>
      <w:color w:val="AD0000"/>
      <w:shd w:val="clear" w:color="auto" w:fill="F1F3F5"/>
    </w:rPr>
  </w:style>
  <w:style w:type="character" w:customStyle="1" w:styleId="AttributeTok">
    <w:name w:val="AttributeTok"/>
    <w:rPr>
      <w:color w:val="657422"/>
      <w:shd w:val="clear" w:color="auto" w:fill="F1F3F5"/>
    </w:rPr>
  </w:style>
  <w:style w:type="character" w:customStyle="1" w:styleId="RegionMarkerTok">
    <w:name w:val="RegionMarkerTok"/>
    <w:rPr>
      <w:color w:val="003B4F"/>
      <w:shd w:val="clear" w:color="auto" w:fill="F1F3F5"/>
    </w:rPr>
  </w:style>
  <w:style w:type="character" w:customStyle="1" w:styleId="InformationTok">
    <w:name w:val="InformationTok"/>
    <w:rPr>
      <w:color w:val="5E5E5E"/>
      <w:shd w:val="clear" w:color="auto" w:fill="F1F3F5"/>
    </w:rPr>
  </w:style>
  <w:style w:type="character" w:customStyle="1" w:styleId="WarningTok">
    <w:name w:val="WarningTok"/>
    <w:rPr>
      <w:i/>
      <w:color w:val="5E5E5E"/>
      <w:shd w:val="clear" w:color="auto" w:fill="F1F3F5"/>
    </w:rPr>
  </w:style>
  <w:style w:type="character" w:customStyle="1" w:styleId="AlertTok">
    <w:name w:val="AlertTok"/>
    <w:rPr>
      <w:color w:val="AD0000"/>
      <w:shd w:val="clear" w:color="auto" w:fill="F1F3F5"/>
    </w:rPr>
  </w:style>
  <w:style w:type="character" w:customStyle="1" w:styleId="ErrorTok">
    <w:name w:val="ErrorTok"/>
    <w:rPr>
      <w:color w:val="AD0000"/>
      <w:shd w:val="clear" w:color="auto" w:fill="F1F3F5"/>
    </w:rPr>
  </w:style>
  <w:style w:type="character" w:customStyle="1" w:styleId="NormalTok">
    <w:name w:val="NormalTok"/>
    <w:rPr>
      <w:color w:val="003B4F"/>
      <w:shd w:val="clear" w:color="auto" w:fill="F1F3F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971</Words>
  <Characters>5540</Characters>
  <Application>Microsoft Office Word</Application>
  <DocSecurity>0</DocSecurity>
  <Lines>46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6499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Clinical outcomes and opportunities for improvement across modified trauma quality improvement cohorts: a registry-based cohort study</dc:title>
  <dc:creator/>
  <cp:keywords/>
  <cp:lastModifiedBy>Bhushan Tandale</cp:lastModifiedBy>
  <cp:revision>2</cp:revision>
  <dcterms:created xsi:type="dcterms:W3CDTF">2026-05-28T21:01:00Z</dcterms:created>
  <dcterms:modified xsi:type="dcterms:W3CDTF">2026-06-11T15:26:00Z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iblio-config">
    <vt:lpwstr>True</vt:lpwstr>
  </property>
  <property fmtid="{D5CDD505-2E9C-101B-9397-08002B2CF9AE}" pid="3" name="bibliography">
    <vt:lpwstr>references.bib</vt:lpwstr>
  </property>
  <property fmtid="{D5CDD505-2E9C-101B-9397-08002B2CF9AE}" pid="4" name="csl">
    <vt:lpwstr>vancouver.csl</vt:lpwstr>
  </property>
  <property fmtid="{D5CDD505-2E9C-101B-9397-08002B2CF9AE}" pid="5" name="execute">
    <vt:lpwstr/>
  </property>
  <property fmtid="{D5CDD505-2E9C-101B-9397-08002B2CF9AE}" pid="6" name="header-includes">
    <vt:lpwstr/>
  </property>
  <property fmtid="{D5CDD505-2E9C-101B-9397-08002B2CF9AE}" pid="7" name="include-after">
    <vt:lpwstr/>
  </property>
  <property fmtid="{D5CDD505-2E9C-101B-9397-08002B2CF9AE}" pid="8" name="include-before">
    <vt:lpwstr/>
  </property>
  <property fmtid="{D5CDD505-2E9C-101B-9397-08002B2CF9AE}" pid="9" name="labels">
    <vt:lpwstr/>
  </property>
  <property fmtid="{D5CDD505-2E9C-101B-9397-08002B2CF9AE}" pid="10" name="toc-title">
    <vt:lpwstr>Table of contents</vt:lpwstr>
  </property>
</Properties>
</file>