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BC416" w14:textId="77777777" w:rsidR="00760895" w:rsidRDefault="00000000">
      <w:pPr>
        <w:pStyle w:val="Title"/>
      </w:pPr>
      <w:r>
        <w:t>Supplementary material</w:t>
      </w:r>
    </w:p>
    <w:p w14:paraId="7917BE05" w14:textId="77777777" w:rsidR="00760895" w:rsidRPr="00F86F64" w:rsidRDefault="00000000">
      <w:pPr>
        <w:pStyle w:val="BodyText"/>
        <w:rPr>
          <w:sz w:val="32"/>
          <w:szCs w:val="32"/>
        </w:rPr>
      </w:pPr>
      <w:r w:rsidRPr="00F86F64">
        <w:rPr>
          <w:b/>
          <w:bCs/>
          <w:sz w:val="32"/>
          <w:szCs w:val="32"/>
        </w:rPr>
        <w:t>Clinical outcomes and opportunities for improvement across modified trauma quality improvement cohorts: a registry-based cohort study</w:t>
      </w:r>
    </w:p>
    <w:p w14:paraId="1EE1B34A" w14:textId="77777777" w:rsidR="00760895" w:rsidRPr="00F86F64" w:rsidRDefault="00000000">
      <w:pPr>
        <w:pStyle w:val="BodyText"/>
        <w:rPr>
          <w:lang w:val="sv-SE"/>
        </w:rPr>
      </w:pPr>
      <w:r w:rsidRPr="00F86F64">
        <w:rPr>
          <w:lang w:val="sv-SE"/>
        </w:rPr>
        <w:t>Jonatan Attergrim</w:t>
      </w:r>
      <w:r w:rsidRPr="00F86F64">
        <w:rPr>
          <w:vertAlign w:val="superscript"/>
          <w:lang w:val="sv-SE"/>
        </w:rPr>
        <w:t>1,2</w:t>
      </w:r>
      <w:r w:rsidRPr="00F86F64">
        <w:rPr>
          <w:lang w:val="sv-SE"/>
        </w:rPr>
        <w:t>, Lovisa Strömmer</w:t>
      </w:r>
      <w:r w:rsidRPr="00F86F64">
        <w:rPr>
          <w:vertAlign w:val="superscript"/>
          <w:lang w:val="sv-SE"/>
        </w:rPr>
        <w:t>1,3</w:t>
      </w:r>
      <w:r w:rsidRPr="00F86F64">
        <w:rPr>
          <w:lang w:val="sv-SE"/>
        </w:rPr>
        <w:t>, Olof Brattström</w:t>
      </w:r>
      <w:r w:rsidRPr="00F86F64">
        <w:rPr>
          <w:vertAlign w:val="superscript"/>
          <w:lang w:val="sv-SE"/>
        </w:rPr>
        <w:t>4</w:t>
      </w:r>
      <w:r w:rsidRPr="00F86F64">
        <w:rPr>
          <w:lang w:val="sv-SE"/>
        </w:rPr>
        <w:t>, Martin Jacobsson</w:t>
      </w:r>
      <w:r w:rsidRPr="00F86F64">
        <w:rPr>
          <w:vertAlign w:val="superscript"/>
          <w:lang w:val="sv-SE"/>
        </w:rPr>
        <w:t>5</w:t>
      </w:r>
      <w:r w:rsidRPr="00F86F64">
        <w:rPr>
          <w:lang w:val="sv-SE"/>
        </w:rPr>
        <w:t>, Josef Al-Khalili</w:t>
      </w:r>
      <w:r w:rsidRPr="00F86F64">
        <w:rPr>
          <w:vertAlign w:val="superscript"/>
          <w:lang w:val="sv-SE"/>
        </w:rPr>
        <w:t>1</w:t>
      </w:r>
      <w:r w:rsidRPr="00F86F64">
        <w:rPr>
          <w:lang w:val="sv-SE"/>
        </w:rPr>
        <w:t xml:space="preserve">, Elin </w:t>
      </w:r>
      <w:proofErr w:type="spellStart"/>
      <w:r w:rsidRPr="00F86F64">
        <w:rPr>
          <w:lang w:val="sv-SE"/>
        </w:rPr>
        <w:t>Sun</w:t>
      </w:r>
      <w:proofErr w:type="spellEnd"/>
      <w:r w:rsidRPr="00F86F64">
        <w:rPr>
          <w:lang w:val="sv-SE"/>
        </w:rPr>
        <w:t xml:space="preserve"> Cao</w:t>
      </w:r>
      <w:r w:rsidRPr="00F86F64">
        <w:rPr>
          <w:vertAlign w:val="superscript"/>
          <w:lang w:val="sv-SE"/>
        </w:rPr>
        <w:t>1</w:t>
      </w:r>
      <w:r w:rsidRPr="00F86F64">
        <w:rPr>
          <w:lang w:val="sv-SE"/>
        </w:rPr>
        <w:t>, Kelvin Szolnoky</w:t>
      </w:r>
      <w:r w:rsidRPr="00F86F64">
        <w:rPr>
          <w:vertAlign w:val="superscript"/>
          <w:lang w:val="sv-SE"/>
        </w:rPr>
        <w:t>6</w:t>
      </w:r>
      <w:r w:rsidRPr="00F86F64">
        <w:rPr>
          <w:lang w:val="sv-SE"/>
        </w:rPr>
        <w:t>, Johanna Berg</w:t>
      </w:r>
      <w:r w:rsidRPr="00F86F64">
        <w:rPr>
          <w:vertAlign w:val="superscript"/>
          <w:lang w:val="sv-SE"/>
        </w:rPr>
        <w:t>1,7</w:t>
      </w:r>
      <w:r w:rsidRPr="00F86F64">
        <w:rPr>
          <w:lang w:val="sv-SE"/>
        </w:rPr>
        <w:t>, Martin Gerdin Wärnberg</w:t>
      </w:r>
      <w:r w:rsidRPr="00F86F64">
        <w:rPr>
          <w:vertAlign w:val="superscript"/>
          <w:lang w:val="sv-SE"/>
        </w:rPr>
        <w:t>1,2</w:t>
      </w:r>
    </w:p>
    <w:p w14:paraId="53A7DFE5" w14:textId="77777777" w:rsidR="00760895" w:rsidRDefault="00000000">
      <w:pPr>
        <w:pStyle w:val="BodyText"/>
      </w:pPr>
      <w:r>
        <w:rPr>
          <w:vertAlign w:val="superscript"/>
        </w:rPr>
        <w:t>1</w:t>
      </w:r>
      <w:r>
        <w:t xml:space="preserve"> Department of Global Public Health, Karolinska Institutet, Stockholm, Sweden</w:t>
      </w:r>
      <w:r>
        <w:br/>
      </w:r>
      <w:r>
        <w:rPr>
          <w:vertAlign w:val="superscript"/>
        </w:rPr>
        <w:t>2</w:t>
      </w:r>
      <w:r>
        <w:t xml:space="preserve"> Perioperative Medicine and Intensive Care, Karolinska University Hospital, Solna, Stockholm, Sweden</w:t>
      </w:r>
      <w:r>
        <w:br/>
      </w:r>
      <w:r>
        <w:rPr>
          <w:vertAlign w:val="superscript"/>
        </w:rPr>
        <w:t>3</w:t>
      </w:r>
      <w:r>
        <w:t xml:space="preserve"> Department of Clinical Science, Intervention and Technology, Division of Surgery, Karolinska Institutet, Karolinska University Hospital Huddinge, Stockholm, Sweden</w:t>
      </w:r>
      <w:r>
        <w:br/>
      </w:r>
      <w:r>
        <w:rPr>
          <w:vertAlign w:val="superscript"/>
        </w:rPr>
        <w:t>4</w:t>
      </w:r>
      <w:r>
        <w:t xml:space="preserve"> Department of Anesthesiology, Mora Hospital, Mora, Sweden</w:t>
      </w:r>
      <w:r>
        <w:br/>
      </w:r>
      <w:r>
        <w:rPr>
          <w:vertAlign w:val="superscript"/>
        </w:rPr>
        <w:t>5</w:t>
      </w:r>
      <w:r>
        <w:t xml:space="preserve"> Department of Biomedical Engineering and Health Systems, KTH Royal Institute of Technology, Huddinge, Sweden</w:t>
      </w:r>
      <w:r>
        <w:br/>
      </w:r>
      <w:r>
        <w:rPr>
          <w:vertAlign w:val="superscript"/>
        </w:rPr>
        <w:t>6</w:t>
      </w:r>
      <w:r>
        <w:t xml:space="preserve"> Department of Medical Epidemiology and Biostatistics, Karolinska Institutet, Stockholm, Sweden</w:t>
      </w:r>
      <w:r>
        <w:br/>
      </w:r>
      <w:r>
        <w:rPr>
          <w:vertAlign w:val="superscript"/>
        </w:rPr>
        <w:t>7</w:t>
      </w:r>
      <w:r>
        <w:t xml:space="preserve"> Department of Internal and Emergency Medicine, Skånes universitetssjukhus Malmö, Malmö, Sweden</w:t>
      </w:r>
    </w:p>
    <w:p w14:paraId="6A452F01" w14:textId="77777777" w:rsidR="00760895" w:rsidRDefault="00000000">
      <w:pPr>
        <w:pStyle w:val="BodyText"/>
      </w:pPr>
      <w:r>
        <w:rPr>
          <w:b/>
          <w:bCs/>
        </w:rPr>
        <w:t>Corresponding author:</w:t>
      </w:r>
      <w:r>
        <w:t xml:space="preserve"> Jonatan Attergrim, Department of Global Public Health, Karolinska Institutet, 171 77 Stockholm, Sweden. Email: jonatan.attergrim@ki.se</w:t>
      </w:r>
    </w:p>
    <w:p w14:paraId="72ACF9BB" w14:textId="77777777" w:rsidR="00760895" w:rsidRPr="00F86F64" w:rsidRDefault="00000000">
      <w:pPr>
        <w:pStyle w:val="BodyText"/>
        <w:rPr>
          <w:sz w:val="28"/>
          <w:szCs w:val="28"/>
        </w:rPr>
      </w:pPr>
      <w:r w:rsidRPr="00F86F64">
        <w:rPr>
          <w:b/>
          <w:bCs/>
          <w:sz w:val="28"/>
          <w:szCs w:val="28"/>
        </w:rPr>
        <w:lastRenderedPageBreak/>
        <w:t>Contents</w:t>
      </w:r>
    </w:p>
    <w:p w14:paraId="70F57464" w14:textId="77777777" w:rsidR="00760895" w:rsidRDefault="00000000">
      <w:pPr>
        <w:pStyle w:val="BodyText"/>
      </w:pPr>
      <w:r>
        <w:t>Additional file 1: OFI categories with definitions and subcategory frequencies</w:t>
      </w:r>
    </w:p>
    <w:p w14:paraId="137F0B1B" w14:textId="77777777" w:rsidR="00760895" w:rsidRDefault="00000000">
      <w:pPr>
        <w:pStyle w:val="BodyText"/>
      </w:pPr>
      <w:r>
        <w:t>Additional file 2: Full logistic regression results: 30-day mortality</w:t>
      </w:r>
    </w:p>
    <w:p w14:paraId="0BD9B825" w14:textId="77777777" w:rsidR="00760895" w:rsidRDefault="00000000">
      <w:pPr>
        <w:pStyle w:val="BodyText"/>
      </w:pPr>
      <w:r>
        <w:t>Additional file 3: Full logistic regression results: Unfavourable GOS</w:t>
      </w:r>
    </w:p>
    <w:p w14:paraId="3A7A12CC" w14:textId="77777777" w:rsidR="00760895" w:rsidRDefault="00000000">
      <w:pPr>
        <w:pStyle w:val="BodyText"/>
      </w:pPr>
      <w:r>
        <w:t>Additional file 4: Full logistic regression results: Opportunities for improvement</w:t>
      </w:r>
    </w:p>
    <w:p w14:paraId="782FEE27" w14:textId="77777777" w:rsidR="00760895" w:rsidRDefault="00000000">
      <w:pPr>
        <w:pStyle w:val="BodyText"/>
      </w:pPr>
      <w:r>
        <w:t>Additional file 5: Unadjusted and fully adjusted odds ratios by cohort</w:t>
      </w:r>
    </w:p>
    <w:p w14:paraId="61D04A66" w14:textId="77777777" w:rsidR="00760895" w:rsidRDefault="00000000">
      <w:pPr>
        <w:pStyle w:val="BodyText"/>
      </w:pPr>
      <w:r>
        <w:t>Additional file 6: Cause of death by TQIP cohort (multinomial logistic regression)</w:t>
      </w:r>
    </w:p>
    <w:p w14:paraId="0EC30B0B" w14:textId="77777777" w:rsidR="00760895" w:rsidRDefault="00000000">
      <w:pPr>
        <w:pStyle w:val="BodyText"/>
      </w:pPr>
      <w:r>
        <w:t>Additional file 7: Individual GOS levels by TQIP cohort (multinomial logistic regression)</w:t>
      </w:r>
    </w:p>
    <w:p w14:paraId="6B8B4C42" w14:textId="77777777" w:rsidR="00760895" w:rsidRDefault="00000000">
      <w:pPr>
        <w:pStyle w:val="BodyText"/>
      </w:pPr>
      <w:r>
        <w:t>Additional file 8: MICE convergence diagnostics</w:t>
      </w:r>
    </w:p>
    <w:p w14:paraId="59F960B5" w14:textId="77777777" w:rsidR="00760895" w:rsidRDefault="00000000">
      <w:pPr>
        <w:pStyle w:val="BodyText"/>
      </w:pPr>
      <w:r>
        <w:t>Additional file 9: OR trajectories across sequential models</w:t>
      </w:r>
    </w:p>
    <w:p w14:paraId="4EFFECC6" w14:textId="77777777" w:rsidR="00760895" w:rsidRDefault="00000000">
      <w:r>
        <w:br w:type="page"/>
      </w:r>
    </w:p>
    <w:p w14:paraId="4B2B4CC8" w14:textId="77777777" w:rsidR="00760895" w:rsidRDefault="00000000">
      <w:pPr>
        <w:pStyle w:val="Heading1"/>
      </w:pPr>
      <w:bookmarkStart w:id="0" w:name="additional-files"/>
      <w:r>
        <w:lastRenderedPageBreak/>
        <w:t>Additional files</w:t>
      </w:r>
    </w:p>
    <w:p w14:paraId="572D813A" w14:textId="77777777" w:rsidR="00760895" w:rsidRDefault="00000000">
      <w:pPr>
        <w:pStyle w:val="Heading2"/>
      </w:pPr>
      <w:bookmarkStart w:id="1" w:name="Xdeb995b4426b6c4aaa28554ca58b695bb2895bd"/>
      <w:r>
        <w:t>Additional file 1: OFI categories with definitions and subcategory frequencies</w:t>
      </w:r>
    </w:p>
    <w:tbl>
      <w:tblPr>
        <w:tblW w:w="0" w:type="auto"/>
        <w:jc w:val="center"/>
        <w:tblLayout w:type="fixed"/>
        <w:tblLook w:val="0420" w:firstRow="1" w:lastRow="0" w:firstColumn="0" w:lastColumn="0" w:noHBand="0" w:noVBand="1"/>
      </w:tblPr>
      <w:tblGrid>
        <w:gridCol w:w="4320"/>
        <w:gridCol w:w="6480"/>
      </w:tblGrid>
      <w:tr w:rsidR="00760895" w14:paraId="4796EEC6" w14:textId="77777777">
        <w:trPr>
          <w:tblHeader/>
          <w:jc w:val="center"/>
        </w:trPr>
        <w:tc>
          <w:tcPr>
            <w:tcW w:w="4320" w:type="dxa"/>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7C36F7B" w14:textId="77777777" w:rsidR="00760895" w:rsidRDefault="00000000">
            <w:pPr>
              <w:pBdr>
                <w:top w:val="none" w:sz="0" w:space="0" w:color="000000"/>
                <w:left w:val="none" w:sz="0" w:space="0" w:color="000000"/>
                <w:bottom w:val="none" w:sz="0" w:space="0" w:color="000000"/>
                <w:right w:val="none" w:sz="0" w:space="0" w:color="000000"/>
              </w:pBdr>
              <w:spacing w:before="80" w:after="80" w:line="240" w:lineRule="auto"/>
              <w:ind w:left="100" w:right="100"/>
              <w:rPr>
                <w:rFonts w:ascii="Arial" w:eastAsia="Arial" w:hAnsi="Arial" w:cs="Arial"/>
                <w:b/>
                <w:color w:val="000000"/>
                <w:sz w:val="18"/>
                <w:szCs w:val="18"/>
              </w:rPr>
            </w:pPr>
            <w:r>
              <w:rPr>
                <w:rFonts w:ascii="Arial" w:eastAsia="Arial" w:hAnsi="Arial" w:cs="Arial"/>
                <w:b/>
                <w:color w:val="000000"/>
                <w:sz w:val="18"/>
                <w:szCs w:val="18"/>
              </w:rPr>
              <w:t>Category (n)</w:t>
            </w:r>
          </w:p>
        </w:tc>
        <w:tc>
          <w:tcPr>
            <w:tcW w:w="6480" w:type="dxa"/>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F987A40" w14:textId="77777777" w:rsidR="00760895" w:rsidRDefault="00000000">
            <w:pPr>
              <w:pBdr>
                <w:top w:val="none" w:sz="0" w:space="0" w:color="000000"/>
                <w:left w:val="none" w:sz="0" w:space="0" w:color="000000"/>
                <w:bottom w:val="none" w:sz="0" w:space="0" w:color="000000"/>
                <w:right w:val="none" w:sz="0" w:space="0" w:color="000000"/>
              </w:pBdr>
              <w:spacing w:before="80" w:after="80" w:line="240" w:lineRule="auto"/>
              <w:ind w:left="100" w:right="100"/>
              <w:rPr>
                <w:rFonts w:ascii="Arial" w:eastAsia="Arial" w:hAnsi="Arial" w:cs="Arial"/>
                <w:b/>
                <w:color w:val="000000"/>
                <w:sz w:val="18"/>
                <w:szCs w:val="18"/>
              </w:rPr>
            </w:pPr>
            <w:r>
              <w:rPr>
                <w:rFonts w:ascii="Arial" w:eastAsia="Arial" w:hAnsi="Arial" w:cs="Arial"/>
                <w:b/>
                <w:color w:val="000000"/>
                <w:sz w:val="18"/>
                <w:szCs w:val="18"/>
              </w:rPr>
              <w:t>Opportunities for Improvement, N = 493</w:t>
            </w:r>
          </w:p>
        </w:tc>
      </w:tr>
      <w:tr w:rsidR="00760895" w14:paraId="6748A943" w14:textId="77777777">
        <w:trPr>
          <w:jc w:val="center"/>
        </w:trPr>
        <w:tc>
          <w:tcPr>
            <w:tcW w:w="432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452EFA2" w14:textId="77777777" w:rsidR="00760895" w:rsidRDefault="00000000">
            <w:pPr>
              <w:pBdr>
                <w:top w:val="none" w:sz="0" w:space="0" w:color="000000"/>
                <w:left w:val="none" w:sz="0" w:space="0" w:color="000000"/>
                <w:bottom w:val="none" w:sz="0" w:space="0" w:color="000000"/>
                <w:right w:val="none" w:sz="0" w:space="0" w:color="000000"/>
              </w:pBdr>
              <w:spacing w:before="80" w:after="80" w:line="240" w:lineRule="auto"/>
              <w:ind w:left="100" w:right="100"/>
              <w:rPr>
                <w:rFonts w:ascii="Arial" w:eastAsia="Arial" w:hAnsi="Arial" w:cs="Arial"/>
                <w:color w:val="000000"/>
                <w:sz w:val="18"/>
                <w:szCs w:val="18"/>
              </w:rPr>
            </w:pPr>
            <w:r>
              <w:rPr>
                <w:rFonts w:ascii="Arial" w:eastAsia="Arial" w:hAnsi="Arial" w:cs="Arial"/>
                <w:b/>
                <w:color w:val="000000"/>
                <w:sz w:val="18"/>
                <w:szCs w:val="18"/>
              </w:rPr>
              <w:t>Potentially preventable deaths (42)</w:t>
            </w:r>
            <w:r>
              <w:rPr>
                <w:rFonts w:ascii="Arial" w:eastAsia="Arial" w:hAnsi="Arial" w:cs="Arial"/>
                <w:color w:val="000000"/>
                <w:sz w:val="18"/>
                <w:szCs w:val="18"/>
              </w:rPr>
              <w:br/>
              <w:t>Deaths judged by peer review as potentially avoidable given optimal care at the study hospital.</w:t>
            </w:r>
          </w:p>
        </w:tc>
        <w:tc>
          <w:tcPr>
            <w:tcW w:w="648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CBFDB30" w14:textId="77777777" w:rsidR="00760895" w:rsidRDefault="00000000">
            <w:pPr>
              <w:pBdr>
                <w:top w:val="none" w:sz="0" w:space="0" w:color="000000"/>
                <w:left w:val="none" w:sz="0" w:space="0" w:color="000000"/>
                <w:bottom w:val="none" w:sz="0" w:space="0" w:color="000000"/>
                <w:right w:val="none" w:sz="0" w:space="0" w:color="000000"/>
              </w:pBdr>
              <w:spacing w:before="80" w:after="80" w:line="240" w:lineRule="auto"/>
              <w:ind w:left="100" w:right="100"/>
              <w:rPr>
                <w:rFonts w:ascii="Arial" w:eastAsia="Arial" w:hAnsi="Arial" w:cs="Arial"/>
                <w:color w:val="000000"/>
                <w:sz w:val="18"/>
                <w:szCs w:val="18"/>
              </w:rPr>
            </w:pPr>
            <w:r>
              <w:rPr>
                <w:rFonts w:ascii="Arial" w:eastAsia="Arial" w:hAnsi="Arial" w:cs="Arial"/>
                <w:b/>
                <w:color w:val="000000"/>
                <w:sz w:val="18"/>
                <w:szCs w:val="18"/>
              </w:rPr>
              <w:t>• Potentially preventable death:</w:t>
            </w:r>
            <w:r>
              <w:rPr>
                <w:rFonts w:ascii="Arial" w:eastAsia="Arial" w:hAnsi="Arial" w:cs="Arial"/>
                <w:color w:val="000000"/>
                <w:sz w:val="18"/>
                <w:szCs w:val="18"/>
              </w:rPr>
              <w:t xml:space="preserve"> 38</w:t>
            </w:r>
            <w:r>
              <w:rPr>
                <w:rFonts w:ascii="Arial" w:eastAsia="Arial" w:hAnsi="Arial" w:cs="Arial"/>
                <w:color w:val="000000"/>
                <w:sz w:val="18"/>
                <w:szCs w:val="18"/>
              </w:rPr>
              <w:br/>
            </w:r>
            <w:r>
              <w:rPr>
                <w:rFonts w:ascii="Arial" w:eastAsia="Arial" w:hAnsi="Arial" w:cs="Arial"/>
                <w:i/>
                <w:color w:val="000000"/>
                <w:sz w:val="16"/>
                <w:szCs w:val="16"/>
              </w:rPr>
              <w:t>e.g., death where alternative management may have altered the outcome</w:t>
            </w:r>
            <w:r>
              <w:rPr>
                <w:rFonts w:ascii="Arial" w:eastAsia="Arial" w:hAnsi="Arial" w:cs="Arial"/>
                <w:color w:val="000000"/>
                <w:sz w:val="18"/>
                <w:szCs w:val="18"/>
              </w:rPr>
              <w:br/>
            </w:r>
            <w:r>
              <w:rPr>
                <w:rFonts w:ascii="Arial" w:eastAsia="Arial" w:hAnsi="Arial" w:cs="Arial"/>
                <w:b/>
                <w:color w:val="000000"/>
                <w:sz w:val="18"/>
                <w:szCs w:val="18"/>
              </w:rPr>
              <w:t>• Preventable death:</w:t>
            </w:r>
            <w:r>
              <w:rPr>
                <w:rFonts w:ascii="Arial" w:eastAsia="Arial" w:hAnsi="Arial" w:cs="Arial"/>
                <w:color w:val="000000"/>
                <w:sz w:val="18"/>
                <w:szCs w:val="18"/>
              </w:rPr>
              <w:t xml:space="preserve"> 4</w:t>
            </w:r>
            <w:r>
              <w:rPr>
                <w:rFonts w:ascii="Arial" w:eastAsia="Arial" w:hAnsi="Arial" w:cs="Arial"/>
                <w:color w:val="000000"/>
                <w:sz w:val="18"/>
                <w:szCs w:val="18"/>
              </w:rPr>
              <w:br/>
            </w:r>
            <w:r>
              <w:rPr>
                <w:rFonts w:ascii="Arial" w:eastAsia="Arial" w:hAnsi="Arial" w:cs="Arial"/>
                <w:i/>
                <w:color w:val="000000"/>
                <w:sz w:val="16"/>
                <w:szCs w:val="16"/>
              </w:rPr>
              <w:t>e.g., death from surgically accessible haemorrhage where timely intervention was feasible</w:t>
            </w:r>
          </w:p>
        </w:tc>
      </w:tr>
      <w:tr w:rsidR="00760895" w14:paraId="1189C96F" w14:textId="77777777">
        <w:trPr>
          <w:jc w:val="center"/>
        </w:trPr>
        <w:tc>
          <w:tcPr>
            <w:tcW w:w="432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9924DAC" w14:textId="77777777" w:rsidR="00760895" w:rsidRDefault="00000000">
            <w:pPr>
              <w:pBdr>
                <w:top w:val="none" w:sz="0" w:space="0" w:color="000000"/>
                <w:left w:val="none" w:sz="0" w:space="0" w:color="000000"/>
                <w:bottom w:val="none" w:sz="0" w:space="0" w:color="000000"/>
                <w:right w:val="none" w:sz="0" w:space="0" w:color="000000"/>
              </w:pBdr>
              <w:spacing w:before="80" w:after="80" w:line="240" w:lineRule="auto"/>
              <w:ind w:left="100" w:right="100"/>
              <w:rPr>
                <w:rFonts w:ascii="Arial" w:eastAsia="Arial" w:hAnsi="Arial" w:cs="Arial"/>
                <w:color w:val="000000"/>
                <w:sz w:val="18"/>
                <w:szCs w:val="18"/>
              </w:rPr>
            </w:pPr>
            <w:r>
              <w:rPr>
                <w:rFonts w:ascii="Arial" w:eastAsia="Arial" w:hAnsi="Arial" w:cs="Arial"/>
                <w:b/>
                <w:color w:val="000000"/>
                <w:sz w:val="18"/>
                <w:szCs w:val="18"/>
              </w:rPr>
              <w:t>Missed diagnosis (70)</w:t>
            </w:r>
            <w:r>
              <w:rPr>
                <w:rFonts w:ascii="Arial" w:eastAsia="Arial" w:hAnsi="Arial" w:cs="Arial"/>
                <w:color w:val="000000"/>
                <w:sz w:val="18"/>
                <w:szCs w:val="18"/>
              </w:rPr>
              <w:br/>
              <w:t>Failure to identify an injury or condition despite sufficient information and resources.</w:t>
            </w:r>
          </w:p>
        </w:tc>
        <w:tc>
          <w:tcPr>
            <w:tcW w:w="648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CBAB3A0" w14:textId="77777777" w:rsidR="00760895" w:rsidRDefault="00000000">
            <w:pPr>
              <w:pBdr>
                <w:top w:val="none" w:sz="0" w:space="0" w:color="000000"/>
                <w:left w:val="none" w:sz="0" w:space="0" w:color="000000"/>
                <w:bottom w:val="none" w:sz="0" w:space="0" w:color="000000"/>
                <w:right w:val="none" w:sz="0" w:space="0" w:color="000000"/>
              </w:pBdr>
              <w:spacing w:before="80" w:after="80" w:line="240" w:lineRule="auto"/>
              <w:ind w:left="100" w:right="100"/>
              <w:rPr>
                <w:rFonts w:ascii="Arial" w:eastAsia="Arial" w:hAnsi="Arial" w:cs="Arial"/>
                <w:color w:val="000000"/>
                <w:sz w:val="18"/>
                <w:szCs w:val="18"/>
              </w:rPr>
            </w:pPr>
            <w:r>
              <w:rPr>
                <w:rFonts w:ascii="Arial" w:eastAsia="Arial" w:hAnsi="Arial" w:cs="Arial"/>
                <w:b/>
                <w:color w:val="000000"/>
                <w:sz w:val="18"/>
                <w:szCs w:val="18"/>
              </w:rPr>
              <w:t>• Missed injury:</w:t>
            </w:r>
            <w:r>
              <w:rPr>
                <w:rFonts w:ascii="Arial" w:eastAsia="Arial" w:hAnsi="Arial" w:cs="Arial"/>
                <w:color w:val="000000"/>
                <w:sz w:val="18"/>
                <w:szCs w:val="18"/>
              </w:rPr>
              <w:t xml:space="preserve"> 67</w:t>
            </w:r>
            <w:r>
              <w:rPr>
                <w:rFonts w:ascii="Arial" w:eastAsia="Arial" w:hAnsi="Arial" w:cs="Arial"/>
                <w:color w:val="000000"/>
                <w:sz w:val="18"/>
                <w:szCs w:val="18"/>
              </w:rPr>
              <w:br/>
            </w:r>
            <w:r>
              <w:rPr>
                <w:rFonts w:ascii="Arial" w:eastAsia="Arial" w:hAnsi="Arial" w:cs="Arial"/>
                <w:i/>
                <w:color w:val="000000"/>
                <w:sz w:val="16"/>
                <w:szCs w:val="16"/>
              </w:rPr>
              <w:t>e.g., injury not identified on imaging or failure to perform indicated radiology</w:t>
            </w:r>
            <w:r>
              <w:rPr>
                <w:rFonts w:ascii="Arial" w:eastAsia="Arial" w:hAnsi="Arial" w:cs="Arial"/>
                <w:color w:val="000000"/>
                <w:sz w:val="18"/>
                <w:szCs w:val="18"/>
              </w:rPr>
              <w:br/>
            </w:r>
            <w:r>
              <w:rPr>
                <w:rFonts w:ascii="Arial" w:eastAsia="Arial" w:hAnsi="Arial" w:cs="Arial"/>
                <w:b/>
                <w:color w:val="000000"/>
                <w:sz w:val="18"/>
                <w:szCs w:val="18"/>
              </w:rPr>
              <w:t>• Communication + missed injury:</w:t>
            </w:r>
            <w:r>
              <w:rPr>
                <w:rFonts w:ascii="Arial" w:eastAsia="Arial" w:hAnsi="Arial" w:cs="Arial"/>
                <w:color w:val="000000"/>
                <w:sz w:val="18"/>
                <w:szCs w:val="18"/>
              </w:rPr>
              <w:t xml:space="preserve"> 1</w:t>
            </w:r>
            <w:r>
              <w:rPr>
                <w:rFonts w:ascii="Arial" w:eastAsia="Arial" w:hAnsi="Arial" w:cs="Arial"/>
                <w:color w:val="000000"/>
                <w:sz w:val="18"/>
                <w:szCs w:val="18"/>
              </w:rPr>
              <w:br/>
            </w:r>
            <w:r>
              <w:rPr>
                <w:rFonts w:ascii="Arial" w:eastAsia="Arial" w:hAnsi="Arial" w:cs="Arial"/>
                <w:b/>
                <w:color w:val="000000"/>
                <w:sz w:val="18"/>
                <w:szCs w:val="18"/>
              </w:rPr>
              <w:t>• Level of care + missed injury:</w:t>
            </w:r>
            <w:r>
              <w:rPr>
                <w:rFonts w:ascii="Arial" w:eastAsia="Arial" w:hAnsi="Arial" w:cs="Arial"/>
                <w:color w:val="000000"/>
                <w:sz w:val="18"/>
                <w:szCs w:val="18"/>
              </w:rPr>
              <w:t xml:space="preserve"> 1</w:t>
            </w:r>
            <w:r>
              <w:rPr>
                <w:rFonts w:ascii="Arial" w:eastAsia="Arial" w:hAnsi="Arial" w:cs="Arial"/>
                <w:color w:val="000000"/>
                <w:sz w:val="18"/>
                <w:szCs w:val="18"/>
              </w:rPr>
              <w:br/>
            </w:r>
            <w:r>
              <w:rPr>
                <w:rFonts w:ascii="Arial" w:eastAsia="Arial" w:hAnsi="Arial" w:cs="Arial"/>
                <w:b/>
                <w:color w:val="000000"/>
                <w:sz w:val="18"/>
                <w:szCs w:val="18"/>
              </w:rPr>
              <w:t>• Tertiary survey:</w:t>
            </w:r>
            <w:r>
              <w:rPr>
                <w:rFonts w:ascii="Arial" w:eastAsia="Arial" w:hAnsi="Arial" w:cs="Arial"/>
                <w:color w:val="000000"/>
                <w:sz w:val="18"/>
                <w:szCs w:val="18"/>
              </w:rPr>
              <w:t xml:space="preserve"> 1</w:t>
            </w:r>
            <w:r>
              <w:rPr>
                <w:rFonts w:ascii="Arial" w:eastAsia="Arial" w:hAnsi="Arial" w:cs="Arial"/>
                <w:color w:val="000000"/>
                <w:sz w:val="18"/>
                <w:szCs w:val="18"/>
              </w:rPr>
              <w:br/>
            </w:r>
            <w:r>
              <w:rPr>
                <w:rFonts w:ascii="Arial" w:eastAsia="Arial" w:hAnsi="Arial" w:cs="Arial"/>
                <w:i/>
                <w:color w:val="000000"/>
                <w:sz w:val="16"/>
                <w:szCs w:val="16"/>
              </w:rPr>
              <w:t>e.g., omitted tertiary survey</w:t>
            </w:r>
          </w:p>
        </w:tc>
      </w:tr>
      <w:tr w:rsidR="00760895" w14:paraId="6AC32B0D" w14:textId="77777777">
        <w:trPr>
          <w:jc w:val="center"/>
        </w:trPr>
        <w:tc>
          <w:tcPr>
            <w:tcW w:w="432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E0165A9" w14:textId="77777777" w:rsidR="00760895" w:rsidRDefault="00000000">
            <w:pPr>
              <w:pBdr>
                <w:top w:val="none" w:sz="0" w:space="0" w:color="000000"/>
                <w:left w:val="none" w:sz="0" w:space="0" w:color="000000"/>
                <w:bottom w:val="none" w:sz="0" w:space="0" w:color="000000"/>
                <w:right w:val="none" w:sz="0" w:space="0" w:color="000000"/>
              </w:pBdr>
              <w:spacing w:before="80" w:after="80" w:line="240" w:lineRule="auto"/>
              <w:ind w:left="100" w:right="100"/>
              <w:rPr>
                <w:rFonts w:ascii="Arial" w:eastAsia="Arial" w:hAnsi="Arial" w:cs="Arial"/>
                <w:color w:val="000000"/>
                <w:sz w:val="18"/>
                <w:szCs w:val="18"/>
              </w:rPr>
            </w:pPr>
            <w:r>
              <w:rPr>
                <w:rFonts w:ascii="Arial" w:eastAsia="Arial" w:hAnsi="Arial" w:cs="Arial"/>
                <w:b/>
                <w:color w:val="000000"/>
                <w:sz w:val="18"/>
                <w:szCs w:val="18"/>
              </w:rPr>
              <w:t>Delay in treatment (72)</w:t>
            </w:r>
            <w:r>
              <w:rPr>
                <w:rFonts w:ascii="Arial" w:eastAsia="Arial" w:hAnsi="Arial" w:cs="Arial"/>
                <w:color w:val="000000"/>
                <w:sz w:val="18"/>
                <w:szCs w:val="18"/>
              </w:rPr>
              <w:br/>
              <w:t>Inappropriate delay from assessment to treatment or imaging, not attributable to resource constraints.</w:t>
            </w:r>
          </w:p>
        </w:tc>
        <w:tc>
          <w:tcPr>
            <w:tcW w:w="648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6A60964" w14:textId="77777777" w:rsidR="00760895" w:rsidRDefault="00000000">
            <w:pPr>
              <w:pBdr>
                <w:top w:val="none" w:sz="0" w:space="0" w:color="000000"/>
                <w:left w:val="none" w:sz="0" w:space="0" w:color="000000"/>
                <w:bottom w:val="none" w:sz="0" w:space="0" w:color="000000"/>
                <w:right w:val="none" w:sz="0" w:space="0" w:color="000000"/>
              </w:pBdr>
              <w:spacing w:before="80" w:after="80" w:line="240" w:lineRule="auto"/>
              <w:ind w:left="100" w:right="100"/>
              <w:rPr>
                <w:rFonts w:ascii="Arial" w:eastAsia="Arial" w:hAnsi="Arial" w:cs="Arial"/>
                <w:color w:val="000000"/>
                <w:sz w:val="18"/>
                <w:szCs w:val="18"/>
              </w:rPr>
            </w:pPr>
            <w:r>
              <w:rPr>
                <w:rFonts w:ascii="Arial" w:eastAsia="Arial" w:hAnsi="Arial" w:cs="Arial"/>
                <w:b/>
                <w:color w:val="000000"/>
                <w:sz w:val="18"/>
                <w:szCs w:val="18"/>
              </w:rPr>
              <w:t>• Delay to surgery:</w:t>
            </w:r>
            <w:r>
              <w:rPr>
                <w:rFonts w:ascii="Arial" w:eastAsia="Arial" w:hAnsi="Arial" w:cs="Arial"/>
                <w:color w:val="000000"/>
                <w:sz w:val="18"/>
                <w:szCs w:val="18"/>
              </w:rPr>
              <w:t xml:space="preserve"> 47</w:t>
            </w:r>
            <w:r>
              <w:rPr>
                <w:rFonts w:ascii="Arial" w:eastAsia="Arial" w:hAnsi="Arial" w:cs="Arial"/>
                <w:color w:val="000000"/>
                <w:sz w:val="18"/>
                <w:szCs w:val="18"/>
              </w:rPr>
              <w:br/>
            </w:r>
            <w:r>
              <w:rPr>
                <w:rFonts w:ascii="Arial" w:eastAsia="Arial" w:hAnsi="Arial" w:cs="Arial"/>
                <w:i/>
                <w:color w:val="000000"/>
                <w:sz w:val="16"/>
                <w:szCs w:val="16"/>
              </w:rPr>
              <w:t>e.g., prolonged time to intervention not attributable to incorrect management or lacking resources</w:t>
            </w:r>
            <w:r>
              <w:rPr>
                <w:rFonts w:ascii="Arial" w:eastAsia="Arial" w:hAnsi="Arial" w:cs="Arial"/>
                <w:color w:val="000000"/>
                <w:sz w:val="18"/>
                <w:szCs w:val="18"/>
              </w:rPr>
              <w:br/>
            </w:r>
            <w:r>
              <w:rPr>
                <w:rFonts w:ascii="Arial" w:eastAsia="Arial" w:hAnsi="Arial" w:cs="Arial"/>
                <w:b/>
                <w:color w:val="000000"/>
                <w:sz w:val="18"/>
                <w:szCs w:val="18"/>
              </w:rPr>
              <w:t>• Delay to CT:</w:t>
            </w:r>
            <w:r>
              <w:rPr>
                <w:rFonts w:ascii="Arial" w:eastAsia="Arial" w:hAnsi="Arial" w:cs="Arial"/>
                <w:color w:val="000000"/>
                <w:sz w:val="18"/>
                <w:szCs w:val="18"/>
              </w:rPr>
              <w:t xml:space="preserve"> 25</w:t>
            </w:r>
            <w:r>
              <w:rPr>
                <w:rFonts w:ascii="Arial" w:eastAsia="Arial" w:hAnsi="Arial" w:cs="Arial"/>
                <w:color w:val="000000"/>
                <w:sz w:val="18"/>
                <w:szCs w:val="18"/>
              </w:rPr>
              <w:br/>
            </w:r>
            <w:r>
              <w:rPr>
                <w:rFonts w:ascii="Arial" w:eastAsia="Arial" w:hAnsi="Arial" w:cs="Arial"/>
                <w:i/>
                <w:color w:val="000000"/>
                <w:sz w:val="16"/>
                <w:szCs w:val="16"/>
              </w:rPr>
              <w:t>e.g., delayed CT in a patient with reduced consciousness and later confirmed intracranial injury</w:t>
            </w:r>
          </w:p>
        </w:tc>
      </w:tr>
      <w:tr w:rsidR="00760895" w14:paraId="7CD9C66C" w14:textId="77777777">
        <w:trPr>
          <w:jc w:val="center"/>
        </w:trPr>
        <w:tc>
          <w:tcPr>
            <w:tcW w:w="432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5C5776E0" w14:textId="77777777" w:rsidR="00760895" w:rsidRDefault="00000000">
            <w:pPr>
              <w:pBdr>
                <w:top w:val="none" w:sz="0" w:space="0" w:color="000000"/>
                <w:left w:val="none" w:sz="0" w:space="0" w:color="000000"/>
                <w:bottom w:val="none" w:sz="0" w:space="0" w:color="000000"/>
                <w:right w:val="none" w:sz="0" w:space="0" w:color="000000"/>
              </w:pBdr>
              <w:spacing w:before="80" w:after="80" w:line="240" w:lineRule="auto"/>
              <w:ind w:left="100" w:right="100"/>
              <w:rPr>
                <w:rFonts w:ascii="Arial" w:eastAsia="Arial" w:hAnsi="Arial" w:cs="Arial"/>
                <w:color w:val="000000"/>
                <w:sz w:val="18"/>
                <w:szCs w:val="18"/>
              </w:rPr>
            </w:pPr>
            <w:r>
              <w:rPr>
                <w:rFonts w:ascii="Arial" w:eastAsia="Arial" w:hAnsi="Arial" w:cs="Arial"/>
                <w:b/>
                <w:color w:val="000000"/>
                <w:sz w:val="18"/>
                <w:szCs w:val="18"/>
              </w:rPr>
              <w:t>Clinical judgement error (174)</w:t>
            </w:r>
            <w:r>
              <w:rPr>
                <w:rFonts w:ascii="Arial" w:eastAsia="Arial" w:hAnsi="Arial" w:cs="Arial"/>
                <w:color w:val="000000"/>
                <w:sz w:val="18"/>
                <w:szCs w:val="18"/>
              </w:rPr>
              <w:br/>
              <w:t>Incorrect management strategy despite sufficient information and resources.</w:t>
            </w:r>
          </w:p>
        </w:tc>
        <w:tc>
          <w:tcPr>
            <w:tcW w:w="648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2785175" w14:textId="77777777" w:rsidR="00760895" w:rsidRDefault="00000000">
            <w:pPr>
              <w:pBdr>
                <w:top w:val="none" w:sz="0" w:space="0" w:color="000000"/>
                <w:left w:val="none" w:sz="0" w:space="0" w:color="000000"/>
                <w:bottom w:val="none" w:sz="0" w:space="0" w:color="000000"/>
                <w:right w:val="none" w:sz="0" w:space="0" w:color="000000"/>
              </w:pBdr>
              <w:spacing w:before="80" w:after="80" w:line="240" w:lineRule="auto"/>
              <w:ind w:left="100" w:right="100"/>
              <w:rPr>
                <w:rFonts w:ascii="Arial" w:eastAsia="Arial" w:hAnsi="Arial" w:cs="Arial"/>
                <w:color w:val="000000"/>
                <w:sz w:val="18"/>
                <w:szCs w:val="18"/>
              </w:rPr>
            </w:pPr>
            <w:r>
              <w:rPr>
                <w:rFonts w:ascii="Arial" w:eastAsia="Arial" w:hAnsi="Arial" w:cs="Arial"/>
                <w:b/>
                <w:color w:val="000000"/>
                <w:sz w:val="18"/>
                <w:szCs w:val="18"/>
              </w:rPr>
              <w:t>• Triage in the ED:</w:t>
            </w:r>
            <w:r>
              <w:rPr>
                <w:rFonts w:ascii="Arial" w:eastAsia="Arial" w:hAnsi="Arial" w:cs="Arial"/>
                <w:color w:val="000000"/>
                <w:sz w:val="18"/>
                <w:szCs w:val="18"/>
              </w:rPr>
              <w:t xml:space="preserve"> 63</w:t>
            </w:r>
            <w:r>
              <w:rPr>
                <w:rFonts w:ascii="Arial" w:eastAsia="Arial" w:hAnsi="Arial" w:cs="Arial"/>
                <w:color w:val="000000"/>
                <w:sz w:val="18"/>
                <w:szCs w:val="18"/>
              </w:rPr>
              <w:br/>
            </w:r>
            <w:r>
              <w:rPr>
                <w:rFonts w:ascii="Arial" w:eastAsia="Arial" w:hAnsi="Arial" w:cs="Arial"/>
                <w:i/>
                <w:color w:val="000000"/>
                <w:sz w:val="16"/>
                <w:szCs w:val="16"/>
              </w:rPr>
              <w:t>e.g., highest trauma level deprioritized despite clinical signs of instability</w:t>
            </w:r>
            <w:r>
              <w:rPr>
                <w:rFonts w:ascii="Arial" w:eastAsia="Arial" w:hAnsi="Arial" w:cs="Arial"/>
                <w:color w:val="000000"/>
                <w:sz w:val="18"/>
                <w:szCs w:val="18"/>
              </w:rPr>
              <w:br/>
            </w:r>
            <w:r>
              <w:rPr>
                <w:rFonts w:ascii="Arial" w:eastAsia="Arial" w:hAnsi="Arial" w:cs="Arial"/>
                <w:b/>
                <w:color w:val="000000"/>
                <w:sz w:val="18"/>
                <w:szCs w:val="18"/>
              </w:rPr>
              <w:t>• Patient management:</w:t>
            </w:r>
            <w:r>
              <w:rPr>
                <w:rFonts w:ascii="Arial" w:eastAsia="Arial" w:hAnsi="Arial" w:cs="Arial"/>
                <w:color w:val="000000"/>
                <w:sz w:val="18"/>
                <w:szCs w:val="18"/>
              </w:rPr>
              <w:t xml:space="preserve"> 48</w:t>
            </w:r>
            <w:r>
              <w:rPr>
                <w:rFonts w:ascii="Arial" w:eastAsia="Arial" w:hAnsi="Arial" w:cs="Arial"/>
                <w:color w:val="000000"/>
                <w:sz w:val="18"/>
                <w:szCs w:val="18"/>
              </w:rPr>
              <w:br/>
            </w:r>
            <w:r>
              <w:rPr>
                <w:rFonts w:ascii="Arial" w:eastAsia="Arial" w:hAnsi="Arial" w:cs="Arial"/>
                <w:i/>
                <w:color w:val="000000"/>
                <w:sz w:val="16"/>
                <w:szCs w:val="16"/>
              </w:rPr>
              <w:t>e.g., no epidural analgesia for multiple rib fractures, or CT performed before surgery when immediate intervention was indicated</w:t>
            </w:r>
            <w:r>
              <w:rPr>
                <w:rFonts w:ascii="Arial" w:eastAsia="Arial" w:hAnsi="Arial" w:cs="Arial"/>
                <w:color w:val="000000"/>
                <w:sz w:val="18"/>
                <w:szCs w:val="18"/>
              </w:rPr>
              <w:br/>
            </w:r>
            <w:r>
              <w:rPr>
                <w:rFonts w:ascii="Arial" w:eastAsia="Arial" w:hAnsi="Arial" w:cs="Arial"/>
                <w:b/>
                <w:color w:val="000000"/>
                <w:sz w:val="18"/>
                <w:szCs w:val="18"/>
              </w:rPr>
              <w:t>• Level of care:</w:t>
            </w:r>
            <w:r>
              <w:rPr>
                <w:rFonts w:ascii="Arial" w:eastAsia="Arial" w:hAnsi="Arial" w:cs="Arial"/>
                <w:color w:val="000000"/>
                <w:sz w:val="18"/>
                <w:szCs w:val="18"/>
              </w:rPr>
              <w:t xml:space="preserve"> 47</w:t>
            </w:r>
            <w:r>
              <w:rPr>
                <w:rFonts w:ascii="Arial" w:eastAsia="Arial" w:hAnsi="Arial" w:cs="Arial"/>
                <w:color w:val="000000"/>
                <w:sz w:val="18"/>
                <w:szCs w:val="18"/>
              </w:rPr>
              <w:br/>
            </w:r>
            <w:r>
              <w:rPr>
                <w:rFonts w:ascii="Arial" w:eastAsia="Arial" w:hAnsi="Arial" w:cs="Arial"/>
                <w:i/>
                <w:color w:val="000000"/>
                <w:sz w:val="16"/>
                <w:szCs w:val="16"/>
              </w:rPr>
              <w:t>e.g., intermediate care when ICU indicated, including inter-hospital transfers</w:t>
            </w:r>
            <w:r>
              <w:rPr>
                <w:rFonts w:ascii="Arial" w:eastAsia="Arial" w:hAnsi="Arial" w:cs="Arial"/>
                <w:color w:val="000000"/>
                <w:sz w:val="18"/>
                <w:szCs w:val="18"/>
              </w:rPr>
              <w:br/>
            </w:r>
            <w:r>
              <w:rPr>
                <w:rFonts w:ascii="Arial" w:eastAsia="Arial" w:hAnsi="Arial" w:cs="Arial"/>
                <w:b/>
                <w:color w:val="000000"/>
                <w:sz w:val="18"/>
                <w:szCs w:val="18"/>
              </w:rPr>
              <w:t>• Communication:</w:t>
            </w:r>
            <w:r>
              <w:rPr>
                <w:rFonts w:ascii="Arial" w:eastAsia="Arial" w:hAnsi="Arial" w:cs="Arial"/>
                <w:color w:val="000000"/>
                <w:sz w:val="18"/>
                <w:szCs w:val="18"/>
              </w:rPr>
              <w:t xml:space="preserve"> 16</w:t>
            </w:r>
            <w:r>
              <w:rPr>
                <w:rFonts w:ascii="Arial" w:eastAsia="Arial" w:hAnsi="Arial" w:cs="Arial"/>
                <w:color w:val="000000"/>
                <w:sz w:val="18"/>
                <w:szCs w:val="18"/>
              </w:rPr>
              <w:br/>
            </w:r>
            <w:r>
              <w:rPr>
                <w:rFonts w:ascii="Arial" w:eastAsia="Arial" w:hAnsi="Arial" w:cs="Arial"/>
                <w:i/>
                <w:color w:val="000000"/>
                <w:sz w:val="16"/>
                <w:szCs w:val="16"/>
              </w:rPr>
              <w:t>e.g., failed handover between teams</w:t>
            </w:r>
          </w:p>
        </w:tc>
      </w:tr>
      <w:tr w:rsidR="00760895" w14:paraId="6D7CA00F" w14:textId="77777777">
        <w:trPr>
          <w:jc w:val="center"/>
        </w:trPr>
        <w:tc>
          <w:tcPr>
            <w:tcW w:w="432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99E2408" w14:textId="77777777" w:rsidR="00760895" w:rsidRDefault="00000000">
            <w:pPr>
              <w:pBdr>
                <w:top w:val="none" w:sz="0" w:space="0" w:color="000000"/>
                <w:left w:val="none" w:sz="0" w:space="0" w:color="000000"/>
                <w:bottom w:val="none" w:sz="0" w:space="0" w:color="000000"/>
                <w:right w:val="none" w:sz="0" w:space="0" w:color="000000"/>
              </w:pBdr>
              <w:spacing w:before="80" w:after="80" w:line="240" w:lineRule="auto"/>
              <w:ind w:left="100" w:right="100"/>
              <w:rPr>
                <w:rFonts w:ascii="Arial" w:eastAsia="Arial" w:hAnsi="Arial" w:cs="Arial"/>
                <w:color w:val="000000"/>
                <w:sz w:val="18"/>
                <w:szCs w:val="18"/>
              </w:rPr>
            </w:pPr>
            <w:r>
              <w:rPr>
                <w:rFonts w:ascii="Arial" w:eastAsia="Arial" w:hAnsi="Arial" w:cs="Arial"/>
                <w:b/>
                <w:color w:val="000000"/>
                <w:sz w:val="18"/>
                <w:szCs w:val="18"/>
              </w:rPr>
              <w:t>Inadequate protocols (24)</w:t>
            </w:r>
            <w:r>
              <w:rPr>
                <w:rFonts w:ascii="Arial" w:eastAsia="Arial" w:hAnsi="Arial" w:cs="Arial"/>
                <w:color w:val="000000"/>
                <w:sz w:val="18"/>
                <w:szCs w:val="18"/>
              </w:rPr>
              <w:br/>
              <w:t>Absent or insufficient protocols or guidelines.</w:t>
            </w:r>
          </w:p>
        </w:tc>
        <w:tc>
          <w:tcPr>
            <w:tcW w:w="648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52D9180E" w14:textId="77777777" w:rsidR="00760895" w:rsidRDefault="00000000">
            <w:pPr>
              <w:pBdr>
                <w:top w:val="none" w:sz="0" w:space="0" w:color="000000"/>
                <w:left w:val="none" w:sz="0" w:space="0" w:color="000000"/>
                <w:bottom w:val="none" w:sz="0" w:space="0" w:color="000000"/>
                <w:right w:val="none" w:sz="0" w:space="0" w:color="000000"/>
              </w:pBdr>
              <w:spacing w:before="80" w:after="80" w:line="240" w:lineRule="auto"/>
              <w:ind w:left="100" w:right="100"/>
              <w:rPr>
                <w:rFonts w:ascii="Arial" w:eastAsia="Arial" w:hAnsi="Arial" w:cs="Arial"/>
                <w:color w:val="000000"/>
                <w:sz w:val="18"/>
                <w:szCs w:val="18"/>
              </w:rPr>
            </w:pPr>
            <w:r>
              <w:rPr>
                <w:rFonts w:ascii="Arial" w:eastAsia="Arial" w:hAnsi="Arial" w:cs="Arial"/>
                <w:b/>
                <w:color w:val="000000"/>
                <w:sz w:val="18"/>
                <w:szCs w:val="18"/>
              </w:rPr>
              <w:t>• Trauma criteria/guidelines:</w:t>
            </w:r>
            <w:r>
              <w:rPr>
                <w:rFonts w:ascii="Arial" w:eastAsia="Arial" w:hAnsi="Arial" w:cs="Arial"/>
                <w:color w:val="000000"/>
                <w:sz w:val="18"/>
                <w:szCs w:val="18"/>
              </w:rPr>
              <w:t xml:space="preserve"> 22</w:t>
            </w:r>
            <w:r>
              <w:rPr>
                <w:rFonts w:ascii="Arial" w:eastAsia="Arial" w:hAnsi="Arial" w:cs="Arial"/>
                <w:color w:val="000000"/>
                <w:sz w:val="18"/>
                <w:szCs w:val="18"/>
              </w:rPr>
              <w:br/>
            </w:r>
            <w:r>
              <w:rPr>
                <w:rFonts w:ascii="Arial" w:eastAsia="Arial" w:hAnsi="Arial" w:cs="Arial"/>
                <w:i/>
                <w:color w:val="000000"/>
                <w:sz w:val="16"/>
                <w:szCs w:val="16"/>
              </w:rPr>
              <w:t>e.g., protocol undertriage of patient</w:t>
            </w:r>
            <w:r>
              <w:rPr>
                <w:rFonts w:ascii="Arial" w:eastAsia="Arial" w:hAnsi="Arial" w:cs="Arial"/>
                <w:color w:val="000000"/>
                <w:sz w:val="18"/>
                <w:szCs w:val="18"/>
              </w:rPr>
              <w:br/>
            </w:r>
            <w:r>
              <w:rPr>
                <w:rFonts w:ascii="Arial" w:eastAsia="Arial" w:hAnsi="Arial" w:cs="Arial"/>
                <w:b/>
                <w:color w:val="000000"/>
                <w:sz w:val="18"/>
                <w:szCs w:val="18"/>
              </w:rPr>
              <w:t>• Inadequate routine:</w:t>
            </w:r>
            <w:r>
              <w:rPr>
                <w:rFonts w:ascii="Arial" w:eastAsia="Arial" w:hAnsi="Arial" w:cs="Arial"/>
                <w:color w:val="000000"/>
                <w:sz w:val="18"/>
                <w:szCs w:val="18"/>
              </w:rPr>
              <w:t xml:space="preserve"> 2</w:t>
            </w:r>
            <w:r>
              <w:rPr>
                <w:rFonts w:ascii="Arial" w:eastAsia="Arial" w:hAnsi="Arial" w:cs="Arial"/>
                <w:color w:val="000000"/>
                <w:sz w:val="18"/>
                <w:szCs w:val="18"/>
              </w:rPr>
              <w:br/>
            </w:r>
            <w:r>
              <w:rPr>
                <w:rFonts w:ascii="Arial" w:eastAsia="Arial" w:hAnsi="Arial" w:cs="Arial"/>
                <w:i/>
                <w:color w:val="000000"/>
                <w:sz w:val="16"/>
                <w:szCs w:val="16"/>
              </w:rPr>
              <w:t>e.g., absent or unclear local clinical guidelines for managing a specific injury pattern</w:t>
            </w:r>
          </w:p>
        </w:tc>
      </w:tr>
      <w:tr w:rsidR="00760895" w14:paraId="7E462CB2" w14:textId="77777777">
        <w:trPr>
          <w:jc w:val="center"/>
        </w:trPr>
        <w:tc>
          <w:tcPr>
            <w:tcW w:w="4320" w:type="dxa"/>
            <w:tcBorders>
              <w:top w:val="single" w:sz="4"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tcPr>
          <w:p w14:paraId="61154A85" w14:textId="77777777" w:rsidR="00760895" w:rsidRDefault="00000000">
            <w:pPr>
              <w:pBdr>
                <w:top w:val="none" w:sz="0" w:space="0" w:color="000000"/>
                <w:left w:val="none" w:sz="0" w:space="0" w:color="000000"/>
                <w:bottom w:val="none" w:sz="0" w:space="0" w:color="000000"/>
                <w:right w:val="none" w:sz="0" w:space="0" w:color="000000"/>
              </w:pBdr>
              <w:spacing w:before="80" w:after="80" w:line="240" w:lineRule="auto"/>
              <w:ind w:left="100" w:right="100"/>
              <w:rPr>
                <w:rFonts w:ascii="Arial" w:eastAsia="Arial" w:hAnsi="Arial" w:cs="Arial"/>
                <w:color w:val="000000"/>
                <w:sz w:val="18"/>
                <w:szCs w:val="18"/>
              </w:rPr>
            </w:pPr>
            <w:r>
              <w:rPr>
                <w:rFonts w:ascii="Arial" w:eastAsia="Arial" w:hAnsi="Arial" w:cs="Arial"/>
                <w:b/>
                <w:color w:val="000000"/>
                <w:sz w:val="18"/>
                <w:szCs w:val="18"/>
              </w:rPr>
              <w:t>Inadequate resources (111)</w:t>
            </w:r>
            <w:r>
              <w:rPr>
                <w:rFonts w:ascii="Arial" w:eastAsia="Arial" w:hAnsi="Arial" w:cs="Arial"/>
                <w:color w:val="000000"/>
                <w:sz w:val="18"/>
                <w:szCs w:val="18"/>
              </w:rPr>
              <w:br/>
              <w:t>Lack of personnel, material, or infrastructure.</w:t>
            </w:r>
          </w:p>
        </w:tc>
        <w:tc>
          <w:tcPr>
            <w:tcW w:w="6480" w:type="dxa"/>
            <w:tcBorders>
              <w:top w:val="single" w:sz="4"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tcPr>
          <w:p w14:paraId="08D8BFE3" w14:textId="77777777" w:rsidR="00760895" w:rsidRDefault="00000000">
            <w:pPr>
              <w:pBdr>
                <w:top w:val="none" w:sz="0" w:space="0" w:color="000000"/>
                <w:left w:val="none" w:sz="0" w:space="0" w:color="000000"/>
                <w:bottom w:val="none" w:sz="0" w:space="0" w:color="000000"/>
                <w:right w:val="none" w:sz="0" w:space="0" w:color="000000"/>
              </w:pBdr>
              <w:spacing w:before="80" w:after="80" w:line="240" w:lineRule="auto"/>
              <w:ind w:left="100" w:right="100"/>
              <w:rPr>
                <w:rFonts w:ascii="Arial" w:eastAsia="Arial" w:hAnsi="Arial" w:cs="Arial"/>
                <w:color w:val="000000"/>
                <w:sz w:val="18"/>
                <w:szCs w:val="18"/>
              </w:rPr>
            </w:pPr>
            <w:r>
              <w:rPr>
                <w:rFonts w:ascii="Arial" w:eastAsia="Arial" w:hAnsi="Arial" w:cs="Arial"/>
                <w:b/>
                <w:color w:val="000000"/>
                <w:sz w:val="18"/>
                <w:szCs w:val="18"/>
              </w:rPr>
              <w:t>• Resources:</w:t>
            </w:r>
            <w:r>
              <w:rPr>
                <w:rFonts w:ascii="Arial" w:eastAsia="Arial" w:hAnsi="Arial" w:cs="Arial"/>
                <w:color w:val="000000"/>
                <w:sz w:val="18"/>
                <w:szCs w:val="18"/>
              </w:rPr>
              <w:t xml:space="preserve"> 73</w:t>
            </w:r>
            <w:r>
              <w:rPr>
                <w:rFonts w:ascii="Arial" w:eastAsia="Arial" w:hAnsi="Arial" w:cs="Arial"/>
                <w:color w:val="000000"/>
                <w:sz w:val="18"/>
                <w:szCs w:val="18"/>
              </w:rPr>
              <w:br/>
            </w:r>
            <w:r>
              <w:rPr>
                <w:rFonts w:ascii="Arial" w:eastAsia="Arial" w:hAnsi="Arial" w:cs="Arial"/>
                <w:i/>
                <w:color w:val="000000"/>
                <w:sz w:val="16"/>
                <w:szCs w:val="16"/>
              </w:rPr>
              <w:t>e.g., no operating room available</w:t>
            </w:r>
            <w:r>
              <w:rPr>
                <w:rFonts w:ascii="Arial" w:eastAsia="Arial" w:hAnsi="Arial" w:cs="Arial"/>
                <w:color w:val="000000"/>
                <w:sz w:val="18"/>
                <w:szCs w:val="18"/>
              </w:rPr>
              <w:br/>
            </w:r>
            <w:r>
              <w:rPr>
                <w:rFonts w:ascii="Arial" w:eastAsia="Arial" w:hAnsi="Arial" w:cs="Arial"/>
                <w:b/>
                <w:color w:val="000000"/>
                <w:sz w:val="18"/>
                <w:szCs w:val="18"/>
              </w:rPr>
              <w:t>• Logistics/technical:</w:t>
            </w:r>
            <w:r>
              <w:rPr>
                <w:rFonts w:ascii="Arial" w:eastAsia="Arial" w:hAnsi="Arial" w:cs="Arial"/>
                <w:color w:val="000000"/>
                <w:sz w:val="18"/>
                <w:szCs w:val="18"/>
              </w:rPr>
              <w:t xml:space="preserve"> 36</w:t>
            </w:r>
            <w:r>
              <w:rPr>
                <w:rFonts w:ascii="Arial" w:eastAsia="Arial" w:hAnsi="Arial" w:cs="Arial"/>
                <w:color w:val="000000"/>
                <w:sz w:val="18"/>
                <w:szCs w:val="18"/>
              </w:rPr>
              <w:br/>
            </w:r>
            <w:r>
              <w:rPr>
                <w:rFonts w:ascii="Arial" w:eastAsia="Arial" w:hAnsi="Arial" w:cs="Arial"/>
                <w:i/>
                <w:color w:val="000000"/>
                <w:sz w:val="16"/>
                <w:szCs w:val="16"/>
              </w:rPr>
              <w:t>e.g., IT system or equipment failure</w:t>
            </w:r>
            <w:r>
              <w:rPr>
                <w:rFonts w:ascii="Arial" w:eastAsia="Arial" w:hAnsi="Arial" w:cs="Arial"/>
                <w:color w:val="000000"/>
                <w:sz w:val="18"/>
                <w:szCs w:val="18"/>
              </w:rPr>
              <w:br/>
            </w:r>
            <w:r>
              <w:rPr>
                <w:rFonts w:ascii="Arial" w:eastAsia="Arial" w:hAnsi="Arial" w:cs="Arial"/>
                <w:b/>
                <w:color w:val="000000"/>
                <w:sz w:val="18"/>
                <w:szCs w:val="18"/>
              </w:rPr>
              <w:t>• Competence:</w:t>
            </w:r>
            <w:r>
              <w:rPr>
                <w:rFonts w:ascii="Arial" w:eastAsia="Arial" w:hAnsi="Arial" w:cs="Arial"/>
                <w:color w:val="000000"/>
                <w:sz w:val="18"/>
                <w:szCs w:val="18"/>
              </w:rPr>
              <w:t xml:space="preserve"> 2</w:t>
            </w:r>
            <w:r>
              <w:rPr>
                <w:rFonts w:ascii="Arial" w:eastAsia="Arial" w:hAnsi="Arial" w:cs="Arial"/>
                <w:color w:val="000000"/>
                <w:sz w:val="18"/>
                <w:szCs w:val="18"/>
              </w:rPr>
              <w:br/>
            </w:r>
            <w:r>
              <w:rPr>
                <w:rFonts w:ascii="Arial" w:eastAsia="Arial" w:hAnsi="Arial" w:cs="Arial"/>
                <w:i/>
                <w:color w:val="000000"/>
                <w:sz w:val="16"/>
                <w:szCs w:val="16"/>
              </w:rPr>
              <w:t>e.g., required specialist unavailable</w:t>
            </w:r>
          </w:p>
        </w:tc>
      </w:tr>
    </w:tbl>
    <w:p w14:paraId="7151738A" w14:textId="77777777" w:rsidR="00F86F64" w:rsidRDefault="00F86F64">
      <w:pPr>
        <w:pStyle w:val="Heading2"/>
      </w:pPr>
      <w:bookmarkStart w:id="2" w:name="Xe4b3f98df30c68d57aa71692d4c49c5ec142ecf"/>
      <w:bookmarkEnd w:id="1"/>
    </w:p>
    <w:p w14:paraId="5E2C742D" w14:textId="77777777" w:rsidR="00F86F64" w:rsidRDefault="00F86F64">
      <w:pPr>
        <w:spacing w:after="200" w:line="276" w:lineRule="auto"/>
        <w:rPr>
          <w:rFonts w:asciiTheme="majorHAnsi" w:eastAsiaTheme="majorEastAsia" w:hAnsiTheme="majorHAnsi" w:cstheme="majorBidi"/>
          <w:b/>
          <w:bCs/>
          <w:color w:val="4F81BD" w:themeColor="accent1"/>
          <w:sz w:val="26"/>
          <w:szCs w:val="26"/>
        </w:rPr>
      </w:pPr>
      <w:r>
        <w:br w:type="page"/>
      </w:r>
    </w:p>
    <w:p w14:paraId="652DA292" w14:textId="5CCA7662" w:rsidR="00760895" w:rsidRDefault="00000000">
      <w:pPr>
        <w:pStyle w:val="Heading2"/>
      </w:pPr>
      <w:r>
        <w:lastRenderedPageBreak/>
        <w:t>Additional file 2: Full logistic regression results: 30-day mortality</w:t>
      </w:r>
    </w:p>
    <w:tbl>
      <w:tblPr>
        <w:tblW w:w="0" w:type="pct"/>
        <w:jc w:val="center"/>
        <w:tblLook w:val="0420" w:firstRow="1" w:lastRow="0" w:firstColumn="0" w:lastColumn="0" w:noHBand="0" w:noVBand="1"/>
      </w:tblPr>
      <w:tblGrid>
        <w:gridCol w:w="1282"/>
        <w:gridCol w:w="1154"/>
        <w:gridCol w:w="639"/>
        <w:gridCol w:w="984"/>
        <w:gridCol w:w="772"/>
        <w:gridCol w:w="1263"/>
        <w:gridCol w:w="1052"/>
        <w:gridCol w:w="1053"/>
        <w:gridCol w:w="827"/>
      </w:tblGrid>
      <w:tr w:rsidR="00760895" w14:paraId="707ADFEC"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2C2A943"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Term</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E42A3C"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Unadjusted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C3510CB"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Unadj. p</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AD22326"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Patient char.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9B35C1"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Patient char. p</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6A1BDC"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Physiological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4BB8C3C"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Physiological p</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9FF8DF2"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Care-process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F566F0"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Care-process p</w:t>
            </w:r>
          </w:p>
        </w:tc>
      </w:tr>
      <w:tr w:rsidR="00760895" w14:paraId="6798E5FB" w14:textId="77777777">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D5FA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Cohort: blunt multisystem with TBI</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BCB1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9.50 (7.65–11.79)</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9D12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A4CD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10.42 (8.26–13.15)</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2B55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481C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7.49 (5.72–9.82)</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3BD2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4B954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5.28 (3.89–7.17)</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A62B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1979AFE2"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BCB8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Cohort: blunt multisystem without TBI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C428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4.45 (3.34–5.93)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1F7C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AB3D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4.58 (3.39–6.20)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1AA8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6CC3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2.40 (1.66–3.48)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5286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CE49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1.69 (1.13–2.52)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B675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0.011</w:t>
            </w:r>
          </w:p>
        </w:tc>
      </w:tr>
      <w:tr w:rsidR="00760895" w14:paraId="6040AFA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D3B0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Cohort: Isolated severe TBI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F6CA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26.34 (19.94–34.79)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7A04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C8F5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25.66 (18.90–34.83)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31A3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1E9F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38.16 (26.30–55.38)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9090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C7E7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21.54 (14.16–32.78)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CF0D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715250F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EF54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Cohort: severe penetrating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38DC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6.35 (4.88–8.26)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43E2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2277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13.72 (10.21–18.44)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1592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5DAE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5.05 (3.37–7.56)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A959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8E5D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2.83 (1.77–4.52)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6673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771355C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F9F9F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Age (years)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73C8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A62C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D6F9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1.04 (1.03–1.04)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F169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2D98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1.05 (1.04–1.06)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EFAB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4F19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1.06 (1.05–1.06)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4B65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52BE7552"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ECC5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ASA: .L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335F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9722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D624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3.53 (2.42–5.16)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0911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B01E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3.90 (2.59–5.88)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435D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21A7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4.39 (2.89–6.66)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D811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66E668E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7B17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ASA: .Q</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F100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767A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0AD4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2.39 (1.78–3.19)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4C32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E9B5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2.20 (1.60–3.02)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9FD9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38C4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2.48 (1.79–3.42)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8B57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064347D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240A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ASA: .C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61F8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3687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C47F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0.81 (0.67–1.00)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1D6A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48B2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0.83 (0.66–1.03)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C145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5230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0.85 (0.68–1.07)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D79B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0.166</w:t>
            </w:r>
          </w:p>
        </w:tc>
      </w:tr>
      <w:tr w:rsidR="00760895" w14:paraId="28B4857F"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794D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Female sex</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6BE0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3C61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2394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0.96 (0.79–1.17)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BBD4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0.699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9CD0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0.97 (0.78–1.21)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C274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C2B3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1.06 (0.84–1.33)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35F1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0.624</w:t>
            </w:r>
          </w:p>
        </w:tc>
      </w:tr>
      <w:tr w:rsidR="00760895" w14:paraId="7D070E2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2283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SBP (mmHg)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C851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B94E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C6D4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95DA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B1BE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0.97 (0.97–0.98)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B0C6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83D0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0.98 (0.98–0.98)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B60A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12C36E7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7C0B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Respiratory rate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8392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5EB8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A849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8EA01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0E53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0.93 (0.90–0.97)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5DAF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E6F8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0.94 (0.90–0.98)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A600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0.002</w:t>
            </w:r>
          </w:p>
        </w:tc>
      </w:tr>
      <w:tr w:rsidR="00760895" w14:paraId="3AFF47F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0ED3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Intubated in 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8729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0625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8B37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8ACB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80C2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71C2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07BF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1.36 (1.00–1.84)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033C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0.050</w:t>
            </w:r>
          </w:p>
        </w:tc>
      </w:tr>
      <w:tr w:rsidR="00760895" w14:paraId="53DADE7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88D1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Emergency procedure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8CA2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0E3B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C7BE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A555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9A1B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D7D2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86B8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927.21 (16.57–51895.77)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1489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4CEF91E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6312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Care level: .L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7C96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57AE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8187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FDB2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6926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AB8C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0174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1.30 (0.94–1.79)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8F01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0.117</w:t>
            </w:r>
          </w:p>
        </w:tc>
      </w:tr>
      <w:tr w:rsidR="00760895" w14:paraId="219B852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DF65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Care level: .Q</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FEE6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A936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4CA8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A722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A75E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AAF3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0613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2.61 (1.93–3.52)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F4AF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289942EE"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EFA9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Care level: .C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01DC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3AB4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F3F1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3AC2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FE50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2125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744F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1.03 (0.72–1.49)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C8C2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0.854</w:t>
            </w:r>
          </w:p>
        </w:tc>
      </w:tr>
      <w:tr w:rsidR="00760895" w14:paraId="15A00F8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A975F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Care level: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00FF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2A67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9149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8049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56BA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09CA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5524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1.09 (0.77–1.56)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1874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0.620</w:t>
            </w:r>
          </w:p>
        </w:tc>
      </w:tr>
      <w:tr w:rsidR="00760895" w14:paraId="38FDEE5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F97B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procedure: .L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CF94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363B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6592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6DA9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C161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83E4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A266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0.01 (0.00–0.08)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FF38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09602A34"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D3BD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procedure: .Q</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DE62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406D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852A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84E6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503F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7487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30C1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23.80 (2.19–258.61)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39D8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0.009</w:t>
            </w:r>
          </w:p>
        </w:tc>
      </w:tr>
      <w:tr w:rsidR="00760895" w14:paraId="23781D87"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FC9A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procedure: .C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817C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5471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6469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E7F3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27C6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C449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FB99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0.16 (0.04–0.59)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F5E7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0.006</w:t>
            </w:r>
          </w:p>
        </w:tc>
      </w:tr>
      <w:tr w:rsidR="00760895" w14:paraId="09F5640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1882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procedure: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11E4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3690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1063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8293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14C5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B668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8FB5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NA (NA–NA)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E4E1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r>
      <w:tr w:rsidR="00760895" w14:paraId="6CCDE72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C0EF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6846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139A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CBEC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F208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06F4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AD20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78C4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0.44 (0.32–0.60)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DCC9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1F83584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90B5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.Q</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522E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811D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23C5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2263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08D1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2141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D94A3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2.14 (1.61–2.84)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0D8A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3325ED27"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D7F3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6562E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F10A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FACD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7895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C3CB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1690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8299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0.97 (0.71–1.31)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1124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0.828</w:t>
            </w:r>
          </w:p>
        </w:tc>
      </w:tr>
      <w:tr w:rsidR="00760895" w14:paraId="2E586D9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7CB1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6BD4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7D55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012D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FB0B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AA0C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63B9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9368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1.60 (1.19–2.16)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C7EC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0.002</w:t>
            </w:r>
          </w:p>
        </w:tc>
      </w:tr>
      <w:tr w:rsidR="00760895" w14:paraId="14D502C7" w14:textId="77777777">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16FFBE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^5</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20083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E8E9E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61D8F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CCA53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EA043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B0B3C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FECE40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0.99 (0.77–1.26)</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F4D67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0.917</w:t>
            </w:r>
          </w:p>
        </w:tc>
      </w:tr>
    </w:tbl>
    <w:p w14:paraId="4AD85AD1" w14:textId="77777777" w:rsidR="00760895" w:rsidRDefault="00000000">
      <w:pPr>
        <w:pStyle w:val="Heading2"/>
      </w:pPr>
      <w:bookmarkStart w:id="3" w:name="X6e6320e48d745e26846a96843541f44ab4ac6c9"/>
      <w:bookmarkEnd w:id="2"/>
      <w:r>
        <w:lastRenderedPageBreak/>
        <w:t>Additional file 3: Full logistic regression results: Unfavourable GOS</w:t>
      </w:r>
    </w:p>
    <w:tbl>
      <w:tblPr>
        <w:tblW w:w="0" w:type="pct"/>
        <w:jc w:val="center"/>
        <w:tblLook w:val="0420" w:firstRow="1" w:lastRow="0" w:firstColumn="0" w:lastColumn="0" w:noHBand="0" w:noVBand="1"/>
      </w:tblPr>
      <w:tblGrid>
        <w:gridCol w:w="1285"/>
        <w:gridCol w:w="1157"/>
        <w:gridCol w:w="639"/>
        <w:gridCol w:w="986"/>
        <w:gridCol w:w="773"/>
        <w:gridCol w:w="1265"/>
        <w:gridCol w:w="1052"/>
        <w:gridCol w:w="1041"/>
        <w:gridCol w:w="828"/>
      </w:tblGrid>
      <w:tr w:rsidR="00760895" w14:paraId="4B3E0BDB"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920EB8D"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Term</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EF96215"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Unadjusted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347BA6"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Unadj. p</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7855BC"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Patient char.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7E039B"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Patient char. p</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5D4A3E"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Physiological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F60CCF"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Physiological p</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562455"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Care-process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BCC77F"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Care-process p</w:t>
            </w:r>
          </w:p>
        </w:tc>
      </w:tr>
      <w:tr w:rsidR="00760895" w14:paraId="4203A191" w14:textId="77777777">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9BDA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Cohort: blunt multisystem with TBI</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D9B7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15.06 (11.99–18.90)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2F2D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BC3B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19.83 (15.57–25.26)</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FABE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1A84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16.85 (13.16–21.58)</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0DDC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98B3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7.80 (6.00–10.16)</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E87F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3980B0E2"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A1B6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Cohort: blunt multisystem without TBI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A358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8.80 (7.02–11.05)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55B1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40DF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10.62 (8.33–13.54)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7C42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D9BD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8.71 (6.79–11.18)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1128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0831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4.05 (3.09–5.31)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1A5C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4C599EC9"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EAAC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Cohort: Isolated severe TBI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AD54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29.23 (18.80–45.44)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60DF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1B30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30.29 (19.11–47.99)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D597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E59A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32.29 (20.26–51.48)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1A48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1682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10.86 (6.68–17.66)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5278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1B3D8154"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D68D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Cohort: severe penetrating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B3E6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1.54 (1.26–1.90)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5771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5A0D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3.07 (2.45–3.84)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9286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F193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1.92 (1.50–2.45)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7E04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3B03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0.87 (0.65–1.17)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C6FE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0.345</w:t>
            </w:r>
          </w:p>
        </w:tc>
      </w:tr>
      <w:tr w:rsidR="00760895" w14:paraId="3110E064"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744E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Age (years)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A9C5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CBAA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26F7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1.04 (1.03–1.04)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B024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3DDD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1.04 (1.04–1.05)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1B4A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D468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1.05 (1.04–1.05)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8C38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3D15058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D1C7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ASA: .L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9EDA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EF33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54CC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2.20 (1.54–3.15)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EAF2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15A1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2.08 (1.44–2.99)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AA4D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2763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2.09 (1.40–3.10)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DF8F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0807F1CB"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1F82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ASA: .Q</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A413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44D2A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1BA7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1.10 (0.84–1.45)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C303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0.471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3846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1.03 (0.78–1.36)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B410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9984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1.25 (0.93–1.69)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2EE2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0.137</w:t>
            </w:r>
          </w:p>
        </w:tc>
      </w:tr>
      <w:tr w:rsidR="00760895" w14:paraId="0784BE92"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3AA2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ASA: .C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25C0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045B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E5B0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0.97 (0.83–1.14)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749E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0.727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AF07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1.00 (0.85–1.17)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8055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2652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1.11 (0.93–1.32)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E5A2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0.257</w:t>
            </w:r>
          </w:p>
        </w:tc>
      </w:tr>
      <w:tr w:rsidR="00760895" w14:paraId="44978819"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F8FF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Female sex</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23DD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BFFE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6339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1.00 (0.89–1.12)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5F16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C176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0.96 (0.85–1.09)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A895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0.555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4581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1.21 (1.06–1.38)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3BFF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0.006</w:t>
            </w:r>
          </w:p>
        </w:tc>
      </w:tr>
      <w:tr w:rsidR="00760895" w14:paraId="01A4A282"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CF11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SBP (mmHg)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AAAB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33B3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4856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F809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4DA1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0.99 (0.98–0.99)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FE89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ADE3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0.99 (0.99–0.99)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AE8D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3FFD8B8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B137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Respiratory rate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7A07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2E1F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3606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7092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6983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1.00 (0.98–1.02)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A9CF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0.713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5B7C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0.98 (0.96–1.00)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74E2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0.026</w:t>
            </w:r>
          </w:p>
        </w:tc>
      </w:tr>
      <w:tr w:rsidR="00760895" w14:paraId="02BC645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F7D3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Intubated in 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3440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692D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C466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6BB4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AAFE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A7A4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27F8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0.79 (0.62–1.01)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49BD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0.058</w:t>
            </w:r>
          </w:p>
        </w:tc>
      </w:tr>
      <w:tr w:rsidR="00760895" w14:paraId="0A65CEC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275D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Emergency procedure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0565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DE54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2D20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0379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0E4D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8995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ED0F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4.32 (0.37–50.35)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4002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0.243</w:t>
            </w:r>
          </w:p>
        </w:tc>
      </w:tr>
      <w:tr w:rsidR="00760895" w14:paraId="3E75D62F"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970A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Care level: .L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33C1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C40EA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2D22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589A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D8CF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6221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6D34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9.13 (7.49–11.13)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5100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453B8FB2"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68E8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Care level: .Q</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6DFD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6B65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E030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6A16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9891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CE71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A058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0.91 (0.77–1.08)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2809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0.286</w:t>
            </w:r>
          </w:p>
        </w:tc>
      </w:tr>
      <w:tr w:rsidR="00760895" w14:paraId="3099CD7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4891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Care level: .C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C00A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1396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48D4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D64C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F89F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CD5F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9741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0.93 (0.77–1.12)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69C6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0.436</w:t>
            </w:r>
          </w:p>
        </w:tc>
      </w:tr>
      <w:tr w:rsidR="00760895" w14:paraId="244EE4A9"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B353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Care level: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5CF5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0B55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AB2C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9A87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139E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6DD6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8C91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1.38 (1.17–1.62)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7E0F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3E07501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6FB5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procedure: .L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416A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7239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E6D4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3AAB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816F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6440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C4D6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0.51 (0.11–2.50)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3581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0.410</w:t>
            </w:r>
          </w:p>
        </w:tc>
      </w:tr>
      <w:tr w:rsidR="00760895" w14:paraId="47EE016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90F4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procedure: .Q</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BC6B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470D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D8DD3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A5D6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CEA9B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09A4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B91B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2.87 (0.69–11.93)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250A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0.146</w:t>
            </w:r>
          </w:p>
        </w:tc>
      </w:tr>
      <w:tr w:rsidR="00760895" w14:paraId="3419E6BB"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865E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procedure: .C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9D2B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6809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0ECB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5EE9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FD77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A201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DD1C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0.81 (0.37–1.77)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4597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0.599</w:t>
            </w:r>
          </w:p>
        </w:tc>
      </w:tr>
      <w:tr w:rsidR="00760895" w14:paraId="667831B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5510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procedure: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1484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E155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4C29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A89A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FA13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9654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EE64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NA (NA–NA)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40B7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r>
      <w:tr w:rsidR="00760895" w14:paraId="1CF46C8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710F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2C06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B0B3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B711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D525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CEA8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D76B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F024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0.79 (0.66–0.94)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7041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0.009</w:t>
            </w:r>
          </w:p>
        </w:tc>
      </w:tr>
      <w:tr w:rsidR="00760895" w14:paraId="11DBA67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3404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.Q</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6564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81A1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D9E6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38CB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B4A5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0967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A4F5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2.37 (2.00–2.80)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2A83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13E1700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CDE7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F7BE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0623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4E55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03DF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6C98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E503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7C70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0.81 (0.69–0.96)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A9C0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0.015</w:t>
            </w:r>
          </w:p>
        </w:tc>
      </w:tr>
      <w:tr w:rsidR="00760895" w14:paraId="1A33AB12"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34CB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35E6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95F4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49C43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886F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F3CB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87FF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2C20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1.49 (1.28–1.75)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AA4D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48E72563" w14:textId="77777777">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36A3E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^5</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3A06D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255BF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746083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B61EF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9CFB72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B2854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AF9F2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1.09 (0.95–1.25)</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B78808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0.227</w:t>
            </w:r>
          </w:p>
        </w:tc>
      </w:tr>
    </w:tbl>
    <w:p w14:paraId="66923435" w14:textId="77777777" w:rsidR="00760895" w:rsidRDefault="00000000">
      <w:pPr>
        <w:pStyle w:val="Heading2"/>
      </w:pPr>
      <w:bookmarkStart w:id="4" w:name="X6edf8180182dbff8b1e5be2470b43c4cfa688cd"/>
      <w:bookmarkEnd w:id="3"/>
      <w:r>
        <w:lastRenderedPageBreak/>
        <w:t>Additional file 4: Full logistic regression results: Opportunities for improvement</w:t>
      </w:r>
    </w:p>
    <w:tbl>
      <w:tblPr>
        <w:tblW w:w="0" w:type="pct"/>
        <w:jc w:val="center"/>
        <w:tblLook w:val="0420" w:firstRow="1" w:lastRow="0" w:firstColumn="0" w:lastColumn="0" w:noHBand="0" w:noVBand="1"/>
      </w:tblPr>
      <w:tblGrid>
        <w:gridCol w:w="1285"/>
        <w:gridCol w:w="1157"/>
        <w:gridCol w:w="639"/>
        <w:gridCol w:w="986"/>
        <w:gridCol w:w="773"/>
        <w:gridCol w:w="1265"/>
        <w:gridCol w:w="1052"/>
        <w:gridCol w:w="1041"/>
        <w:gridCol w:w="828"/>
      </w:tblGrid>
      <w:tr w:rsidR="00760895" w14:paraId="08F955EC"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1E9CF04"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Term</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B7864C"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Unadjusted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A7F425"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Unadj. p</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E4DDD73"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Patient char.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C354C7B"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Patient char. p</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C4045F"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Physiological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1E86364"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Physiological p</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39B39E"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Care-process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AC8865"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Care-process p</w:t>
            </w:r>
          </w:p>
        </w:tc>
      </w:tr>
      <w:tr w:rsidR="00760895" w14:paraId="51FDD26B" w14:textId="77777777">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2004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Cohort: blunt multisystem with TBI</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23AF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2.39 (1.80–3.19)</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8D5AB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E0CC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2.31 (1.73–3.08)</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CF02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5FB6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2.37 (1.77–3.17)</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AAC8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AB36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1.78 (1.29–2.46)</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06A6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2D26A98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E422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Cohort: blunt multisystem without TBI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C2EC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4.11 (3.11–5.43)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C528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5E52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3.96 (3.00–5.24)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4A4D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3C0B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4.03 (3.03–5.36)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5F23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9325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2.82 (2.07–3.83)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D2D1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7E60CBDB"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1D33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Cohort: Isolated severe TBI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1C46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1.60 (0.98–2.62)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82C7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F6A0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1.45 (0.88–2.39)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4B98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0.141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F835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1.49 (0.91–2.46)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D37C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0.115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2A5F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1.08 (0.63–1.87)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5C8A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0.777</w:t>
            </w:r>
          </w:p>
        </w:tc>
      </w:tr>
      <w:tr w:rsidR="00760895" w14:paraId="7F9A7E6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996D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Cohort: severe penetrating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C300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1.55 (1.05–2.28)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BAE2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3C7D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1.64 (1.10–2.44)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617C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B58F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1.71 (1.14–2.56)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067C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AF12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1.40 (0.90–2.17)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30CB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0.133</w:t>
            </w:r>
          </w:p>
        </w:tc>
      </w:tr>
      <w:tr w:rsidR="00760895" w14:paraId="57CA248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FED5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Age (years)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0033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8E13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52C0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1.01 (1.00–1.01)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7376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6287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1.01 (1.00–1.01)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C1FB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9CDA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1.01 (1.00–1.01)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36A8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0.049</w:t>
            </w:r>
          </w:p>
        </w:tc>
      </w:tr>
      <w:tr w:rsidR="00760895" w14:paraId="2E8ABBF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8B32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ASA: .L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CA92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2A89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AA9A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0.87 (0.43–1.77)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B751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0.704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7ABC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0.86 (0.43–1.74)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5C28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0.676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417E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0.79 (0.39–1.60)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5932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0.504</w:t>
            </w:r>
          </w:p>
        </w:tc>
      </w:tr>
      <w:tr w:rsidR="00760895" w14:paraId="147FA10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9140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ASA: .Q</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1ED3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72CC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EA70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0.79 (0.47–1.34)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AFA0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0.382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7D99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0.79 (0.47–1.34)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3E61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0.380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E4DC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0.83 (0.48–1.41)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AB43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0.480</w:t>
            </w:r>
          </w:p>
        </w:tc>
      </w:tr>
      <w:tr w:rsidR="00760895" w14:paraId="02039D1E"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1729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ASA: .C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5FE0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EE6B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535A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0.89 (0.67–1.19)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6F15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0.441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6B6D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0.88 (0.66–1.18)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0E3B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0.406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DCC1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0.86 (0.64–1.16)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C311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0.329</w:t>
            </w:r>
          </w:p>
        </w:tc>
      </w:tr>
      <w:tr w:rsidR="00760895" w14:paraId="417DDB2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F3AF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Female sex</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7443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010C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14BC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0.85 (0.69–1.04)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42FA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0.114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54CA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0.85 (0.69–1.05)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B3A1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0.135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FD1B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0.90 (0.72–1.11)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CC85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0.317</w:t>
            </w:r>
          </w:p>
        </w:tc>
      </w:tr>
      <w:tr w:rsidR="00760895" w14:paraId="5943728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CB66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SBP (mmHg)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DEAA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FD7B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3798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9CEB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B1B0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1.00 (1.00–1.00)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8439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0.451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4E6B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1.00 (1.00–1.00)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400E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0.602</w:t>
            </w:r>
          </w:p>
        </w:tc>
      </w:tr>
      <w:tr w:rsidR="00760895" w14:paraId="152518E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CE83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Respiratory rate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4D9D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6343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D3E4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A002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4CF6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1.02 (1.00–1.04)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495B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FEF9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1.01 (0.99–1.03)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7153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0.456</w:t>
            </w:r>
          </w:p>
        </w:tc>
      </w:tr>
      <w:tr w:rsidR="00760895" w14:paraId="6C337BD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9F5F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Intubated in 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D011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F56F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962B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C8D1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CEB2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5AAB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39BE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1.29 (0.94–1.77)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1C4B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0.111</w:t>
            </w:r>
          </w:p>
        </w:tc>
      </w:tr>
      <w:tr w:rsidR="00760895" w14:paraId="47CF737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3A4A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Emergency procedure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06C9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1BE9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A288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1DCA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A8DB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B954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A789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1.99 (0.04–102.57)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0404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0.731</w:t>
            </w:r>
          </w:p>
        </w:tc>
      </w:tr>
      <w:tr w:rsidR="00760895" w14:paraId="13844A37"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E27A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Care level: .L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3EFB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FDBE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31A9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FA9C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14DD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36E4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A260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2.91 (2.01–4.21)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0E59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44C457DB"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FE59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Care level: .Q</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7A1E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A0E4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295F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F9B8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DE3A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4640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F186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0.41 (0.30–0.55)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7B41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16C41B1B"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B385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Care level: .C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C210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C5D8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C657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DA89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9E70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0AB2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3703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0.89 (0.67–1.17)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5589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0.407</w:t>
            </w:r>
          </w:p>
        </w:tc>
      </w:tr>
      <w:tr w:rsidR="00760895" w14:paraId="024BDBAB"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09F8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Care level: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47A7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A4C0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419A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9562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B671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DE0E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9BCB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0.75 (0.59–0.95)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94DD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0.019</w:t>
            </w:r>
          </w:p>
        </w:tc>
      </w:tr>
      <w:tr w:rsidR="00760895" w14:paraId="1C94771F"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6E93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procedure: .L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CCDE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2E96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03AB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9E18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D46A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CCD1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3BF7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1.52 (0.12–19.06)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5449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0.744</w:t>
            </w:r>
          </w:p>
        </w:tc>
      </w:tr>
      <w:tr w:rsidR="00760895" w14:paraId="02B8E70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AAB13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procedure: .Q</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C388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0A44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BE5F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2970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83D3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1027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8F58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2.17 (0.21–22.26)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156B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0.513</w:t>
            </w:r>
          </w:p>
        </w:tc>
      </w:tr>
      <w:tr w:rsidR="00760895" w14:paraId="1606ED4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2C52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procedure: .C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1BD4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6933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B68E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3FBF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55C3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E7F2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082E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0.70 (0.20–2.40)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A0D2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0.571</w:t>
            </w:r>
          </w:p>
        </w:tc>
      </w:tr>
      <w:tr w:rsidR="00760895" w14:paraId="74DFAC59"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9966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procedure: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BF6E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C2E6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CCC2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0F0D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4984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21D9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67FE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NA (NA–NA)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67EE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r>
      <w:tr w:rsidR="00760895" w14:paraId="110FF27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3CE4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CCAD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D6BA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884B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85B8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B942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01ED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B390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2.04 (1.53–2.73)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79A1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&lt;0.001</w:t>
            </w:r>
          </w:p>
        </w:tc>
      </w:tr>
      <w:tr w:rsidR="00760895" w14:paraId="6C33C81E"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5DEA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.Q</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C811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04A6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4555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A123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8AEC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4EA7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4CF7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0.91 (0.69–1.20)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722E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0.495</w:t>
            </w:r>
          </w:p>
        </w:tc>
      </w:tr>
      <w:tr w:rsidR="00760895" w14:paraId="65F2526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127E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580B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6FF1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4C15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9F21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7FFEA"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1A55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226F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0.67 (0.52–0.87)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DE2C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0.002</w:t>
            </w:r>
          </w:p>
        </w:tc>
      </w:tr>
      <w:tr w:rsidR="00760895" w14:paraId="458AB047"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FE5E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48AE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125D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5A13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69B5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222B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A6C3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7755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0.76 (0.60–0.96)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D7D3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0.023</w:t>
            </w:r>
          </w:p>
        </w:tc>
      </w:tr>
      <w:tr w:rsidR="00760895" w14:paraId="77663EC3" w14:textId="77777777">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997E3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Time to CT: ^5</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F8AF4F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0E3A4F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83D0C7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913546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997E8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C97169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B49B49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1.17 (0.95–1.44)</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5A288C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4"/>
                <w:szCs w:val="14"/>
              </w:rPr>
            </w:pPr>
            <w:r>
              <w:rPr>
                <w:rFonts w:ascii="Helvetica" w:eastAsia="Helvetica" w:hAnsi="Helvetica" w:cs="Helvetica"/>
                <w:color w:val="000000"/>
                <w:sz w:val="14"/>
                <w:szCs w:val="14"/>
              </w:rPr>
              <w:t>0.146</w:t>
            </w:r>
          </w:p>
        </w:tc>
      </w:tr>
    </w:tbl>
    <w:p w14:paraId="2882C470" w14:textId="77777777" w:rsidR="00760895" w:rsidRDefault="00000000">
      <w:pPr>
        <w:pStyle w:val="Heading2"/>
      </w:pPr>
      <w:bookmarkStart w:id="5" w:name="Xe3ff628d85cff1a7209fdaafa293f4430e57934"/>
      <w:bookmarkEnd w:id="4"/>
      <w:r>
        <w:lastRenderedPageBreak/>
        <w:t>Additional file 5: Unadjusted and fully adjusted odds ratios by cohort</w:t>
      </w:r>
    </w:p>
    <w:tbl>
      <w:tblPr>
        <w:tblW w:w="0" w:type="pct"/>
        <w:jc w:val="center"/>
        <w:tblLook w:val="0420" w:firstRow="1" w:lastRow="0" w:firstColumn="0" w:lastColumn="0" w:noHBand="0" w:noVBand="1"/>
      </w:tblPr>
      <w:tblGrid>
        <w:gridCol w:w="1518"/>
        <w:gridCol w:w="1290"/>
        <w:gridCol w:w="1317"/>
        <w:gridCol w:w="1257"/>
        <w:gridCol w:w="1452"/>
        <w:gridCol w:w="1058"/>
        <w:gridCol w:w="1134"/>
      </w:tblGrid>
      <w:tr w:rsidR="00760895" w14:paraId="6A936EB0" w14:textId="77777777">
        <w:trPr>
          <w:tblHeader/>
          <w:jc w:val="center"/>
        </w:trPr>
        <w:tc>
          <w:tcPr>
            <w:tcW w:w="0" w:type="auto"/>
            <w:tcBorders>
              <w:top w:val="single" w:sz="12" w:space="0" w:color="666666"/>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3BB6D16F" w14:textId="77777777" w:rsidR="00760895" w:rsidRDefault="00760895">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Helvetica" w:eastAsia="Helvetica" w:hAnsi="Helvetica" w:cs="Helvetica"/>
                <w:b/>
                <w:color w:val="000000"/>
                <w:sz w:val="18"/>
                <w:szCs w:val="18"/>
              </w:rPr>
            </w:pPr>
          </w:p>
        </w:tc>
        <w:tc>
          <w:tcPr>
            <w:tcW w:w="0" w:type="auto"/>
            <w:gridSpan w:val="2"/>
            <w:tcBorders>
              <w:top w:val="single" w:sz="12" w:space="0" w:color="666666"/>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6F8D5382"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Helvetica" w:eastAsia="Helvetica" w:hAnsi="Helvetica" w:cs="Helvetica"/>
                <w:b/>
                <w:color w:val="000000"/>
                <w:sz w:val="18"/>
                <w:szCs w:val="18"/>
              </w:rPr>
            </w:pPr>
            <w:r>
              <w:rPr>
                <w:rFonts w:ascii="Helvetica" w:eastAsia="Helvetica" w:hAnsi="Helvetica" w:cs="Helvetica"/>
                <w:b/>
                <w:color w:val="000000"/>
                <w:sz w:val="18"/>
                <w:szCs w:val="18"/>
              </w:rPr>
              <w:t>30-day mortality</w:t>
            </w:r>
          </w:p>
        </w:tc>
        <w:tc>
          <w:tcPr>
            <w:tcW w:w="0" w:type="auto"/>
            <w:gridSpan w:val="2"/>
            <w:tcBorders>
              <w:top w:val="single" w:sz="12" w:space="0" w:color="666666"/>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1BC9874F"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Helvetica" w:eastAsia="Helvetica" w:hAnsi="Helvetica" w:cs="Helvetica"/>
                <w:b/>
                <w:color w:val="000000"/>
                <w:sz w:val="18"/>
                <w:szCs w:val="18"/>
              </w:rPr>
            </w:pPr>
            <w:r>
              <w:rPr>
                <w:rFonts w:ascii="Helvetica" w:eastAsia="Helvetica" w:hAnsi="Helvetica" w:cs="Helvetica"/>
                <w:b/>
                <w:color w:val="000000"/>
                <w:sz w:val="18"/>
                <w:szCs w:val="18"/>
              </w:rPr>
              <w:t>Unfavourable GOS</w:t>
            </w:r>
          </w:p>
        </w:tc>
        <w:tc>
          <w:tcPr>
            <w:tcW w:w="0" w:type="auto"/>
            <w:gridSpan w:val="2"/>
            <w:tcBorders>
              <w:top w:val="single" w:sz="12" w:space="0" w:color="666666"/>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1D589687"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Helvetica" w:eastAsia="Helvetica" w:hAnsi="Helvetica" w:cs="Helvetica"/>
                <w:b/>
                <w:color w:val="000000"/>
                <w:sz w:val="18"/>
                <w:szCs w:val="18"/>
              </w:rPr>
            </w:pPr>
            <w:r>
              <w:rPr>
                <w:rFonts w:ascii="Helvetica" w:eastAsia="Helvetica" w:hAnsi="Helvetica" w:cs="Helvetica"/>
                <w:b/>
                <w:color w:val="000000"/>
                <w:sz w:val="18"/>
                <w:szCs w:val="18"/>
              </w:rPr>
              <w:t>OFI</w:t>
            </w:r>
          </w:p>
        </w:tc>
      </w:tr>
      <w:tr w:rsidR="00760895" w14:paraId="5E5BAE18" w14:textId="77777777">
        <w:trPr>
          <w:tblHeader/>
          <w:jc w:val="center"/>
        </w:trPr>
        <w:tc>
          <w:tcPr>
            <w:tcW w:w="0" w:type="auto"/>
            <w:tcBorders>
              <w:top w:val="single" w:sz="12" w:space="0" w:color="333333"/>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0A583D"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Cohort</w:t>
            </w:r>
          </w:p>
        </w:tc>
        <w:tc>
          <w:tcPr>
            <w:tcW w:w="0" w:type="auto"/>
            <w:tcBorders>
              <w:top w:val="single" w:sz="12" w:space="0" w:color="333333"/>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E7F120"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Mortality Unadj.</w:t>
            </w:r>
          </w:p>
        </w:tc>
        <w:tc>
          <w:tcPr>
            <w:tcW w:w="0" w:type="auto"/>
            <w:tcBorders>
              <w:top w:val="single" w:sz="12" w:space="0" w:color="333333"/>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1A5814"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Mortality Adjusted</w:t>
            </w:r>
          </w:p>
        </w:tc>
        <w:tc>
          <w:tcPr>
            <w:tcW w:w="0" w:type="auto"/>
            <w:tcBorders>
              <w:top w:val="single" w:sz="12" w:space="0" w:color="333333"/>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EB1CFFA"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Unfav. GOS Unadj.</w:t>
            </w:r>
          </w:p>
        </w:tc>
        <w:tc>
          <w:tcPr>
            <w:tcW w:w="0" w:type="auto"/>
            <w:tcBorders>
              <w:top w:val="single" w:sz="12" w:space="0" w:color="333333"/>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84AC6D"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Unfav. GOS Adjusted</w:t>
            </w:r>
          </w:p>
        </w:tc>
        <w:tc>
          <w:tcPr>
            <w:tcW w:w="0" w:type="auto"/>
            <w:tcBorders>
              <w:top w:val="single" w:sz="12" w:space="0" w:color="333333"/>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D775CA"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OFI Unadj.</w:t>
            </w:r>
          </w:p>
        </w:tc>
        <w:tc>
          <w:tcPr>
            <w:tcW w:w="0" w:type="auto"/>
            <w:tcBorders>
              <w:top w:val="single" w:sz="12" w:space="0" w:color="333333"/>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CE95F5"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OFI Adjusted</w:t>
            </w:r>
          </w:p>
        </w:tc>
      </w:tr>
      <w:tr w:rsidR="00760895" w14:paraId="2CBE15A7" w14:textId="77777777">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2C39A"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rPr>
                <w:rFonts w:ascii="Helvetica" w:eastAsia="Helvetica" w:hAnsi="Helvetica" w:cs="Helvetica"/>
                <w:color w:val="000000"/>
                <w:sz w:val="16"/>
                <w:szCs w:val="16"/>
              </w:rPr>
            </w:pPr>
            <w:r>
              <w:rPr>
                <w:rFonts w:ascii="Helvetica" w:eastAsia="Helvetica" w:hAnsi="Helvetica" w:cs="Helvetica"/>
                <w:color w:val="000000"/>
                <w:sz w:val="16"/>
                <w:szCs w:val="16"/>
              </w:rPr>
              <w:t>Isolated TBI</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6F8EE"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26.34 (19.94–34.79)</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8CAC1"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21.54 (14.16–32.78)</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7378A"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29.23 (18.80–45.44)</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A726A"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10.86 (6.68–17.66)</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418B6"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1.60 (0.98–2.62)</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4CD8A"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1.08 (0.63–1.87)</w:t>
            </w:r>
          </w:p>
        </w:tc>
      </w:tr>
      <w:tr w:rsidR="00760895" w14:paraId="2414393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17E70"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rPr>
                <w:rFonts w:ascii="Helvetica" w:eastAsia="Helvetica" w:hAnsi="Helvetica" w:cs="Helvetica"/>
                <w:color w:val="000000"/>
                <w:sz w:val="16"/>
                <w:szCs w:val="16"/>
              </w:rPr>
            </w:pPr>
            <w:r>
              <w:rPr>
                <w:rFonts w:ascii="Helvetica" w:eastAsia="Helvetica" w:hAnsi="Helvetica" w:cs="Helvetica"/>
                <w:color w:val="000000"/>
                <w:sz w:val="16"/>
                <w:szCs w:val="16"/>
              </w:rPr>
              <w:t>BM with TBI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C4F34"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9.50 (7.65–11.79)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7406E"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5.28 (3.89–7.17)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F7AD4"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15.06 (11.99–18.90)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7D9B4"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7.80 (6.00–10.16)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79B32"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2.39 (1.80–3.19)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9879B"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1.78 (1.29–2.46)</w:t>
            </w:r>
          </w:p>
        </w:tc>
      </w:tr>
      <w:tr w:rsidR="00760895" w14:paraId="708879E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4198C"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rPr>
                <w:rFonts w:ascii="Helvetica" w:eastAsia="Helvetica" w:hAnsi="Helvetica" w:cs="Helvetica"/>
                <w:color w:val="000000"/>
                <w:sz w:val="16"/>
                <w:szCs w:val="16"/>
              </w:rPr>
            </w:pPr>
            <w:r>
              <w:rPr>
                <w:rFonts w:ascii="Helvetica" w:eastAsia="Helvetica" w:hAnsi="Helvetica" w:cs="Helvetica"/>
                <w:color w:val="000000"/>
                <w:sz w:val="16"/>
                <w:szCs w:val="16"/>
              </w:rPr>
              <w:t>Penetrating truncal injury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4E187"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6.35 (4.88–8.26)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CF7CC"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2.83 (1.77–4.52)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B1B56"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1.54 (1.26–1.90)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47DFF"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0.87 (0.65–1.17)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26B9E"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1.55 (1.05–2.28)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746EB"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1.40 (0.90–2.17)</w:t>
            </w:r>
          </w:p>
        </w:tc>
      </w:tr>
      <w:tr w:rsidR="00760895" w14:paraId="5C4F59E4" w14:textId="77777777">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EB8F579"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rPr>
                <w:rFonts w:ascii="Helvetica" w:eastAsia="Helvetica" w:hAnsi="Helvetica" w:cs="Helvetica"/>
                <w:color w:val="000000"/>
                <w:sz w:val="16"/>
                <w:szCs w:val="16"/>
              </w:rPr>
            </w:pPr>
            <w:r>
              <w:rPr>
                <w:rFonts w:ascii="Helvetica" w:eastAsia="Helvetica" w:hAnsi="Helvetica" w:cs="Helvetica"/>
                <w:color w:val="000000"/>
                <w:sz w:val="16"/>
                <w:szCs w:val="16"/>
              </w:rPr>
              <w:t>BM without TBI</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ADEE1C"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4.45 (3.34–5.93)</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948922"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1.69 (1.13–2.52)</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45D927B"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8.80 (7.02–11.05)</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C923D7"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4.05 (3.09–5.31)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70E0ED"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4.11 (3.11–5.43)</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C719433" w14:textId="77777777" w:rsidR="00760895" w:rsidRDefault="00000000">
            <w:pPr>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Helvetica" w:eastAsia="Helvetica" w:hAnsi="Helvetica" w:cs="Helvetica"/>
                <w:color w:val="000000"/>
                <w:sz w:val="16"/>
                <w:szCs w:val="16"/>
              </w:rPr>
            </w:pPr>
            <w:r>
              <w:rPr>
                <w:rFonts w:ascii="Helvetica" w:eastAsia="Helvetica" w:hAnsi="Helvetica" w:cs="Helvetica"/>
                <w:color w:val="000000"/>
                <w:sz w:val="16"/>
                <w:szCs w:val="16"/>
              </w:rPr>
              <w:t>2.82 (2.07–3.83)</w:t>
            </w:r>
          </w:p>
        </w:tc>
      </w:tr>
    </w:tbl>
    <w:p w14:paraId="4D3898F0" w14:textId="77777777" w:rsidR="00F86F64" w:rsidRDefault="00F86F64">
      <w:pPr>
        <w:pStyle w:val="Heading2"/>
      </w:pPr>
      <w:bookmarkStart w:id="6" w:name="X2dd14e4f9d7b6cedda8ed727515ebf56fe6bddd"/>
      <w:bookmarkEnd w:id="5"/>
    </w:p>
    <w:p w14:paraId="0DEFB247" w14:textId="77777777" w:rsidR="00F86F64" w:rsidRDefault="00F86F64">
      <w:pPr>
        <w:spacing w:after="200" w:line="276" w:lineRule="auto"/>
        <w:rPr>
          <w:rFonts w:asciiTheme="majorHAnsi" w:eastAsiaTheme="majorEastAsia" w:hAnsiTheme="majorHAnsi" w:cstheme="majorBidi"/>
          <w:b/>
          <w:bCs/>
          <w:color w:val="4F81BD" w:themeColor="accent1"/>
          <w:sz w:val="26"/>
          <w:szCs w:val="26"/>
        </w:rPr>
      </w:pPr>
      <w:r>
        <w:br w:type="page"/>
      </w:r>
    </w:p>
    <w:p w14:paraId="6B387949" w14:textId="0F5012D8" w:rsidR="00760895" w:rsidRDefault="00000000">
      <w:pPr>
        <w:pStyle w:val="Heading2"/>
      </w:pPr>
      <w:r>
        <w:lastRenderedPageBreak/>
        <w:t>Additional file 6: Cause of death by TQIP cohort (multinomial logistic regression)</w:t>
      </w:r>
    </w:p>
    <w:tbl>
      <w:tblPr>
        <w:tblW w:w="0" w:type="pct"/>
        <w:jc w:val="center"/>
        <w:tblLook w:val="0420" w:firstRow="1" w:lastRow="0" w:firstColumn="0" w:lastColumn="0" w:noHBand="0" w:noVBand="1"/>
      </w:tblPr>
      <w:tblGrid>
        <w:gridCol w:w="2890"/>
        <w:gridCol w:w="1527"/>
        <w:gridCol w:w="1696"/>
        <w:gridCol w:w="763"/>
        <w:gridCol w:w="1199"/>
        <w:gridCol w:w="951"/>
      </w:tblGrid>
      <w:tr w:rsidR="00760895" w14:paraId="0433325B"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91D037"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Cohort</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EDC0FF"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Cause of death</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011C995"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Frequency</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6F35E4"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OR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7340B9"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E86CB54"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p-value</w:t>
            </w:r>
          </w:p>
        </w:tc>
      </w:tr>
      <w:tr w:rsidR="00760895" w14:paraId="78B329DE" w14:textId="77777777">
        <w:trPr>
          <w:jc w:val="center"/>
        </w:trPr>
        <w:tc>
          <w:tcPr>
            <w:tcW w:w="0" w:type="auto"/>
            <w:vMerge w:val="restart"/>
            <w:tcBorders>
              <w:top w:val="single" w:sz="12" w:space="0" w:color="666666"/>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3B1F828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Blunt multisystem without TBI (n=427)</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075F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Alive</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9C87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359 / 7,568 (4.7%)</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D3BC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A148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19E5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r>
      <w:tr w:rsidR="00760895" w14:paraId="77AB2CB8" w14:textId="77777777">
        <w:trPr>
          <w:jc w:val="center"/>
        </w:trPr>
        <w:tc>
          <w:tcPr>
            <w:tcW w:w="0" w:type="auto"/>
            <w:vMerge/>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A1C7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1D90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TBI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F509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6 / 329 (1.8%)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4488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098B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0.56, 2.98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EE38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0.547</w:t>
            </w:r>
          </w:p>
        </w:tc>
      </w:tr>
      <w:tr w:rsidR="00760895" w14:paraId="650A5FF9" w14:textId="77777777">
        <w:trPr>
          <w:jc w:val="center"/>
        </w:trPr>
        <w:tc>
          <w:tcPr>
            <w:tcW w:w="0" w:type="auto"/>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F930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7EA2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Bleeding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FA59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28 / 131 (21.4%)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FE17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44.98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8EBF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22.21, 91.06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05D5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1CBDB4AB" w14:textId="77777777">
        <w:trPr>
          <w:jc w:val="center"/>
        </w:trPr>
        <w:tc>
          <w:tcPr>
            <w:tcW w:w="0" w:type="auto"/>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0AD4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50E4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Multi-organ failure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1B98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12 / 36 (33.3%)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7FE1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B5DB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5.14, 21.85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B8345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3DD54A61" w14:textId="77777777">
        <w:trPr>
          <w:jc w:val="center"/>
        </w:trPr>
        <w:tc>
          <w:tcPr>
            <w:tcW w:w="0" w:type="auto"/>
            <w:vMerge/>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34C8D8A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182BE13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Other</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666C12C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22 / 183 (12.0%)</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5B19830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3.21</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7CC3C35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2.02, 5.12</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7D298B6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7C7ECA07" w14:textId="77777777">
        <w:trPr>
          <w:jc w:val="center"/>
        </w:trPr>
        <w:tc>
          <w:tcPr>
            <w:tcW w:w="0" w:type="auto"/>
            <w:vMerge w:val="restart"/>
            <w:tcBorders>
              <w:top w:val="single" w:sz="12" w:space="0" w:color="333333"/>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3A9336F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Blunt multisystem with TBI (n=587)</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17A4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Alive</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BCA2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417 / 7,568 (5.5%)</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64ED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C96A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C763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r>
      <w:tr w:rsidR="00760895" w14:paraId="40B3CF47" w14:textId="77777777">
        <w:trPr>
          <w:jc w:val="center"/>
        </w:trPr>
        <w:tc>
          <w:tcPr>
            <w:tcW w:w="0" w:type="auto"/>
            <w:vMerge/>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9706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9A44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TBI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07D4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109 / 329 (33.1%)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3EBA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563F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14.94, 27.39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8572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1EBEA7AE" w14:textId="77777777">
        <w:trPr>
          <w:jc w:val="center"/>
        </w:trPr>
        <w:tc>
          <w:tcPr>
            <w:tcW w:w="0" w:type="auto"/>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3B06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368E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Bleeding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C986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21 / 131 (16.0%)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F4E2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29.04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62AD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13.91, 60.63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6AA4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071583A5" w14:textId="77777777">
        <w:trPr>
          <w:jc w:val="center"/>
        </w:trPr>
        <w:tc>
          <w:tcPr>
            <w:tcW w:w="0" w:type="auto"/>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381C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742C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Multi-organ failure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AAE8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3 / 36 (8.3%)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74FA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6CFB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0.68, 7.71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BA5D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0.184</w:t>
            </w:r>
          </w:p>
        </w:tc>
      </w:tr>
      <w:tr w:rsidR="00760895" w14:paraId="4B9E74E8" w14:textId="77777777">
        <w:trPr>
          <w:jc w:val="center"/>
        </w:trPr>
        <w:tc>
          <w:tcPr>
            <w:tcW w:w="0" w:type="auto"/>
            <w:vMerge/>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5F680B4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3586C2A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Other</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0DE611D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28 / 183 (15.3%)</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4E46BC5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3.52</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0AB45D0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2.31, 5.37</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4460AB7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0FB0D065" w14:textId="77777777">
        <w:trPr>
          <w:jc w:val="center"/>
        </w:trPr>
        <w:tc>
          <w:tcPr>
            <w:tcW w:w="0" w:type="auto"/>
            <w:vMerge w:val="restart"/>
            <w:tcBorders>
              <w:top w:val="single" w:sz="12" w:space="0" w:color="333333"/>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18F7B41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Isolated severe TBI (n=246)</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5691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Alive</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E80A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115 / 7,568 (1.5%)</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AA84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6F10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8903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r>
      <w:tr w:rsidR="00760895" w14:paraId="5AC75A0A" w14:textId="77777777">
        <w:trPr>
          <w:jc w:val="center"/>
        </w:trPr>
        <w:tc>
          <w:tcPr>
            <w:tcW w:w="0" w:type="auto"/>
            <w:vMerge/>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75A5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125B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TBI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128E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119 / 329 (36.2%)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B526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80.08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5188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57.20, 112.10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9D39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6D3332AE" w14:textId="77777777">
        <w:trPr>
          <w:jc w:val="center"/>
        </w:trPr>
        <w:tc>
          <w:tcPr>
            <w:tcW w:w="0" w:type="auto"/>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62865"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880B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Bleeding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E8DA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DEB3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617E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0.00, 0.00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051E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66634F58" w14:textId="77777777">
        <w:trPr>
          <w:jc w:val="center"/>
        </w:trPr>
        <w:tc>
          <w:tcPr>
            <w:tcW w:w="0" w:type="auto"/>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C31A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9917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Multi-organ failure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F164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60ED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4034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0.00, 0.00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F9FD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02F64192" w14:textId="77777777">
        <w:trPr>
          <w:jc w:val="center"/>
        </w:trPr>
        <w:tc>
          <w:tcPr>
            <w:tcW w:w="0" w:type="auto"/>
            <w:vMerge/>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0AE7E02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7C8FE5D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Other</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3770DAC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7 / 183 (3.8%)</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7F86836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3.19</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666CB2B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1.46, 6.98</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73118A5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0.004</w:t>
            </w:r>
          </w:p>
        </w:tc>
      </w:tr>
      <w:tr w:rsidR="00760895" w14:paraId="2FAB9AB2" w14:textId="77777777">
        <w:trPr>
          <w:jc w:val="center"/>
        </w:trPr>
        <w:tc>
          <w:tcPr>
            <w:tcW w:w="0" w:type="auto"/>
            <w:vMerge w:val="restart"/>
            <w:tcBorders>
              <w:top w:val="single" w:sz="12" w:space="0" w:color="333333"/>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3E367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Penetrating truncal injury (n=423)</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C1E1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Alive</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B454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333 / 7,568 (4.4%)</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E78D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F5A4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635D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r>
      <w:tr w:rsidR="00760895" w14:paraId="2C19A759" w14:textId="77777777">
        <w:trPr>
          <w:jc w:val="center"/>
        </w:trPr>
        <w:tc>
          <w:tcPr>
            <w:tcW w:w="0" w:type="auto"/>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A7D9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135B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TBI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787B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13 / 329 (4.0%)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EABE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3.02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5CC1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1.67, 5.48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4061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326FFB8B" w14:textId="77777777">
        <w:trPr>
          <w:jc w:val="center"/>
        </w:trPr>
        <w:tc>
          <w:tcPr>
            <w:tcW w:w="0" w:type="auto"/>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35CDC2"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36FC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Bleeding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5141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71 / 131 (54.2%)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FAF1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122.97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DA45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64.55, 234.27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61E9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315523D2" w14:textId="77777777">
        <w:trPr>
          <w:jc w:val="center"/>
        </w:trPr>
        <w:tc>
          <w:tcPr>
            <w:tcW w:w="0" w:type="auto"/>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1CCE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F7A3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Multi-organ failure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13D5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 / 36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B21E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F5E1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0.13, 7.12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9C91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0.962</w:t>
            </w:r>
          </w:p>
        </w:tc>
      </w:tr>
      <w:tr w:rsidR="00760895" w14:paraId="3B090B5A" w14:textId="77777777">
        <w:trPr>
          <w:jc w:val="center"/>
        </w:trPr>
        <w:tc>
          <w:tcPr>
            <w:tcW w:w="0" w:type="auto"/>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4BF14D"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E74F1C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Other</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6C8B8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5 / 183 (2.7%)</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3290C5"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0.79</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0E8824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0.32, 1.94</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DB885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0.602</w:t>
            </w:r>
          </w:p>
        </w:tc>
      </w:tr>
      <w:tr w:rsidR="00760895" w14:paraId="17A3FD79" w14:textId="77777777">
        <w:trPr>
          <w:jc w:val="center"/>
        </w:trPr>
        <w:tc>
          <w:tcPr>
            <w:tcW w:w="0" w:type="auto"/>
            <w:gridSpan w:val="6"/>
            <w:tcBorders>
              <w:top w:val="single" w:sz="12"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5054E91"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Reference: Alive in the Non TQIP-cohort. Frequency: n / N (%), where N is the total count of that cause of death across all cohorts. Multinomial logistic regression. Deaths classified as Unknown excluded.</w:t>
            </w:r>
          </w:p>
        </w:tc>
      </w:tr>
    </w:tbl>
    <w:p w14:paraId="1E9CEB4D" w14:textId="77777777" w:rsidR="00F86F64" w:rsidRDefault="00F86F64">
      <w:pPr>
        <w:pStyle w:val="Heading2"/>
      </w:pPr>
      <w:bookmarkStart w:id="7" w:name="Xe0e0e8434166e99252a0fe51144280bbfb3a945"/>
      <w:bookmarkEnd w:id="6"/>
    </w:p>
    <w:p w14:paraId="472BB13B" w14:textId="77777777" w:rsidR="00F86F64" w:rsidRDefault="00F86F64">
      <w:pPr>
        <w:spacing w:after="200" w:line="276" w:lineRule="auto"/>
        <w:rPr>
          <w:rFonts w:asciiTheme="majorHAnsi" w:eastAsiaTheme="majorEastAsia" w:hAnsiTheme="majorHAnsi" w:cstheme="majorBidi"/>
          <w:b/>
          <w:bCs/>
          <w:color w:val="4F81BD" w:themeColor="accent1"/>
          <w:sz w:val="26"/>
          <w:szCs w:val="26"/>
        </w:rPr>
      </w:pPr>
      <w:r>
        <w:br w:type="page"/>
      </w:r>
    </w:p>
    <w:p w14:paraId="093FDAE9" w14:textId="04FBB3C1" w:rsidR="00760895" w:rsidRDefault="00000000">
      <w:pPr>
        <w:pStyle w:val="Heading2"/>
      </w:pPr>
      <w:r>
        <w:lastRenderedPageBreak/>
        <w:t>Additional file 7: Individual GOS levels by TQIP cohort (multinomial logistic regression)</w:t>
      </w:r>
    </w:p>
    <w:tbl>
      <w:tblPr>
        <w:tblW w:w="0" w:type="pct"/>
        <w:jc w:val="center"/>
        <w:tblLook w:val="0420" w:firstRow="1" w:lastRow="0" w:firstColumn="0" w:lastColumn="0" w:noHBand="0" w:noVBand="1"/>
      </w:tblPr>
      <w:tblGrid>
        <w:gridCol w:w="2748"/>
        <w:gridCol w:w="1627"/>
        <w:gridCol w:w="1618"/>
        <w:gridCol w:w="778"/>
        <w:gridCol w:w="1400"/>
        <w:gridCol w:w="855"/>
      </w:tblGrid>
      <w:tr w:rsidR="00760895" w14:paraId="385493A9"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BDC8D9"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Cohort</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8CF337B"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GOS level</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F6B8E5"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Frequency</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7200069"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OR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BC801B"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8B5BFB"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b/>
                <w:color w:val="000000"/>
                <w:sz w:val="16"/>
                <w:szCs w:val="16"/>
              </w:rPr>
            </w:pPr>
            <w:r>
              <w:rPr>
                <w:rFonts w:ascii="Helvetica" w:eastAsia="Helvetica" w:hAnsi="Helvetica" w:cs="Helvetica"/>
                <w:b/>
                <w:color w:val="000000"/>
                <w:sz w:val="16"/>
                <w:szCs w:val="16"/>
              </w:rPr>
              <w:t>p-value</w:t>
            </w:r>
          </w:p>
        </w:tc>
      </w:tr>
      <w:tr w:rsidR="00760895" w14:paraId="51077026" w14:textId="77777777">
        <w:trPr>
          <w:jc w:val="center"/>
        </w:trPr>
        <w:tc>
          <w:tcPr>
            <w:tcW w:w="0" w:type="auto"/>
            <w:vMerge w:val="restart"/>
            <w:tcBorders>
              <w:top w:val="single" w:sz="12" w:space="0" w:color="666666"/>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1FB18E6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Blunt multisystem without TBI (n=427)</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05D8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Good recovery</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1F88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4 / 2,629 (0.2%)</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7910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3B8D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7279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r>
      <w:tr w:rsidR="00760895" w14:paraId="22259964" w14:textId="77777777">
        <w:trPr>
          <w:jc w:val="center"/>
        </w:trPr>
        <w:tc>
          <w:tcPr>
            <w:tcW w:w="0" w:type="auto"/>
            <w:vMerge/>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651F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3941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Moderate disability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475D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101 / 2,773 (3.6%)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9AA4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27.55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5175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10.14, 74.88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E3AE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5073D0E5" w14:textId="77777777">
        <w:trPr>
          <w:jc w:val="center"/>
        </w:trPr>
        <w:tc>
          <w:tcPr>
            <w:tcW w:w="0" w:type="auto"/>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A480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9FEF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Severe disability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671E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253 / 2,225 (11.4%)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CFC5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107.90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989D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40.14, 290.06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90C9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531B0093" w14:textId="77777777">
        <w:trPr>
          <w:jc w:val="center"/>
        </w:trPr>
        <w:tc>
          <w:tcPr>
            <w:tcW w:w="0" w:type="auto"/>
            <w:vMerge/>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0621C034"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57D74AA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Dead/Vegetative</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7957D89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69 / 671 (10.3%)</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3A1DC0B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210.05</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227844C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75.98, 580.70</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7AF2E3D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3D18775D" w14:textId="77777777">
        <w:trPr>
          <w:jc w:val="center"/>
        </w:trPr>
        <w:tc>
          <w:tcPr>
            <w:tcW w:w="0" w:type="auto"/>
            <w:vMerge w:val="restart"/>
            <w:tcBorders>
              <w:top w:val="single" w:sz="12" w:space="0" w:color="333333"/>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4DF1E90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Blunt multisystem with TBI (n=587)</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5CBB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Good recovery</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6312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 / 2,629 (0.0%)</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9A6E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4A2B0"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231A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r>
      <w:tr w:rsidR="00760895" w14:paraId="2C031D48" w14:textId="77777777">
        <w:trPr>
          <w:jc w:val="center"/>
        </w:trPr>
        <w:tc>
          <w:tcPr>
            <w:tcW w:w="0" w:type="auto"/>
            <w:vMerge/>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8097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1176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Moderate disability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B3177"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93 / 2,773 (3.4%)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558FC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101.74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98E3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14.16, 731.13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10A4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03E8B4D7" w14:textId="77777777">
        <w:trPr>
          <w:jc w:val="center"/>
        </w:trPr>
        <w:tc>
          <w:tcPr>
            <w:tcW w:w="0" w:type="auto"/>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7197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7C60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Severe disability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62EA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325 / 2,225 (14.6%)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78FA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555.95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F109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77.93, 3966.10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BAA8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7666C29C" w14:textId="77777777">
        <w:trPr>
          <w:jc w:val="center"/>
        </w:trPr>
        <w:tc>
          <w:tcPr>
            <w:tcW w:w="0" w:type="auto"/>
            <w:vMerge/>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116E4266"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4DF5EF9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Dead/Vegetative</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6EF43D1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168 / 671 (25.0%)</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2AD90DD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2051.16</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63F4296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285.57, 14732.71</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28E50E6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25ED0BDB" w14:textId="77777777">
        <w:trPr>
          <w:jc w:val="center"/>
        </w:trPr>
        <w:tc>
          <w:tcPr>
            <w:tcW w:w="0" w:type="auto"/>
            <w:vMerge w:val="restart"/>
            <w:tcBorders>
              <w:top w:val="single" w:sz="12" w:space="0" w:color="333333"/>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5F44CD2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Isolated severe TBI (n=246)</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F8CB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Good recovery</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614C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3 / 2,629 (0.1%)</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72CD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12B0C"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D4281"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r>
      <w:tr w:rsidR="00760895" w14:paraId="716100C6" w14:textId="77777777">
        <w:trPr>
          <w:jc w:val="center"/>
        </w:trPr>
        <w:tc>
          <w:tcPr>
            <w:tcW w:w="0" w:type="auto"/>
            <w:vMerge/>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CA4DB"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D264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Moderate disability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3090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19 / 2,773 (0.7%)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F109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6.91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C34A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2.04, 23.37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D465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0.002</w:t>
            </w:r>
          </w:p>
        </w:tc>
      </w:tr>
      <w:tr w:rsidR="00760895" w14:paraId="648813B5" w14:textId="77777777">
        <w:trPr>
          <w:jc w:val="center"/>
        </w:trPr>
        <w:tc>
          <w:tcPr>
            <w:tcW w:w="0" w:type="auto"/>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7A57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3918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Severe disability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2FD4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91 / 2,225 (4.1%)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C4638"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51.78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EA4B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16.38, 163.73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0E5A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3F6D7016" w14:textId="77777777">
        <w:trPr>
          <w:jc w:val="center"/>
        </w:trPr>
        <w:tc>
          <w:tcPr>
            <w:tcW w:w="0" w:type="auto"/>
            <w:vMerge/>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5368FC3E"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7DA1A92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Dead/Vegetative</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3DE3BDD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133 / 671 (19.8%)</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64F7F96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540.16</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182741F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170.66, 1709.70</w:t>
            </w:r>
          </w:p>
        </w:tc>
        <w:tc>
          <w:tcPr>
            <w:tcW w:w="0" w:type="auto"/>
            <w:tcBorders>
              <w:top w:val="none" w:sz="0" w:space="0" w:color="000000"/>
              <w:left w:val="none" w:sz="0" w:space="0" w:color="000000"/>
              <w:bottom w:val="single" w:sz="12" w:space="0" w:color="333333"/>
              <w:right w:val="none" w:sz="0" w:space="0" w:color="000000"/>
            </w:tcBorders>
            <w:shd w:val="clear" w:color="auto" w:fill="FFFFFF"/>
            <w:tcMar>
              <w:top w:w="0" w:type="dxa"/>
              <w:left w:w="0" w:type="dxa"/>
              <w:bottom w:w="0" w:type="dxa"/>
              <w:right w:w="0" w:type="dxa"/>
            </w:tcMar>
            <w:vAlign w:val="center"/>
          </w:tcPr>
          <w:p w14:paraId="3519F23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44B9A266" w14:textId="77777777">
        <w:trPr>
          <w:jc w:val="center"/>
        </w:trPr>
        <w:tc>
          <w:tcPr>
            <w:tcW w:w="0" w:type="auto"/>
            <w:vMerge w:val="restart"/>
            <w:tcBorders>
              <w:top w:val="single" w:sz="12" w:space="0" w:color="333333"/>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71C27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Penetrating truncal injury (n=423)</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F7F6A"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Good recovery</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7FA5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59 / 2,629 (2.2%)</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AFC8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w:t>
            </w: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66743"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single" w:sz="12" w:space="0" w:color="333333"/>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45339"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r>
      <w:tr w:rsidR="00760895" w14:paraId="1D56D5DF" w14:textId="77777777">
        <w:trPr>
          <w:jc w:val="center"/>
        </w:trPr>
        <w:tc>
          <w:tcPr>
            <w:tcW w:w="0" w:type="auto"/>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80417"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1A27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Moderate disability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1E32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216 / 2,773 (7.8%)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5278B"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4.00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AC314"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2.98, 5.37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AD053"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1BF74A79" w14:textId="77777777">
        <w:trPr>
          <w:jc w:val="center"/>
        </w:trPr>
        <w:tc>
          <w:tcPr>
            <w:tcW w:w="0" w:type="auto"/>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79E0F"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77B51"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Severe disability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2B269"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57 / 2,225 (2.6%)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333C6"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5ED4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1.14, 2.39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D698E"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0.008</w:t>
            </w:r>
          </w:p>
        </w:tc>
      </w:tr>
      <w:tr w:rsidR="00760895" w14:paraId="7B63E88F" w14:textId="77777777">
        <w:trPr>
          <w:jc w:val="center"/>
        </w:trPr>
        <w:tc>
          <w:tcPr>
            <w:tcW w:w="0" w:type="auto"/>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8F0CE48" w14:textId="77777777" w:rsidR="00760895" w:rsidRDefault="00760895">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26A78D"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Dead/Vegetative</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F6AEC0"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91 / 671 (13.6%)</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49AF67C"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18.81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7EEBAC2"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color w:val="000000"/>
                <w:sz w:val="16"/>
                <w:szCs w:val="16"/>
              </w:rPr>
            </w:pPr>
            <w:r>
              <w:rPr>
                <w:rFonts w:ascii="Helvetica" w:eastAsia="Helvetica" w:hAnsi="Helvetica" w:cs="Helvetica"/>
                <w:color w:val="000000"/>
                <w:sz w:val="16"/>
                <w:szCs w:val="16"/>
              </w:rPr>
              <w:t>13.17, 26.87</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7F516F" w14:textId="77777777" w:rsidR="00760895" w:rsidRDefault="00000000">
            <w:pPr>
              <w:pBdr>
                <w:top w:val="none" w:sz="0" w:space="0" w:color="000000"/>
                <w:left w:val="none" w:sz="0" w:space="0" w:color="000000"/>
                <w:bottom w:val="none" w:sz="0" w:space="0" w:color="000000"/>
                <w:right w:val="none" w:sz="0" w:space="0" w:color="000000"/>
              </w:pBdr>
              <w:spacing w:before="40" w:after="40" w:line="240" w:lineRule="auto"/>
              <w:ind w:left="40" w:right="40"/>
              <w:rPr>
                <w:rFonts w:ascii="Helvetica" w:eastAsia="Helvetica" w:hAnsi="Helvetica" w:cs="Helvetica"/>
                <w:b/>
                <w:color w:val="000000"/>
                <w:sz w:val="16"/>
                <w:szCs w:val="16"/>
              </w:rPr>
            </w:pPr>
            <w:r>
              <w:rPr>
                <w:rFonts w:ascii="Helvetica" w:eastAsia="Helvetica" w:hAnsi="Helvetica" w:cs="Helvetica"/>
                <w:b/>
                <w:color w:val="000000"/>
                <w:sz w:val="16"/>
                <w:szCs w:val="16"/>
              </w:rPr>
              <w:t>&lt;0.001</w:t>
            </w:r>
          </w:p>
        </w:tc>
      </w:tr>
      <w:tr w:rsidR="00760895" w14:paraId="508D51B9" w14:textId="77777777">
        <w:trPr>
          <w:jc w:val="center"/>
        </w:trPr>
        <w:tc>
          <w:tcPr>
            <w:tcW w:w="0" w:type="auto"/>
            <w:gridSpan w:val="6"/>
            <w:tcBorders>
              <w:top w:val="single" w:sz="12"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2DDC2F7" w14:textId="77777777" w:rsidR="00760895" w:rsidRDefault="00000000">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Helvetica" w:eastAsia="Helvetica" w:hAnsi="Helvetica" w:cs="Helvetica"/>
                <w:color w:val="000000"/>
                <w:sz w:val="14"/>
                <w:szCs w:val="14"/>
              </w:rPr>
            </w:pPr>
            <w:r>
              <w:rPr>
                <w:rFonts w:ascii="Helvetica" w:eastAsia="Helvetica" w:hAnsi="Helvetica" w:cs="Helvetica"/>
                <w:color w:val="000000"/>
                <w:sz w:val="14"/>
                <w:szCs w:val="14"/>
              </w:rPr>
              <w:t>Reference: Good recovery in the Non TQIP-cohort. Frequency: n / N (%), where N is the total count of that GOS level across all cohorts. Multinomial logistic regression.</w:t>
            </w:r>
          </w:p>
        </w:tc>
      </w:tr>
    </w:tbl>
    <w:p w14:paraId="588517CC" w14:textId="77777777" w:rsidR="00760895" w:rsidRDefault="00000000">
      <w:pPr>
        <w:pStyle w:val="Heading2"/>
      </w:pPr>
      <w:bookmarkStart w:id="8" w:name="Xe8b901885a03778dbc34b64bd5ed0d1b810921b"/>
      <w:bookmarkEnd w:id="7"/>
      <w:r>
        <w:t>Additional file 8: MICE convergence diagnostics</w:t>
      </w:r>
    </w:p>
    <w:p w14:paraId="04EED50A" w14:textId="77777777" w:rsidR="00760895" w:rsidRDefault="00000000">
      <w:r>
        <w:rPr>
          <w:noProof/>
        </w:rPr>
        <w:drawing>
          <wp:inline distT="0" distB="0" distL="0" distR="0" wp14:anchorId="0C460304" wp14:editId="74EE79E1">
            <wp:extent cx="5727700" cy="2863850"/>
            <wp:effectExtent l="0" t="0" r="0" b="0"/>
            <wp:docPr id="28" name="Picture" descr="MICE convergence trace plots across 20 imputed datasets and 50 iterations. Each line represents the mean imputed value per iteration for one imputed dataset. Outcomes (survival, GOS, OFI) were included as predictors in the imputation model. Variables with very few missing values (marked with *) exhibit oscillating trace plots, which is expected; convergence for these was confirmed quantitatively (R-hat &lt; 1.05)."/>
            <wp:cNvGraphicFramePr/>
            <a:graphic xmlns:a="http://schemas.openxmlformats.org/drawingml/2006/main">
              <a:graphicData uri="http://schemas.openxmlformats.org/drawingml/2006/picture">
                <pic:pic xmlns:pic="http://schemas.openxmlformats.org/drawingml/2006/picture">
                  <pic:nvPicPr>
                    <pic:cNvPr id="29" name="Picture" descr="../../figures/mice_convergence.png"/>
                    <pic:cNvPicPr>
                      <a:picLocks noChangeAspect="1" noChangeArrowheads="1"/>
                    </pic:cNvPicPr>
                  </pic:nvPicPr>
                  <pic:blipFill>
                    <a:blip r:embed="rId5"/>
                    <a:stretch>
                      <a:fillRect/>
                    </a:stretch>
                  </pic:blipFill>
                  <pic:spPr bwMode="auto">
                    <a:xfrm>
                      <a:off x="0" y="0"/>
                      <a:ext cx="5727700" cy="2863850"/>
                    </a:xfrm>
                    <a:prstGeom prst="rect">
                      <a:avLst/>
                    </a:prstGeom>
                    <a:noFill/>
                    <a:ln w="9525">
                      <a:noFill/>
                      <a:headEnd/>
                      <a:tailEnd/>
                    </a:ln>
                  </pic:spPr>
                </pic:pic>
              </a:graphicData>
            </a:graphic>
          </wp:inline>
        </w:drawing>
      </w:r>
    </w:p>
    <w:p w14:paraId="596F91A2" w14:textId="77777777" w:rsidR="00760895" w:rsidRDefault="00000000">
      <w:r>
        <w:lastRenderedPageBreak/>
        <w:t>MICE convergence trace plots across 20 imputed datasets and 50 iterations. Each line represents the mean imputed value per iteration for one imputed dataset. Outcomes (survival, GOS, OFI) were included as predictors in the imputation model. Variables with very few missing values (marked with *) exhibit oscillating trace plots, which is expected; convergence for these was confirmed quantitatively (R-hat &lt; 1.05).</w:t>
      </w:r>
    </w:p>
    <w:p w14:paraId="2832EC1D" w14:textId="77777777" w:rsidR="00760895" w:rsidRDefault="00000000">
      <w:pPr>
        <w:pStyle w:val="Heading2"/>
      </w:pPr>
      <w:bookmarkStart w:id="9" w:name="X0b308d92228921d3603ed025552a42a4415e2db"/>
      <w:bookmarkEnd w:id="8"/>
      <w:r>
        <w:t>Additional file 9: OR trajectories across sequential models</w:t>
      </w:r>
    </w:p>
    <w:p w14:paraId="4498DC77" w14:textId="77777777" w:rsidR="00760895" w:rsidRDefault="00000000">
      <w:r>
        <w:rPr>
          <w:noProof/>
        </w:rPr>
        <w:drawing>
          <wp:inline distT="0" distB="0" distL="0" distR="0" wp14:anchorId="7BC6AD3D" wp14:editId="0FF0EAC9">
            <wp:extent cx="5727700" cy="2250167"/>
            <wp:effectExtent l="0" t="0" r="0" b="0"/>
            <wp:docPr id="32" name="Picture" descr="Odds ratio trajectories across sequential regression models. Trajectories shown for 30-day mortality, unfavourable GOS, and OFI by TQIP cohort."/>
            <wp:cNvGraphicFramePr/>
            <a:graphic xmlns:a="http://schemas.openxmlformats.org/drawingml/2006/main">
              <a:graphicData uri="http://schemas.openxmlformats.org/drawingml/2006/picture">
                <pic:pic xmlns:pic="http://schemas.openxmlformats.org/drawingml/2006/picture">
                  <pic:nvPicPr>
                    <pic:cNvPr id="33" name="Picture" descr="../../figures/or_trajectory.png"/>
                    <pic:cNvPicPr>
                      <a:picLocks noChangeAspect="1" noChangeArrowheads="1"/>
                    </pic:cNvPicPr>
                  </pic:nvPicPr>
                  <pic:blipFill>
                    <a:blip r:embed="rId6"/>
                    <a:stretch>
                      <a:fillRect/>
                    </a:stretch>
                  </pic:blipFill>
                  <pic:spPr bwMode="auto">
                    <a:xfrm>
                      <a:off x="0" y="0"/>
                      <a:ext cx="5727700" cy="2250167"/>
                    </a:xfrm>
                    <a:prstGeom prst="rect">
                      <a:avLst/>
                    </a:prstGeom>
                    <a:noFill/>
                    <a:ln w="9525">
                      <a:noFill/>
                      <a:headEnd/>
                      <a:tailEnd/>
                    </a:ln>
                  </pic:spPr>
                </pic:pic>
              </a:graphicData>
            </a:graphic>
          </wp:inline>
        </w:drawing>
      </w:r>
    </w:p>
    <w:p w14:paraId="374EA975" w14:textId="77777777" w:rsidR="00760895" w:rsidRDefault="00000000">
      <w:r>
        <w:t>Odds ratio trajectories across sequential regression models. Trajectories shown for 30-day mortality, unfavourable GOS, and OFI by TQIP cohort.</w:t>
      </w:r>
    </w:p>
    <w:p w14:paraId="5FC7BA61" w14:textId="77777777" w:rsidR="00760895" w:rsidRDefault="00000000">
      <w:pPr>
        <w:pStyle w:val="FigureNote"/>
      </w:pPr>
      <w:r>
        <w:rPr>
          <w:i/>
          <w:iCs/>
        </w:rPr>
        <w:t>Points represent odds ratios with 95% confidence intervals. Dashed line indicates OR = 1 (reference). Patient characteristics: age, ASA, sex. Physiological: + SBP, respiratory rate. Care-process: + intubation, emergency procedure, care level, time to procedure, time to CT.</w:t>
      </w:r>
      <w:bookmarkEnd w:id="0"/>
      <w:bookmarkEnd w:id="9"/>
    </w:p>
    <w:sectPr w:rsidR="00760895"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A990"/>
    <w:multiLevelType w:val="multilevel"/>
    <w:tmpl w:val="F1CA96D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628387226">
    <w:abstractNumId w:val="8"/>
  </w:num>
  <w:num w:numId="2" w16cid:durableId="1056588812">
    <w:abstractNumId w:val="6"/>
  </w:num>
  <w:num w:numId="3" w16cid:durableId="1360165084">
    <w:abstractNumId w:val="5"/>
  </w:num>
  <w:num w:numId="4" w16cid:durableId="1851022807">
    <w:abstractNumId w:val="4"/>
  </w:num>
  <w:num w:numId="5" w16cid:durableId="1190219843">
    <w:abstractNumId w:val="7"/>
  </w:num>
  <w:num w:numId="6" w16cid:durableId="91165197">
    <w:abstractNumId w:val="3"/>
  </w:num>
  <w:num w:numId="7" w16cid:durableId="1678994815">
    <w:abstractNumId w:val="2"/>
  </w:num>
  <w:num w:numId="8" w16cid:durableId="263534142">
    <w:abstractNumId w:val="1"/>
  </w:num>
  <w:num w:numId="9" w16cid:durableId="1906334968">
    <w:abstractNumId w:val="0"/>
  </w:num>
  <w:num w:numId="10" w16cid:durableId="1169222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60895"/>
    <w:rsid w:val="00AA06A1"/>
    <w:rsid w:val="00AA1D8D"/>
    <w:rsid w:val="00B47730"/>
    <w:rsid w:val="00CB0664"/>
    <w:rsid w:val="00F86F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9F3F51"/>
  <w15:docId w15:val="{C9E9585E-E1A2-0D48-A4B6-4486AD64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80" w:line="480" w:lineRule="auto"/>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b/>
      <w:bCs/>
      <w:i/>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40"/>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after="0" w:line="240" w:lineRule="auto"/>
    </w:pPr>
    <w:rPr>
      <w:b/>
      <w:bCs/>
      <w:i/>
      <w:color w:val="4F81BD" w:themeColor="accent1"/>
      <w:sz w:val="20"/>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ibliography1">
    <w:name w:val="Bibliography1"/>
    <w:basedOn w:val="Normal"/>
    <w:pPr>
      <w:spacing w:after="0"/>
    </w:pPr>
  </w:style>
  <w:style w:type="paragraph" w:customStyle="1" w:styleId="TableTitle">
    <w:name w:val="Table Title"/>
    <w:basedOn w:val="Normal"/>
    <w:pPr>
      <w:keepNext/>
      <w:spacing w:after="0" w:line="240" w:lineRule="auto"/>
    </w:pPr>
  </w:style>
  <w:style w:type="paragraph" w:customStyle="1" w:styleId="FigureNote">
    <w:name w:val="Figure Note"/>
    <w:basedOn w:val="Normal"/>
    <w:pPr>
      <w:spacing w:line="240" w:lineRule="auto"/>
    </w:pPr>
  </w:style>
  <w:style w:type="paragraph" w:customStyle="1" w:styleId="SourceCode">
    <w:name w:val="Source Code"/>
    <w:basedOn w:val="Normal"/>
    <w:pPr>
      <w:shd w:val="clear" w:color="auto" w:fill="F1F3F5"/>
      <w:wordWrap w:val="0"/>
    </w:pPr>
  </w:style>
  <w:style w:type="character" w:customStyle="1" w:styleId="KeywordTok">
    <w:name w:val="KeywordTok"/>
    <w:rPr>
      <w:b/>
      <w:color w:val="003B4F"/>
      <w:shd w:val="clear" w:color="auto" w:fill="F1F3F5"/>
    </w:rPr>
  </w:style>
  <w:style w:type="character" w:customStyle="1" w:styleId="DataTypeTok">
    <w:name w:val="DataTypeTok"/>
    <w:rPr>
      <w:color w:val="AD0000"/>
      <w:shd w:val="clear" w:color="auto" w:fill="F1F3F5"/>
    </w:rPr>
  </w:style>
  <w:style w:type="character" w:customStyle="1" w:styleId="DecValTok">
    <w:name w:val="DecValTok"/>
    <w:rPr>
      <w:color w:val="AD0000"/>
      <w:shd w:val="clear" w:color="auto" w:fill="F1F3F5"/>
    </w:rPr>
  </w:style>
  <w:style w:type="character" w:customStyle="1" w:styleId="BaseNTok">
    <w:name w:val="BaseNTok"/>
    <w:rPr>
      <w:color w:val="AD0000"/>
      <w:shd w:val="clear" w:color="auto" w:fill="F1F3F5"/>
    </w:rPr>
  </w:style>
  <w:style w:type="character" w:customStyle="1" w:styleId="FloatTok">
    <w:name w:val="FloatTok"/>
    <w:rPr>
      <w:color w:val="AD0000"/>
      <w:shd w:val="clear" w:color="auto" w:fill="F1F3F5"/>
    </w:rPr>
  </w:style>
  <w:style w:type="character" w:customStyle="1" w:styleId="ConstantTok">
    <w:name w:val="ConstantTok"/>
    <w:rPr>
      <w:color w:val="8F5902"/>
      <w:shd w:val="clear" w:color="auto" w:fill="F1F3F5"/>
    </w:rPr>
  </w:style>
  <w:style w:type="character" w:customStyle="1" w:styleId="CharTok">
    <w:name w:val="CharTok"/>
    <w:rPr>
      <w:color w:val="20794D"/>
      <w:shd w:val="clear" w:color="auto" w:fill="F1F3F5"/>
    </w:rPr>
  </w:style>
  <w:style w:type="character" w:customStyle="1" w:styleId="SpecialCharTok">
    <w:name w:val="SpecialCharTok"/>
    <w:rPr>
      <w:color w:val="5E5E5E"/>
      <w:shd w:val="clear" w:color="auto" w:fill="F1F3F5"/>
    </w:rPr>
  </w:style>
  <w:style w:type="character" w:customStyle="1" w:styleId="StringTok">
    <w:name w:val="StringTok"/>
    <w:rPr>
      <w:color w:val="20794D"/>
      <w:shd w:val="clear" w:color="auto" w:fill="F1F3F5"/>
    </w:rPr>
  </w:style>
  <w:style w:type="character" w:customStyle="1" w:styleId="VerbatimStringTok">
    <w:name w:val="VerbatimStringTok"/>
    <w:rPr>
      <w:color w:val="20794D"/>
      <w:shd w:val="clear" w:color="auto" w:fill="F1F3F5"/>
    </w:rPr>
  </w:style>
  <w:style w:type="character" w:customStyle="1" w:styleId="SpecialStringTok">
    <w:name w:val="SpecialStringTok"/>
    <w:rPr>
      <w:color w:val="20794D"/>
      <w:shd w:val="clear" w:color="auto" w:fill="F1F3F5"/>
    </w:rPr>
  </w:style>
  <w:style w:type="character" w:customStyle="1" w:styleId="ImportTok">
    <w:name w:val="ImportTok"/>
    <w:rPr>
      <w:color w:val="00769E"/>
      <w:shd w:val="clear" w:color="auto" w:fill="F1F3F5"/>
    </w:rPr>
  </w:style>
  <w:style w:type="character" w:customStyle="1" w:styleId="CommentTok">
    <w:name w:val="CommentTok"/>
    <w:rPr>
      <w:color w:val="5E5E5E"/>
      <w:shd w:val="clear" w:color="auto" w:fill="F1F3F5"/>
    </w:rPr>
  </w:style>
  <w:style w:type="character" w:customStyle="1" w:styleId="DocumentationTok">
    <w:name w:val="DocumentationTok"/>
    <w:rPr>
      <w:i/>
      <w:color w:val="5E5E5E"/>
      <w:shd w:val="clear" w:color="auto" w:fill="F1F3F5"/>
    </w:rPr>
  </w:style>
  <w:style w:type="character" w:customStyle="1" w:styleId="AnnotationTok">
    <w:name w:val="AnnotationTok"/>
    <w:rPr>
      <w:color w:val="5E5E5E"/>
      <w:shd w:val="clear" w:color="auto" w:fill="F1F3F5"/>
    </w:rPr>
  </w:style>
  <w:style w:type="character" w:customStyle="1" w:styleId="CommentVarTok">
    <w:name w:val="CommentVarTok"/>
    <w:rPr>
      <w:i/>
      <w:color w:val="5E5E5E"/>
      <w:shd w:val="clear" w:color="auto" w:fill="F1F3F5"/>
    </w:rPr>
  </w:style>
  <w:style w:type="character" w:customStyle="1" w:styleId="OtherTok">
    <w:name w:val="OtherTok"/>
    <w:rPr>
      <w:color w:val="003B4F"/>
      <w:shd w:val="clear" w:color="auto" w:fill="F1F3F5"/>
    </w:rPr>
  </w:style>
  <w:style w:type="character" w:customStyle="1" w:styleId="FunctionTok">
    <w:name w:val="FunctionTok"/>
    <w:rPr>
      <w:color w:val="4758AB"/>
      <w:shd w:val="clear" w:color="auto" w:fill="F1F3F5"/>
    </w:rPr>
  </w:style>
  <w:style w:type="character" w:customStyle="1" w:styleId="VariableTok">
    <w:name w:val="VariableTok"/>
    <w:rPr>
      <w:color w:val="111111"/>
      <w:shd w:val="clear" w:color="auto" w:fill="F1F3F5"/>
    </w:rPr>
  </w:style>
  <w:style w:type="character" w:customStyle="1" w:styleId="ControlFlowTok">
    <w:name w:val="ControlFlowTok"/>
    <w:rPr>
      <w:b/>
      <w:color w:val="003B4F"/>
      <w:shd w:val="clear" w:color="auto" w:fill="F1F3F5"/>
    </w:rPr>
  </w:style>
  <w:style w:type="character" w:customStyle="1" w:styleId="OperatorTok">
    <w:name w:val="OperatorTok"/>
    <w:rPr>
      <w:color w:val="5E5E5E"/>
      <w:shd w:val="clear" w:color="auto" w:fill="F1F3F5"/>
    </w:rPr>
  </w:style>
  <w:style w:type="character" w:customStyle="1" w:styleId="BuiltInTok">
    <w:name w:val="BuiltInTok"/>
    <w:rPr>
      <w:color w:val="003B4F"/>
      <w:shd w:val="clear" w:color="auto" w:fill="F1F3F5"/>
    </w:rPr>
  </w:style>
  <w:style w:type="character" w:customStyle="1" w:styleId="ExtensionTok">
    <w:name w:val="ExtensionTok"/>
    <w:rPr>
      <w:color w:val="003B4F"/>
      <w:shd w:val="clear" w:color="auto" w:fill="F1F3F5"/>
    </w:rPr>
  </w:style>
  <w:style w:type="character" w:customStyle="1" w:styleId="PreprocessorTok">
    <w:name w:val="PreprocessorTok"/>
    <w:rPr>
      <w:color w:val="AD0000"/>
      <w:shd w:val="clear" w:color="auto" w:fill="F1F3F5"/>
    </w:rPr>
  </w:style>
  <w:style w:type="character" w:customStyle="1" w:styleId="AttributeTok">
    <w:name w:val="AttributeTok"/>
    <w:rPr>
      <w:color w:val="657422"/>
      <w:shd w:val="clear" w:color="auto" w:fill="F1F3F5"/>
    </w:rPr>
  </w:style>
  <w:style w:type="character" w:customStyle="1" w:styleId="RegionMarkerTok">
    <w:name w:val="RegionMarkerTok"/>
    <w:rPr>
      <w:color w:val="003B4F"/>
      <w:shd w:val="clear" w:color="auto" w:fill="F1F3F5"/>
    </w:rPr>
  </w:style>
  <w:style w:type="character" w:customStyle="1" w:styleId="InformationTok">
    <w:name w:val="InformationTok"/>
    <w:rPr>
      <w:color w:val="5E5E5E"/>
      <w:shd w:val="clear" w:color="auto" w:fill="F1F3F5"/>
    </w:rPr>
  </w:style>
  <w:style w:type="character" w:customStyle="1" w:styleId="WarningTok">
    <w:name w:val="WarningTok"/>
    <w:rPr>
      <w:i/>
      <w:color w:val="5E5E5E"/>
      <w:shd w:val="clear" w:color="auto" w:fill="F1F3F5"/>
    </w:rPr>
  </w:style>
  <w:style w:type="character" w:customStyle="1" w:styleId="AlertTok">
    <w:name w:val="AlertTok"/>
    <w:rPr>
      <w:color w:val="AD0000"/>
      <w:shd w:val="clear" w:color="auto" w:fill="F1F3F5"/>
    </w:rPr>
  </w:style>
  <w:style w:type="character" w:customStyle="1" w:styleId="ErrorTok">
    <w:name w:val="ErrorTok"/>
    <w:rPr>
      <w:color w:val="AD0000"/>
      <w:shd w:val="clear" w:color="auto" w:fill="F1F3F5"/>
    </w:rPr>
  </w:style>
  <w:style w:type="character" w:customStyle="1" w:styleId="NormalTok">
    <w:name w:val="NormalTok"/>
    <w:rPr>
      <w:color w:val="003B4F"/>
      <w:shd w:val="clear" w:color="auto"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2173</Words>
  <Characters>12389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dc:title>
  <dc:creator/>
  <cp:keywords/>
  <cp:lastModifiedBy>jonatan.attergrim@gmail.com</cp:lastModifiedBy>
  <cp:revision>2</cp:revision>
  <dcterms:created xsi:type="dcterms:W3CDTF">2026-05-28T21:01:00Z</dcterms:created>
  <dcterms:modified xsi:type="dcterms:W3CDTF">2026-05-28T21:08:00Z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references.bib</vt:lpwstr>
  </property>
  <property fmtid="{D5CDD505-2E9C-101B-9397-08002B2CF9AE}" pid="4" name="csl">
    <vt:lpwstr>vancouver.csl</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toc-title">
    <vt:lpwstr>Table of contents</vt:lpwstr>
  </property>
</Properties>
</file>