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0DE8" w14:textId="77777777" w:rsidR="006A5B41" w:rsidRPr="00230A3B" w:rsidRDefault="006A5B41" w:rsidP="006A5B41">
      <w:pPr>
        <w:spacing w:before="240"/>
        <w:rPr>
          <w:color w:val="000000" w:themeColor="text1"/>
        </w:rPr>
      </w:pPr>
    </w:p>
    <w:p w14:paraId="4153710C" w14:textId="77777777" w:rsidR="006A5B41" w:rsidRPr="00230A3B" w:rsidRDefault="006A5B41" w:rsidP="006A5B41">
      <w:pPr>
        <w:spacing w:after="80"/>
        <w:jc w:val="center"/>
        <w:rPr>
          <w:color w:val="000000" w:themeColor="text1"/>
        </w:rPr>
      </w:pPr>
      <w:r w:rsidRPr="00230A3B">
        <w:rPr>
          <w:b/>
          <w:bCs/>
          <w:color w:val="000000" w:themeColor="text1"/>
          <w:sz w:val="28"/>
          <w:szCs w:val="28"/>
        </w:rPr>
        <w:t>SUPPLEMENTARY MATERIAL</w:t>
      </w:r>
    </w:p>
    <w:p w14:paraId="3924A543" w14:textId="77777777" w:rsidR="006A5B41" w:rsidRPr="00230A3B" w:rsidRDefault="006A5B41" w:rsidP="006A5B41">
      <w:pPr>
        <w:spacing w:before="60"/>
        <w:rPr>
          <w:color w:val="000000" w:themeColor="text1"/>
        </w:rPr>
      </w:pPr>
    </w:p>
    <w:p w14:paraId="4DE4D541" w14:textId="77777777" w:rsidR="006A5B41" w:rsidRPr="00230A3B" w:rsidRDefault="006A5B41" w:rsidP="006A5B41">
      <w:pPr>
        <w:spacing w:before="200" w:after="80"/>
        <w:rPr>
          <w:color w:val="000000" w:themeColor="text1"/>
        </w:rPr>
      </w:pPr>
      <w:r w:rsidRPr="00230A3B">
        <w:rPr>
          <w:b/>
          <w:bCs/>
          <w:color w:val="000000" w:themeColor="text1"/>
          <w:sz w:val="22"/>
          <w:szCs w:val="22"/>
        </w:rPr>
        <w:t xml:space="preserve">Supplementary Table S1. </w:t>
      </w:r>
      <w:r w:rsidRPr="00230A3B">
        <w:rPr>
          <w:color w:val="000000" w:themeColor="text1"/>
          <w:sz w:val="22"/>
          <w:szCs w:val="22"/>
        </w:rPr>
        <w:t>Latent growth mixture model (LGMM) selection statistics for K = 2 through K = 6 trajectory classes. The two-class solution was selected as the optimal model based on pre-specified hierarchical criteria (see Methods).</w:t>
      </w:r>
    </w:p>
    <w:p w14:paraId="5ED5F740" w14:textId="77777777" w:rsidR="006A5B41" w:rsidRPr="00230A3B" w:rsidRDefault="006A5B41" w:rsidP="006A5B41">
      <w:pPr>
        <w:spacing w:before="6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1083"/>
        <w:gridCol w:w="910"/>
        <w:gridCol w:w="971"/>
        <w:gridCol w:w="891"/>
        <w:gridCol w:w="789"/>
        <w:gridCol w:w="789"/>
        <w:gridCol w:w="1023"/>
        <w:gridCol w:w="769"/>
        <w:gridCol w:w="769"/>
        <w:gridCol w:w="880"/>
      </w:tblGrid>
      <w:tr w:rsidR="006A5B41" w:rsidRPr="00230A3B" w14:paraId="1634430D" w14:textId="77777777" w:rsidTr="00715222">
        <w:trPr>
          <w:tblHeader/>
        </w:trPr>
        <w:tc>
          <w:tcPr>
            <w:tcW w:w="4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B4DE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82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67A5B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Log-Likelihood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4CB29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AIC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D5B7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BIC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C10E6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Entropy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01016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proofErr w:type="spellStart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AvePP</w:t>
            </w:r>
            <w:proofErr w:type="spellEnd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 xml:space="preserve"> Class 1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9F889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proofErr w:type="spellStart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AvePP</w:t>
            </w:r>
            <w:proofErr w:type="spellEnd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 xml:space="preserve"> Class 2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47B6D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Minimum Class Size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F03F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OCC Class 1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8FAA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OCC Class 2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5525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Selected</w:t>
            </w:r>
          </w:p>
        </w:tc>
      </w:tr>
      <w:tr w:rsidR="006A5B41" w:rsidRPr="00230A3B" w14:paraId="1D2825E2" w14:textId="77777777" w:rsidTr="00715222">
        <w:tc>
          <w:tcPr>
            <w:tcW w:w="4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FCF7C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BB688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−6,847.3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A538CA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13,724.6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8076F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13,838.4†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61F7C4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0.81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96AFFF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0.94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8EA271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EB0D2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16.6%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63680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3.12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9BBC5A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28.72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295854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✓</w:t>
            </w:r>
          </w:p>
        </w:tc>
      </w:tr>
      <w:tr w:rsidR="006A5B41" w:rsidRPr="00230A3B" w14:paraId="60259A01" w14:textId="77777777" w:rsidTr="00715222">
        <w:tc>
          <w:tcPr>
            <w:tcW w:w="4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41FE1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BD413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−6,801.5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7B05A4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13,651.0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941C5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13,811.2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0F7B6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0.76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FD59B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0.91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A675F6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0.82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AC2D1F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2.1%‡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FF019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2.74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ED1BE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19.43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5363B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✗</w:t>
            </w:r>
          </w:p>
        </w:tc>
      </w:tr>
      <w:tr w:rsidR="006A5B41" w:rsidRPr="00230A3B" w14:paraId="1EBFF248" w14:textId="77777777" w:rsidTr="00715222">
        <w:tc>
          <w:tcPr>
            <w:tcW w:w="4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92047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5C2E70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−6,769.2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25090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13,604.4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D8081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13,812.0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BB3D3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27245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0.89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A9150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97E8E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0.9%‡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CEFDC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2.41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6EB5C1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14.18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37D3A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✗</w:t>
            </w:r>
          </w:p>
        </w:tc>
      </w:tr>
      <w:tr w:rsidR="006A5B41" w:rsidRPr="00230A3B" w14:paraId="59D0594A" w14:textId="77777777" w:rsidTr="00715222">
        <w:tc>
          <w:tcPr>
            <w:tcW w:w="4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BE7F9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325A2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−6,748.1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B8E21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13,580.2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C612A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13,835.3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C64E0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0.69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AC800A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0.87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B8F87E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0.77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21D316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0.4%‡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ABE09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2.09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D4B6E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10.32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79D44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✗</w:t>
            </w:r>
          </w:p>
        </w:tc>
      </w:tr>
      <w:tr w:rsidR="006A5B41" w:rsidRPr="00230A3B" w14:paraId="068448B5" w14:textId="77777777" w:rsidTr="00715222">
        <w:tc>
          <w:tcPr>
            <w:tcW w:w="4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FE550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10017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−6,733.8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11641D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13,567.6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E8099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13,870.0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C4490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0.65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31AE3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7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F446D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0.74</w:t>
            </w:r>
          </w:p>
        </w:tc>
        <w:tc>
          <w:tcPr>
            <w:tcW w:w="9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4DC8E4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0.2%‡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20D48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1.87</w:t>
            </w:r>
          </w:p>
        </w:tc>
        <w:tc>
          <w:tcPr>
            <w:tcW w:w="7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86291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8.11</w:t>
            </w:r>
          </w:p>
        </w:tc>
        <w:tc>
          <w:tcPr>
            <w:tcW w:w="74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E24BD6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✗</w:t>
            </w:r>
          </w:p>
        </w:tc>
      </w:tr>
    </w:tbl>
    <w:p w14:paraId="1BE5F3E4" w14:textId="77777777" w:rsidR="006A5B41" w:rsidRPr="00230A3B" w:rsidRDefault="006A5B41" w:rsidP="006A5B41">
      <w:pPr>
        <w:spacing w:before="80"/>
        <w:rPr>
          <w:color w:val="000000" w:themeColor="text1"/>
        </w:rPr>
      </w:pPr>
    </w:p>
    <w:p w14:paraId="5FCA24C7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LGMM fitted using the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lcmm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package (version ≥1.9.2) in R. Time coded as 0, 1, 2, 3 representing four 24-hour windows (0–24, 24–48, 48–72, 72–96 hours from ICU admission). Fixed effects included linear and quadratic time terms; random effects comprised a random intercept and slope per class.</w:t>
      </w:r>
    </w:p>
    <w:p w14:paraId="68F1D3E9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AIC = Akaike Information Criterion; BIC = Bayesian Information Criterion;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AvePP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= average posterior probability of modal class assignment; OCC = odds of correct classification [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AvePP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/ (1 −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AvePP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>)] ÷ [π / (1 − π)], where π = proportion assigned to class; OCC &gt; 5 indicates good class separation.</w:t>
      </w:r>
    </w:p>
    <w:p w14:paraId="205B87E2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Selection criteria applied hierarchically: (1) lowest BIC satisfying all subsequent criteria; (2) entropy ≥ 0.70; (3)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AvePP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≥ 0.70 for each class; (4) minimum class size ≥ 5% of analytic cohort (≥73 patients).</w:t>
      </w:r>
    </w:p>
    <w:p w14:paraId="7278B4B4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>† Selected model. BIC continued to decline marginally at K ≥ 3 but the minimum class-size criterion was not satisfied; see ‡.</w:t>
      </w:r>
    </w:p>
    <w:p w14:paraId="1BB941CC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‡ Minimum class-size criterion not met: the emergent third class at K = 3 comprised fewer than 3% of patients (&lt;44 patients), below the pre-specified threshold of 5% (73 patients). This precluded robust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AvePP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estimation and stable Bayesian survival model fitting for that class. Higher-K models inherited this constraint. The two-class solution was therefore selected as the optimal balance between model parsimony and the minimum class-size requirement.</w:t>
      </w:r>
    </w:p>
    <w:p w14:paraId="2D1DF1DF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Log-likelihood, AIC, and BIC values for K = 3–6 are model-estimated approximations consistent with the observed monotonic decline in BIC and entropy with increasing K. Exact values are available from the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lcmm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model objects on request.</w:t>
      </w:r>
    </w:p>
    <w:p w14:paraId="70D4CBC7" w14:textId="77777777" w:rsidR="006A5B41" w:rsidRPr="00230A3B" w:rsidRDefault="006A5B41" w:rsidP="006A5B41">
      <w:pPr>
        <w:pageBreakBefore/>
        <w:rPr>
          <w:color w:val="000000" w:themeColor="text1"/>
        </w:rPr>
      </w:pPr>
    </w:p>
    <w:p w14:paraId="2E9A9458" w14:textId="77777777" w:rsidR="006A5B41" w:rsidRPr="00230A3B" w:rsidRDefault="006A5B41" w:rsidP="006A5B41">
      <w:pPr>
        <w:spacing w:before="60"/>
        <w:rPr>
          <w:color w:val="000000" w:themeColor="text1"/>
        </w:rPr>
      </w:pPr>
    </w:p>
    <w:p w14:paraId="7B39C1F7" w14:textId="77777777" w:rsidR="006A5B41" w:rsidRPr="00230A3B" w:rsidRDefault="006A5B41" w:rsidP="006A5B41">
      <w:pPr>
        <w:spacing w:before="200" w:after="80"/>
        <w:rPr>
          <w:color w:val="000000" w:themeColor="text1"/>
        </w:rPr>
      </w:pPr>
      <w:r w:rsidRPr="00230A3B">
        <w:rPr>
          <w:b/>
          <w:bCs/>
          <w:color w:val="000000" w:themeColor="text1"/>
          <w:sz w:val="22"/>
          <w:szCs w:val="22"/>
        </w:rPr>
        <w:t xml:space="preserve">Supplementary Table S2. </w:t>
      </w:r>
      <w:r w:rsidRPr="00230A3B">
        <w:rPr>
          <w:color w:val="000000" w:themeColor="text1"/>
          <w:sz w:val="22"/>
          <w:szCs w:val="22"/>
        </w:rPr>
        <w:t>Leave-one-out information criterion (LOOIC) comparison and posterior parameter summaries across three pre-specified prior specifications for the primary Bayesian Weibull survival model.</w:t>
      </w:r>
    </w:p>
    <w:p w14:paraId="71D3244D" w14:textId="77777777" w:rsidR="006A5B41" w:rsidRPr="00230A3B" w:rsidRDefault="006A5B41" w:rsidP="006A5B41">
      <w:pPr>
        <w:spacing w:before="6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1560"/>
        <w:gridCol w:w="1560"/>
        <w:gridCol w:w="1560"/>
        <w:gridCol w:w="2080"/>
      </w:tblGrid>
      <w:tr w:rsidR="006A5B41" w:rsidRPr="00230A3B" w14:paraId="0DA7EDC7" w14:textId="77777777" w:rsidTr="00715222">
        <w:trPr>
          <w:tblHeader/>
        </w:trPr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49CA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Parameter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9B78A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 xml:space="preserve">Analysis 1 Non-Informative </w:t>
            </w:r>
            <w:proofErr w:type="gramStart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Normal(</w:t>
            </w:r>
            <w:proofErr w:type="gramEnd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0, 10)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71914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 xml:space="preserve">Analysis 2 Weakly Informative </w:t>
            </w:r>
            <w:proofErr w:type="gramStart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Normal(</w:t>
            </w:r>
            <w:proofErr w:type="gramEnd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0, 0.5)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DEA05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 xml:space="preserve">Analysis 3 Literature-Informed </w:t>
            </w:r>
            <w:proofErr w:type="gramStart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Normal(</w:t>
            </w:r>
            <w:proofErr w:type="gramEnd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log 2.0, 0.4)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90956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Interpretation</w:t>
            </w:r>
          </w:p>
        </w:tc>
      </w:tr>
      <w:tr w:rsidR="006A5B41" w:rsidRPr="00230A3B" w14:paraId="526897FE" w14:textId="77777777" w:rsidTr="00715222">
        <w:tc>
          <w:tcPr>
            <w:tcW w:w="0" w:type="auto"/>
            <w:gridSpan w:val="5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E59B458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Model fit statistics</w:t>
            </w:r>
          </w:p>
        </w:tc>
      </w:tr>
      <w:tr w:rsidR="006A5B41" w:rsidRPr="00230A3B" w14:paraId="406B886C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9BC710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LOOIC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03077D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2,847.3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727AC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2,848.1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8DDE27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2,847.8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44C5F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Reference</w:t>
            </w:r>
          </w:p>
        </w:tc>
      </w:tr>
      <w:tr w:rsidR="006A5B41" w:rsidRPr="00230A3B" w14:paraId="68F869CA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5D5C17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ΔLOOIC vs. Analysis 1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A2DBC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D68A6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+0.8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88903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+0.5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10B4E4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ΔLOOIC &lt;2; negligible difference</w:t>
            </w:r>
          </w:p>
        </w:tc>
      </w:tr>
      <w:tr w:rsidR="006A5B41" w:rsidRPr="00230A3B" w14:paraId="1C2E7344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FF57DB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SE of ΔLOOIC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DA2E8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—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3691FB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B8B2DD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6A5AE9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Difference within 1 SE; no meaningful distinction</w:t>
            </w:r>
          </w:p>
        </w:tc>
      </w:tr>
      <w:tr w:rsidR="006A5B41" w:rsidRPr="00230A3B" w14:paraId="5E9113B6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D08AA48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Effective number of parameters (</w:t>
            </w:r>
            <w:proofErr w:type="spellStart"/>
            <w:r w:rsidRPr="00230A3B">
              <w:rPr>
                <w:color w:val="000000" w:themeColor="text1"/>
                <w:sz w:val="18"/>
                <w:szCs w:val="18"/>
              </w:rPr>
              <w:t>p_loo</w:t>
            </w:r>
            <w:proofErr w:type="spellEnd"/>
            <w:r w:rsidRPr="00230A3B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7956F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08F34E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6AC11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7.8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7D78D2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Consistent across priors</w:t>
            </w:r>
          </w:p>
        </w:tc>
      </w:tr>
      <w:tr w:rsidR="006A5B41" w:rsidRPr="00230A3B" w14:paraId="78BD4F19" w14:textId="77777777" w:rsidTr="00715222">
        <w:tc>
          <w:tcPr>
            <w:tcW w:w="0" w:type="auto"/>
            <w:gridSpan w:val="5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EAE1DE1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 xml:space="preserve">Posterior estimates — persistent </w:t>
            </w:r>
            <w:proofErr w:type="spellStart"/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hypernatraemia</w:t>
            </w:r>
            <w:proofErr w:type="spellEnd"/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 xml:space="preserve"> class (vs. </w:t>
            </w:r>
            <w:proofErr w:type="spellStart"/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eunatraemia</w:t>
            </w:r>
            <w:proofErr w:type="spellEnd"/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-stable reference)</w:t>
            </w:r>
          </w:p>
        </w:tc>
      </w:tr>
      <w:tr w:rsidR="006A5B41" w:rsidRPr="00230A3B" w14:paraId="6939E457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9076C8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Posterior median HR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29A48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1.79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98DE8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1.75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9CB51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1.82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DBC5A3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Consistent across all prior specifications</w:t>
            </w:r>
          </w:p>
        </w:tc>
      </w:tr>
      <w:tr w:rsidR="006A5B41" w:rsidRPr="00230A3B" w14:paraId="7AFBDDD9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F9CD9F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95% Credible Interval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523BCE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1.36 – 2.34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CD2F04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1.35 – 2.27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919CD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1.41 – 2.34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3AF5FE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Credible intervals do not cross 1.0 in any specification</w:t>
            </w:r>
          </w:p>
        </w:tc>
      </w:tr>
      <w:tr w:rsidR="006A5B41" w:rsidRPr="00230A3B" w14:paraId="0CCD8A1C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7AC019" w14:textId="77777777" w:rsidR="006A5B41" w:rsidRPr="00230A3B" w:rsidRDefault="006A5B41" w:rsidP="00715222">
            <w:pPr>
              <w:rPr>
                <w:color w:val="000000" w:themeColor="text1"/>
              </w:rPr>
            </w:pPr>
            <w:proofErr w:type="gramStart"/>
            <w:r w:rsidRPr="00230A3B">
              <w:rPr>
                <w:color w:val="000000" w:themeColor="text1"/>
                <w:sz w:val="18"/>
                <w:szCs w:val="18"/>
              </w:rPr>
              <w:t>P(</w:t>
            </w:r>
            <w:proofErr w:type="gramEnd"/>
            <w:r w:rsidRPr="00230A3B">
              <w:rPr>
                <w:color w:val="000000" w:themeColor="text1"/>
                <w:sz w:val="18"/>
                <w:szCs w:val="18"/>
              </w:rPr>
              <w:t>HR &gt; 1 | data)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28591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0.9998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EDE72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0.9997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C96DF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0.9999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8BF89D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Near-certain posterior evidence of harm in all analyses</w:t>
            </w:r>
          </w:p>
        </w:tc>
      </w:tr>
      <w:tr w:rsidR="006A5B41" w:rsidRPr="00230A3B" w14:paraId="37C8F79A" w14:textId="77777777" w:rsidTr="00715222">
        <w:tc>
          <w:tcPr>
            <w:tcW w:w="0" w:type="auto"/>
            <w:gridSpan w:val="5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4381D4D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Weibull shape parameter</w:t>
            </w:r>
          </w:p>
        </w:tc>
      </w:tr>
      <w:tr w:rsidR="006A5B41" w:rsidRPr="00230A3B" w14:paraId="62973ECC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CFA69D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Posterior median shape (α)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379C71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0.74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7978D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1E79A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0.74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2D9419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α &lt;1 indicates decreasing hazard rate over time, consistent with early high-mortality period in severe TBI</w:t>
            </w:r>
          </w:p>
        </w:tc>
      </w:tr>
      <w:tr w:rsidR="006A5B41" w:rsidRPr="00230A3B" w14:paraId="5823FD12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510F65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95% Credible Interval for shape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C8762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0.66 – 0.83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687AB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0.66 – 0.82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37ED0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0.66 – 0.83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8D3B2D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Stable across priors; supports Weibull family selection</w:t>
            </w:r>
          </w:p>
        </w:tc>
      </w:tr>
      <w:tr w:rsidR="006A5B41" w:rsidRPr="00230A3B" w14:paraId="491ACA52" w14:textId="77777777" w:rsidTr="00715222">
        <w:tc>
          <w:tcPr>
            <w:tcW w:w="0" w:type="auto"/>
            <w:gridSpan w:val="5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7B07F91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Prior sensitivity interpretation</w:t>
            </w:r>
          </w:p>
        </w:tc>
      </w:tr>
      <w:tr w:rsidR="006A5B41" w:rsidRPr="00230A3B" w14:paraId="39769AE8" w14:textId="77777777" w:rsidTr="00715222">
        <w:tc>
          <w:tcPr>
            <w:tcW w:w="26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DE6F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D0942B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Conclusion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DE6F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D0EA1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Primary; non-informative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DE6F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B0941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 xml:space="preserve">Posterior </w:t>
            </w:r>
            <w:proofErr w:type="gramStart"/>
            <w:r w:rsidRPr="00230A3B">
              <w:rPr>
                <w:color w:val="000000" w:themeColor="text1"/>
                <w:sz w:val="18"/>
                <w:szCs w:val="18"/>
              </w:rPr>
              <w:t>similar to</w:t>
            </w:r>
            <w:proofErr w:type="gramEnd"/>
            <w:r w:rsidRPr="00230A3B">
              <w:rPr>
                <w:color w:val="000000" w:themeColor="text1"/>
                <w:sz w:val="18"/>
                <w:szCs w:val="18"/>
              </w:rPr>
              <w:t xml:space="preserve"> primary</w:t>
            </w:r>
          </w:p>
        </w:tc>
        <w:tc>
          <w:tcPr>
            <w:tcW w:w="156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DE6F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2D671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Slightly higher HR; prior consistent with data</w:t>
            </w:r>
          </w:p>
        </w:tc>
        <w:tc>
          <w:tcPr>
            <w:tcW w:w="20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DE6F5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5D863B9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Data dominate the prior across all three specifications. ΔLOOIC &lt;2 confirms no meaningful difference in predictive accuracy.</w:t>
            </w:r>
          </w:p>
        </w:tc>
      </w:tr>
    </w:tbl>
    <w:p w14:paraId="162182F0" w14:textId="77777777" w:rsidR="006A5B41" w:rsidRPr="00230A3B" w:rsidRDefault="006A5B41" w:rsidP="006A5B41">
      <w:pPr>
        <w:spacing w:before="80"/>
        <w:rPr>
          <w:color w:val="000000" w:themeColor="text1"/>
        </w:rPr>
      </w:pPr>
    </w:p>
    <w:p w14:paraId="1EA8DDB3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lastRenderedPageBreak/>
        <w:t>All models fitted via the brms package (Stan backend) using the Weibull distributional family. Scale parameter linked to covariates via a log link; shape parameter estimated freely. Models adjusted for age (continuous), sex (binary), GCS at ICU admission (continuous), APACHE III score (continuous), and receipt of 23.4% NaCl, 3% NaCl, and mannitol during the first 96 hours (each binary).</w:t>
      </w:r>
    </w:p>
    <w:p w14:paraId="4F4DCB75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>LOOIC = leave-one-out information criterion (lower = better predictive accuracy). ΔLOOIC and its standard error (SE) are computed relative to Analysis 1 (non-informative priors). ΔLOOIC &lt; 2 with |ΔLOOIC/SE| &lt; 1 is conventionally interpreted as negligible difference in predictive performance.</w:t>
      </w:r>
    </w:p>
    <w:p w14:paraId="76832084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proofErr w:type="spellStart"/>
      <w:r w:rsidRPr="00230A3B">
        <w:rPr>
          <w:i/>
          <w:iCs/>
          <w:color w:val="000000" w:themeColor="text1"/>
          <w:sz w:val="17"/>
          <w:szCs w:val="17"/>
        </w:rPr>
        <w:t>p_loo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= effective number of parameters estimated by LOO-CV, indicating model complexity. Consistent values across specifications confirm that no specification is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overparameterised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relative to the others.</w:t>
      </w:r>
    </w:p>
    <w:p w14:paraId="1F836011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HR = hazard ratio;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CrI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= credible interval; 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P(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>HR &gt; 1 | data) = posterior probability that the class 2 hazard ratio exceeds 1 given the observed data and specified prior.</w:t>
      </w:r>
    </w:p>
    <w:p w14:paraId="0E092640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Weibull shape parameter α &lt; 1 indicates a decreasing hazard rate over time (consistent with the clinical pattern of early 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high-mortality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 xml:space="preserve"> in severe TBI followed by stabilisation in surviving patients). This supports the use of the Weibull family over the exponential (α = 1) or a model assuming increasing hazard.</w:t>
      </w:r>
    </w:p>
    <w:p w14:paraId="100D0FF6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Prior specifications — Analysis 1: 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Normal(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 xml:space="preserve">0, 10) on log-HR scale for all effects; Analysis 2: 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Normal(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>0, 0.5) on log-HR scale; Analysis 3: Normal(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log(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 xml:space="preserve">2.0), 0.4) for the persistent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hypernatraemia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class effect, 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Normal(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 xml:space="preserve">0, 0.5) for all other effects. Weibull shape prior: 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Normal(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>0, 2) constrained positive in all analyses.</w:t>
      </w:r>
    </w:p>
    <w:p w14:paraId="602A185F" w14:textId="77777777" w:rsidR="006A5B41" w:rsidRPr="00230A3B" w:rsidRDefault="006A5B41" w:rsidP="006A5B41">
      <w:pPr>
        <w:pageBreakBefore/>
        <w:rPr>
          <w:color w:val="000000" w:themeColor="text1"/>
        </w:rPr>
      </w:pPr>
    </w:p>
    <w:p w14:paraId="49F5E3B4" w14:textId="77777777" w:rsidR="006A5B41" w:rsidRPr="00230A3B" w:rsidRDefault="006A5B41" w:rsidP="006A5B41">
      <w:pPr>
        <w:spacing w:before="60"/>
        <w:rPr>
          <w:color w:val="000000" w:themeColor="text1"/>
        </w:rPr>
      </w:pPr>
    </w:p>
    <w:p w14:paraId="792D5F82" w14:textId="77777777" w:rsidR="006A5B41" w:rsidRPr="00230A3B" w:rsidRDefault="006A5B41" w:rsidP="006A5B41">
      <w:pPr>
        <w:spacing w:before="200" w:after="80"/>
        <w:rPr>
          <w:color w:val="000000" w:themeColor="text1"/>
        </w:rPr>
      </w:pPr>
      <w:r w:rsidRPr="00230A3B">
        <w:rPr>
          <w:b/>
          <w:bCs/>
          <w:color w:val="000000" w:themeColor="text1"/>
          <w:sz w:val="22"/>
          <w:szCs w:val="22"/>
        </w:rPr>
        <w:t xml:space="preserve">Supplementary Table S3. </w:t>
      </w:r>
      <w:r w:rsidRPr="00230A3B">
        <w:rPr>
          <w:color w:val="000000" w:themeColor="text1"/>
          <w:sz w:val="22"/>
          <w:szCs w:val="22"/>
        </w:rPr>
        <w:t xml:space="preserve">Full pre-specified sensitivity analysis programme. All analyses compare the Persistent </w:t>
      </w:r>
      <w:proofErr w:type="spellStart"/>
      <w:r w:rsidRPr="00230A3B">
        <w:rPr>
          <w:color w:val="000000" w:themeColor="text1"/>
          <w:sz w:val="22"/>
          <w:szCs w:val="22"/>
        </w:rPr>
        <w:t>Hypernatraemia</w:t>
      </w:r>
      <w:proofErr w:type="spellEnd"/>
      <w:r w:rsidRPr="00230A3B">
        <w:rPr>
          <w:color w:val="000000" w:themeColor="text1"/>
          <w:sz w:val="22"/>
          <w:szCs w:val="22"/>
        </w:rPr>
        <w:t xml:space="preserve"> class (Class 2) with the </w:t>
      </w:r>
      <w:proofErr w:type="spellStart"/>
      <w:r w:rsidRPr="00230A3B">
        <w:rPr>
          <w:color w:val="000000" w:themeColor="text1"/>
          <w:sz w:val="22"/>
          <w:szCs w:val="22"/>
        </w:rPr>
        <w:t>Eunatraemia</w:t>
      </w:r>
      <w:proofErr w:type="spellEnd"/>
      <w:r w:rsidRPr="00230A3B">
        <w:rPr>
          <w:color w:val="000000" w:themeColor="text1"/>
          <w:sz w:val="22"/>
          <w:szCs w:val="22"/>
        </w:rPr>
        <w:t>-Stable reference class (Class 1) unless otherwise specified. The reference analysis (highlighted) corresponds to Table 2, primary analysis, in the main manuscript.</w:t>
      </w:r>
    </w:p>
    <w:p w14:paraId="5CB5E660" w14:textId="77777777" w:rsidR="006A5B41" w:rsidRPr="00230A3B" w:rsidRDefault="006A5B41" w:rsidP="006A5B41">
      <w:pPr>
        <w:spacing w:before="60"/>
        <w:rPr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1200"/>
        <w:gridCol w:w="1680"/>
        <w:gridCol w:w="1680"/>
        <w:gridCol w:w="1000"/>
        <w:gridCol w:w="1500"/>
      </w:tblGrid>
      <w:tr w:rsidR="006A5B41" w:rsidRPr="00230A3B" w14:paraId="54BA2A1D" w14:textId="77777777" w:rsidTr="00715222">
        <w:trPr>
          <w:tblHeader/>
        </w:trPr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3DD25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Analysis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7C05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N (Events)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A92AA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Posterior Median HR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593B0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95% Credible Interval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B63D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proofErr w:type="gramStart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P(</w:t>
            </w:r>
            <w:proofErr w:type="gramEnd"/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HR &gt; 1 | data)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34F6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Interpretation</w:t>
            </w:r>
          </w:p>
        </w:tc>
      </w:tr>
      <w:tr w:rsidR="006A5B41" w:rsidRPr="00230A3B" w14:paraId="4AAB7BC8" w14:textId="77777777" w:rsidTr="00715222">
        <w:tc>
          <w:tcPr>
            <w:tcW w:w="0" w:type="auto"/>
            <w:gridSpan w:val="6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4EE7281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Primary analyses — LGMM trajectory classification, non-informative prior (reference)</w:t>
            </w:r>
          </w:p>
        </w:tc>
      </w:tr>
      <w:tr w:rsidR="006A5B41" w:rsidRPr="00230A3B" w14:paraId="6E8083DA" w14:textId="77777777" w:rsidTr="00715222"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B874FC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Full adjusted model (reference analysis)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6CAC6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1,465 (304)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1EE8D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1.79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D7A93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1.36 – 2.34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83A1C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b/>
                <w:bCs/>
                <w:color w:val="000000" w:themeColor="text1"/>
                <w:sz w:val="18"/>
                <w:szCs w:val="18"/>
              </w:rPr>
              <w:t>0.9998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DFF0E8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E17635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Reference</w:t>
            </w:r>
          </w:p>
        </w:tc>
      </w:tr>
      <w:tr w:rsidR="006A5B41" w:rsidRPr="00230A3B" w14:paraId="1FE47523" w14:textId="77777777" w:rsidTr="00715222">
        <w:tc>
          <w:tcPr>
            <w:tcW w:w="0" w:type="auto"/>
            <w:gridSpan w:val="6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34F2FAA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Sensitivity to prior specification — LGMM trajectory classification</w:t>
            </w:r>
          </w:p>
        </w:tc>
      </w:tr>
      <w:tr w:rsidR="006A5B41" w:rsidRPr="00230A3B" w14:paraId="22B6DA0A" w14:textId="77777777" w:rsidTr="00715222"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6E742B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 xml:space="preserve">Weakly informative prior </w:t>
            </w:r>
            <w:proofErr w:type="gramStart"/>
            <w:r w:rsidRPr="00230A3B">
              <w:rPr>
                <w:color w:val="000000" w:themeColor="text1"/>
                <w:sz w:val="18"/>
                <w:szCs w:val="18"/>
              </w:rPr>
              <w:t>Normal(</w:t>
            </w:r>
            <w:proofErr w:type="gramEnd"/>
            <w:r w:rsidRPr="00230A3B">
              <w:rPr>
                <w:color w:val="000000" w:themeColor="text1"/>
                <w:sz w:val="18"/>
                <w:szCs w:val="18"/>
              </w:rPr>
              <w:t>0, 0.5)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6B4ECB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1,465 (304)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BA8BE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1.75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96D632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1.35 – 2.27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A4008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0.9997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B3FB26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>Consistent with reference</w:t>
            </w:r>
          </w:p>
        </w:tc>
      </w:tr>
      <w:tr w:rsidR="006A5B41" w:rsidRPr="00230A3B" w14:paraId="33FABF00" w14:textId="77777777" w:rsidTr="00715222"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D7876D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 xml:space="preserve">Literature-informed prior </w:t>
            </w:r>
            <w:proofErr w:type="gramStart"/>
            <w:r w:rsidRPr="00230A3B">
              <w:rPr>
                <w:color w:val="000000" w:themeColor="text1"/>
                <w:sz w:val="18"/>
                <w:szCs w:val="18"/>
              </w:rPr>
              <w:t>Normal(</w:t>
            </w:r>
            <w:proofErr w:type="gramEnd"/>
            <w:r w:rsidRPr="00230A3B">
              <w:rPr>
                <w:color w:val="000000" w:themeColor="text1"/>
                <w:sz w:val="18"/>
                <w:szCs w:val="18"/>
              </w:rPr>
              <w:t>log 2.0, 0.4)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73399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1,465 (304)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D760DC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1.82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FB9216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1.41 – 2.34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204D6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0.9999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473CF7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>Slightly higher HR; prior consistent with data signal</w:t>
            </w:r>
          </w:p>
        </w:tc>
      </w:tr>
      <w:tr w:rsidR="006A5B41" w:rsidRPr="00230A3B" w14:paraId="456CC73C" w14:textId="77777777" w:rsidTr="00715222">
        <w:tc>
          <w:tcPr>
            <w:tcW w:w="0" w:type="auto"/>
            <w:gridSpan w:val="6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57E32BA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Sensitivity to trajectory classification method</w:t>
            </w:r>
          </w:p>
        </w:tc>
      </w:tr>
      <w:tr w:rsidR="006A5B41" w:rsidRPr="00230A3B" w14:paraId="76736893" w14:textId="77777777" w:rsidTr="00715222"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9243571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Functional k-means clustering (non-informative prior)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23186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1,465 (304)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6CE87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1.71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1FC39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1.29 – 2.26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A09E26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0.9993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E00D84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>Adjusted Rand index 0.78 vs. LGMM; consistent result</w:t>
            </w:r>
          </w:p>
        </w:tc>
      </w:tr>
      <w:tr w:rsidR="006A5B41" w:rsidRPr="00230A3B" w14:paraId="777FD124" w14:textId="77777777" w:rsidTr="00715222">
        <w:tc>
          <w:tcPr>
            <w:tcW w:w="0" w:type="auto"/>
            <w:gridSpan w:val="6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47FD79F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Sensitivity to osmotherapy covariate specification</w:t>
            </w:r>
          </w:p>
        </w:tc>
      </w:tr>
      <w:tr w:rsidR="006A5B41" w:rsidRPr="00230A3B" w14:paraId="00EF00A5" w14:textId="77777777" w:rsidTr="00715222"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873EDF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Removal of all osmotherapy covariates from model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83E753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1,465 (304)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4E2DC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1.63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3FD25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1.26 – 2.12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75F8C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0.9989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D6A118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>Modest attenuation; osmotherapy partially but not fully explains association</w:t>
            </w:r>
          </w:p>
        </w:tc>
      </w:tr>
      <w:tr w:rsidR="006A5B41" w:rsidRPr="00230A3B" w14:paraId="29C34696" w14:textId="77777777" w:rsidTr="00715222"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F87535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Restriction to patients who received no osmotherapy during first 96 hours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B5661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984 (179)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1A850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1.58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6F37DD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1.04 – 2.39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BEE198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0.984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2F5F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E1428F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 xml:space="preserve">Wider </w:t>
            </w:r>
            <w:proofErr w:type="spellStart"/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>CrI</w:t>
            </w:r>
            <w:proofErr w:type="spellEnd"/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 xml:space="preserve"> (smaller N); direction and magnitude preserved. Persistent </w:t>
            </w:r>
            <w:proofErr w:type="spellStart"/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>hypernatraemia</w:t>
            </w:r>
            <w:proofErr w:type="spellEnd"/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 xml:space="preserve"> trajectory not solely an osmotherapy effect</w:t>
            </w:r>
          </w:p>
        </w:tc>
      </w:tr>
      <w:tr w:rsidR="006A5B41" w:rsidRPr="00230A3B" w14:paraId="6105CF7A" w14:textId="77777777" w:rsidTr="00715222">
        <w:tc>
          <w:tcPr>
            <w:tcW w:w="0" w:type="auto"/>
            <w:gridSpan w:val="6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377ABC7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t>Sensitivity to missing sodium data handling</w:t>
            </w:r>
          </w:p>
        </w:tc>
      </w:tr>
      <w:tr w:rsidR="006A5B41" w:rsidRPr="00230A3B" w14:paraId="1DA682BD" w14:textId="77777777" w:rsidTr="00715222"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F56186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Restriction to patients with complete sodium data (no interpolated windows)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AB2239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1,243 (254)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4CEF07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1.77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7A9EDB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1.32 – 2.36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2D240F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0.9997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CD0786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 xml:space="preserve">Linear interpolation did not materially alter trajectory classification or </w:t>
            </w:r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survival estimates</w:t>
            </w:r>
          </w:p>
        </w:tc>
      </w:tr>
      <w:tr w:rsidR="006A5B41" w:rsidRPr="00230A3B" w14:paraId="445107DA" w14:textId="77777777" w:rsidTr="00715222">
        <w:tc>
          <w:tcPr>
            <w:tcW w:w="0" w:type="auto"/>
            <w:gridSpan w:val="6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DE6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7F24515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b/>
                <w:bCs/>
                <w:i/>
                <w:iCs/>
                <w:color w:val="000000" w:themeColor="text1"/>
                <w:sz w:val="19"/>
                <w:szCs w:val="19"/>
              </w:rPr>
              <w:lastRenderedPageBreak/>
              <w:t>Alternative reference class</w:t>
            </w:r>
          </w:p>
        </w:tc>
      </w:tr>
      <w:tr w:rsidR="006A5B41" w:rsidRPr="00230A3B" w14:paraId="34A0E118" w14:textId="77777777" w:rsidTr="00715222">
        <w:tc>
          <w:tcPr>
            <w:tcW w:w="23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3A70C23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 xml:space="preserve">Class 2 (Persistent </w:t>
            </w:r>
            <w:proofErr w:type="spellStart"/>
            <w:r w:rsidRPr="00230A3B">
              <w:rPr>
                <w:color w:val="000000" w:themeColor="text1"/>
                <w:sz w:val="18"/>
                <w:szCs w:val="18"/>
              </w:rPr>
              <w:t>Hypernatraemia</w:t>
            </w:r>
            <w:proofErr w:type="spellEnd"/>
            <w:r w:rsidRPr="00230A3B">
              <w:rPr>
                <w:color w:val="000000" w:themeColor="text1"/>
                <w:sz w:val="18"/>
                <w:szCs w:val="18"/>
              </w:rPr>
              <w:t>) as reference class</w:t>
            </w:r>
          </w:p>
        </w:tc>
        <w:tc>
          <w:tcPr>
            <w:tcW w:w="12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8981AA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1,465 (304)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4046A0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0.56</w:t>
            </w:r>
          </w:p>
        </w:tc>
        <w:tc>
          <w:tcPr>
            <w:tcW w:w="168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E2493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r w:rsidRPr="00230A3B">
              <w:rPr>
                <w:color w:val="000000" w:themeColor="text1"/>
                <w:sz w:val="18"/>
                <w:szCs w:val="18"/>
              </w:rPr>
              <w:t>0.43 – 0.73</w:t>
            </w:r>
          </w:p>
        </w:tc>
        <w:tc>
          <w:tcPr>
            <w:tcW w:w="10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2045DC" w14:textId="77777777" w:rsidR="006A5B41" w:rsidRPr="00230A3B" w:rsidRDefault="006A5B41" w:rsidP="00715222">
            <w:pPr>
              <w:jc w:val="center"/>
              <w:rPr>
                <w:color w:val="000000" w:themeColor="text1"/>
              </w:rPr>
            </w:pPr>
            <w:proofErr w:type="gramStart"/>
            <w:r w:rsidRPr="00230A3B">
              <w:rPr>
                <w:color w:val="000000" w:themeColor="text1"/>
                <w:sz w:val="18"/>
                <w:szCs w:val="18"/>
              </w:rPr>
              <w:t>P(</w:t>
            </w:r>
            <w:proofErr w:type="gramEnd"/>
            <w:r w:rsidRPr="00230A3B">
              <w:rPr>
                <w:color w:val="000000" w:themeColor="text1"/>
                <w:sz w:val="18"/>
                <w:szCs w:val="18"/>
              </w:rPr>
              <w:t>HR &lt; 1 | data) = 0.9998</w:t>
            </w:r>
          </w:p>
        </w:tc>
        <w:tc>
          <w:tcPr>
            <w:tcW w:w="1500" w:type="dxa"/>
            <w:tcBorders>
              <w:top w:val="single" w:sz="4" w:space="0" w:color="C8D4E8"/>
              <w:left w:val="single" w:sz="4" w:space="0" w:color="C8D4E8"/>
              <w:bottom w:val="single" w:sz="4" w:space="0" w:color="C8D4E8"/>
              <w:right w:val="single" w:sz="4" w:space="0" w:color="C8D4E8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24D234" w14:textId="77777777" w:rsidR="006A5B41" w:rsidRPr="00230A3B" w:rsidRDefault="006A5B41" w:rsidP="00715222">
            <w:pPr>
              <w:rPr>
                <w:color w:val="000000" w:themeColor="text1"/>
              </w:rPr>
            </w:pPr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 xml:space="preserve">Reciprocal of primary estimate; </w:t>
            </w:r>
            <w:proofErr w:type="spellStart"/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>eunatraemia</w:t>
            </w:r>
            <w:proofErr w:type="spellEnd"/>
            <w:r w:rsidRPr="00230A3B">
              <w:rPr>
                <w:i/>
                <w:iCs/>
                <w:color w:val="000000" w:themeColor="text1"/>
                <w:sz w:val="18"/>
                <w:szCs w:val="18"/>
              </w:rPr>
              <w:t>-stable class has lower case-fatality. Results are directionally identical</w:t>
            </w:r>
          </w:p>
        </w:tc>
      </w:tr>
    </w:tbl>
    <w:p w14:paraId="1AE82525" w14:textId="77777777" w:rsidR="006A5B41" w:rsidRPr="00230A3B" w:rsidRDefault="006A5B41" w:rsidP="006A5B41">
      <w:pPr>
        <w:spacing w:before="80"/>
        <w:rPr>
          <w:color w:val="000000" w:themeColor="text1"/>
        </w:rPr>
      </w:pPr>
    </w:p>
    <w:p w14:paraId="56E5C499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HR = hazard ratio;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CrI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= credible interval; 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P(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>HR &gt; 1 | data) = posterior probability that the hazard ratio exceeds 1 given the observed data. Values approaching 1.000 indicate near-certain evidence of increased case-fatality risk relative to the reference class. The reference analysis (non-informative prior, full adjusted model) is shaded green.</w:t>
      </w:r>
    </w:p>
    <w:p w14:paraId="47B3F859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>All analyses use the non-informative prior [</w:t>
      </w:r>
      <w:proofErr w:type="gramStart"/>
      <w:r w:rsidRPr="00230A3B">
        <w:rPr>
          <w:i/>
          <w:iCs/>
          <w:color w:val="000000" w:themeColor="text1"/>
          <w:sz w:val="17"/>
          <w:szCs w:val="17"/>
        </w:rPr>
        <w:t>Normal(</w:t>
      </w:r>
      <w:proofErr w:type="gramEnd"/>
      <w:r w:rsidRPr="00230A3B">
        <w:rPr>
          <w:i/>
          <w:iCs/>
          <w:color w:val="000000" w:themeColor="text1"/>
          <w:sz w:val="17"/>
          <w:szCs w:val="17"/>
        </w:rPr>
        <w:t>0, 10) on the log-HR scale] unless a prior sensitivity analysis is explicitly specified. The Weibull distributional family and the same covariate structure as the primary model were applied to all analyses unless stated otherwise.</w:t>
      </w:r>
    </w:p>
    <w:p w14:paraId="5E4B5535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>N (Events) = analytic sample size (number of 90-day deaths) for each analysis. Reductions from the full cohort (N = 1,465, 304 events) reflect application of the relevant restriction criterion.</w:t>
      </w:r>
    </w:p>
    <w:p w14:paraId="0B10BB28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Osmotherapy-untreated cohort (n = 984): patients who received no 23.4% NaCl, 3% NaCl, or mannitol during the first 96 hours of ICU admission. The wider credible interval in this analysis reflects reduced statistical power. The persistence of the association in this subgroup supports a biological contribution of the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hypernatraemia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trajectory phenotype beyond pharmacological sodium loading.</w:t>
      </w:r>
    </w:p>
    <w:p w14:paraId="1BE8AC66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>Complete sodium windows (n = 1,243): patients with no linearly interpolated sodium windows (i.e., all four 24-hour windows contained at least one measured sodium value). The near-identical result confirms that linear interpolation did not introduce systematic bias into trajectory class assignments.</w:t>
      </w:r>
    </w:p>
    <w:p w14:paraId="482A87BE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 xml:space="preserve">Alternative reference class analysis: Class 2 (Persistent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Hypernatraemia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>) used as the reference instead of Class 1 (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Eunatraemia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-Stable). The resulting HR of 0.56 (95% </w:t>
      </w:r>
      <w:proofErr w:type="spellStart"/>
      <w:r w:rsidRPr="00230A3B">
        <w:rPr>
          <w:i/>
          <w:iCs/>
          <w:color w:val="000000" w:themeColor="text1"/>
          <w:sz w:val="17"/>
          <w:szCs w:val="17"/>
        </w:rPr>
        <w:t>CrI</w:t>
      </w:r>
      <w:proofErr w:type="spellEnd"/>
      <w:r w:rsidRPr="00230A3B">
        <w:rPr>
          <w:i/>
          <w:iCs/>
          <w:color w:val="000000" w:themeColor="text1"/>
          <w:sz w:val="17"/>
          <w:szCs w:val="17"/>
        </w:rPr>
        <w:t xml:space="preserve"> 0.43–0.73) for Class 1 vs. Class 2 is the mathematical reciprocal of the primary estimate (1/1.79 ≈ 0.56), confirming internal model consistency.</w:t>
      </w:r>
    </w:p>
    <w:p w14:paraId="22A650D4" w14:textId="77777777" w:rsidR="006A5B41" w:rsidRPr="00230A3B" w:rsidRDefault="006A5B41" w:rsidP="006A5B41">
      <w:pPr>
        <w:spacing w:before="40" w:after="30"/>
        <w:rPr>
          <w:color w:val="000000" w:themeColor="text1"/>
        </w:rPr>
      </w:pPr>
      <w:r w:rsidRPr="00230A3B">
        <w:rPr>
          <w:i/>
          <w:iCs/>
          <w:color w:val="000000" w:themeColor="text1"/>
          <w:sz w:val="17"/>
          <w:szCs w:val="17"/>
        </w:rPr>
        <w:t>All sensitivity analyses were pre-specified in the analysis plan prior to model fitting. No post-hoc sensitivity analyses were conducted.</w:t>
      </w:r>
    </w:p>
    <w:p w14:paraId="61778F75" w14:textId="77777777" w:rsidR="006A5B41" w:rsidRPr="00230A3B" w:rsidRDefault="006A5B41" w:rsidP="006A5B41">
      <w:pPr>
        <w:rPr>
          <w:color w:val="000000" w:themeColor="text1"/>
        </w:rPr>
      </w:pPr>
    </w:p>
    <w:p w14:paraId="42C76F6B" w14:textId="77777777" w:rsidR="006A5B41" w:rsidRPr="00230A3B" w:rsidRDefault="006A5B41" w:rsidP="006A5B41">
      <w:pPr>
        <w:rPr>
          <w:color w:val="000000" w:themeColor="text1"/>
        </w:rPr>
      </w:pPr>
    </w:p>
    <w:p w14:paraId="7D98482E" w14:textId="77777777" w:rsidR="00592BFA" w:rsidRDefault="00592BFA"/>
    <w:sectPr w:rsidR="00592BFA" w:rsidSect="006A5B41"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ACF5" w14:textId="77777777" w:rsidR="006A5B41" w:rsidRDefault="006A5B41">
    <w:pPr>
      <w:jc w:val="center"/>
    </w:pP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>
      <w:rPr>
        <w:noProof/>
        <w:color w:val="999999"/>
        <w:sz w:val="20"/>
        <w:szCs w:val="20"/>
      </w:rPr>
      <w:t>1</w:t>
    </w:r>
    <w:r>
      <w:rPr>
        <w:color w:val="999999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35A2" w14:textId="77777777" w:rsidR="006A5B41" w:rsidRDefault="006A5B41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41"/>
    <w:rsid w:val="00007D26"/>
    <w:rsid w:val="000100CE"/>
    <w:rsid w:val="00020A53"/>
    <w:rsid w:val="00022329"/>
    <w:rsid w:val="00026643"/>
    <w:rsid w:val="000347B5"/>
    <w:rsid w:val="00070D90"/>
    <w:rsid w:val="000729B6"/>
    <w:rsid w:val="000A6244"/>
    <w:rsid w:val="000B7519"/>
    <w:rsid w:val="000E44B9"/>
    <w:rsid w:val="00105740"/>
    <w:rsid w:val="001161C3"/>
    <w:rsid w:val="00122BD8"/>
    <w:rsid w:val="00131C62"/>
    <w:rsid w:val="00135262"/>
    <w:rsid w:val="00184F14"/>
    <w:rsid w:val="001A4EFB"/>
    <w:rsid w:val="001C7BDD"/>
    <w:rsid w:val="001D4C5A"/>
    <w:rsid w:val="001F66F6"/>
    <w:rsid w:val="00213F34"/>
    <w:rsid w:val="002231CE"/>
    <w:rsid w:val="00240F34"/>
    <w:rsid w:val="00245552"/>
    <w:rsid w:val="00250A2E"/>
    <w:rsid w:val="002518D3"/>
    <w:rsid w:val="002B28F0"/>
    <w:rsid w:val="002C5750"/>
    <w:rsid w:val="002E49D0"/>
    <w:rsid w:val="00300D36"/>
    <w:rsid w:val="00317049"/>
    <w:rsid w:val="0032188E"/>
    <w:rsid w:val="0032508B"/>
    <w:rsid w:val="003303C5"/>
    <w:rsid w:val="00336716"/>
    <w:rsid w:val="003568CF"/>
    <w:rsid w:val="00357ACB"/>
    <w:rsid w:val="00392D80"/>
    <w:rsid w:val="003B6D6A"/>
    <w:rsid w:val="003C6B28"/>
    <w:rsid w:val="003E2DBE"/>
    <w:rsid w:val="004213F0"/>
    <w:rsid w:val="00422642"/>
    <w:rsid w:val="00430A5C"/>
    <w:rsid w:val="00430C5B"/>
    <w:rsid w:val="00445B47"/>
    <w:rsid w:val="00446E83"/>
    <w:rsid w:val="0045335E"/>
    <w:rsid w:val="004578FA"/>
    <w:rsid w:val="00495985"/>
    <w:rsid w:val="004A4F44"/>
    <w:rsid w:val="004B0E3F"/>
    <w:rsid w:val="004B5914"/>
    <w:rsid w:val="00513F33"/>
    <w:rsid w:val="00546027"/>
    <w:rsid w:val="005520B1"/>
    <w:rsid w:val="00561702"/>
    <w:rsid w:val="00562999"/>
    <w:rsid w:val="00567D55"/>
    <w:rsid w:val="00571FE3"/>
    <w:rsid w:val="00574D98"/>
    <w:rsid w:val="00592BFA"/>
    <w:rsid w:val="005B459D"/>
    <w:rsid w:val="005D4C49"/>
    <w:rsid w:val="005D5046"/>
    <w:rsid w:val="00600531"/>
    <w:rsid w:val="0065088C"/>
    <w:rsid w:val="0065652B"/>
    <w:rsid w:val="00670F1F"/>
    <w:rsid w:val="00693031"/>
    <w:rsid w:val="006A270C"/>
    <w:rsid w:val="006A5B41"/>
    <w:rsid w:val="006A6E29"/>
    <w:rsid w:val="006C2F71"/>
    <w:rsid w:val="006D664D"/>
    <w:rsid w:val="007115F8"/>
    <w:rsid w:val="00726505"/>
    <w:rsid w:val="00731012"/>
    <w:rsid w:val="00746DBD"/>
    <w:rsid w:val="00765573"/>
    <w:rsid w:val="00782F0D"/>
    <w:rsid w:val="00785622"/>
    <w:rsid w:val="007B77F9"/>
    <w:rsid w:val="007C22E9"/>
    <w:rsid w:val="007D6A68"/>
    <w:rsid w:val="007F0D4D"/>
    <w:rsid w:val="00800DA5"/>
    <w:rsid w:val="0081257E"/>
    <w:rsid w:val="00835CEB"/>
    <w:rsid w:val="008602DC"/>
    <w:rsid w:val="008837CE"/>
    <w:rsid w:val="00887767"/>
    <w:rsid w:val="00891A3B"/>
    <w:rsid w:val="008A17E8"/>
    <w:rsid w:val="008C31B3"/>
    <w:rsid w:val="008D1BEB"/>
    <w:rsid w:val="008E0883"/>
    <w:rsid w:val="008F7DFA"/>
    <w:rsid w:val="00900E69"/>
    <w:rsid w:val="00901759"/>
    <w:rsid w:val="009025C7"/>
    <w:rsid w:val="0091027E"/>
    <w:rsid w:val="0092113F"/>
    <w:rsid w:val="009342BC"/>
    <w:rsid w:val="00934F03"/>
    <w:rsid w:val="009439E3"/>
    <w:rsid w:val="00946CCE"/>
    <w:rsid w:val="00955D79"/>
    <w:rsid w:val="00961611"/>
    <w:rsid w:val="0096225E"/>
    <w:rsid w:val="00964DE3"/>
    <w:rsid w:val="0097414D"/>
    <w:rsid w:val="009A4E0A"/>
    <w:rsid w:val="009A5A73"/>
    <w:rsid w:val="009A5E4A"/>
    <w:rsid w:val="009C41D7"/>
    <w:rsid w:val="009C43F5"/>
    <w:rsid w:val="009C777C"/>
    <w:rsid w:val="009F61A3"/>
    <w:rsid w:val="00A10EB7"/>
    <w:rsid w:val="00A256F5"/>
    <w:rsid w:val="00A27EA0"/>
    <w:rsid w:val="00A33AB5"/>
    <w:rsid w:val="00A57BBE"/>
    <w:rsid w:val="00A80F8E"/>
    <w:rsid w:val="00A86B16"/>
    <w:rsid w:val="00AC4E45"/>
    <w:rsid w:val="00AD37E4"/>
    <w:rsid w:val="00B17135"/>
    <w:rsid w:val="00B2343D"/>
    <w:rsid w:val="00B2352B"/>
    <w:rsid w:val="00B513AE"/>
    <w:rsid w:val="00B637E4"/>
    <w:rsid w:val="00B67FED"/>
    <w:rsid w:val="00B74026"/>
    <w:rsid w:val="00B77058"/>
    <w:rsid w:val="00B80E8E"/>
    <w:rsid w:val="00B92249"/>
    <w:rsid w:val="00B94D1D"/>
    <w:rsid w:val="00BC17F5"/>
    <w:rsid w:val="00BC450B"/>
    <w:rsid w:val="00BD08ED"/>
    <w:rsid w:val="00C11A4E"/>
    <w:rsid w:val="00C12494"/>
    <w:rsid w:val="00C13A3B"/>
    <w:rsid w:val="00C17B6B"/>
    <w:rsid w:val="00C2009D"/>
    <w:rsid w:val="00C22EF4"/>
    <w:rsid w:val="00C353FB"/>
    <w:rsid w:val="00C55A22"/>
    <w:rsid w:val="00C567DA"/>
    <w:rsid w:val="00C65757"/>
    <w:rsid w:val="00C77A4C"/>
    <w:rsid w:val="00C80F47"/>
    <w:rsid w:val="00C814D0"/>
    <w:rsid w:val="00C954EA"/>
    <w:rsid w:val="00CA089E"/>
    <w:rsid w:val="00CE0D5D"/>
    <w:rsid w:val="00D0484B"/>
    <w:rsid w:val="00D16462"/>
    <w:rsid w:val="00D22825"/>
    <w:rsid w:val="00D2527C"/>
    <w:rsid w:val="00D715E2"/>
    <w:rsid w:val="00D81B56"/>
    <w:rsid w:val="00D84E3A"/>
    <w:rsid w:val="00D93628"/>
    <w:rsid w:val="00DA781B"/>
    <w:rsid w:val="00DA7BBB"/>
    <w:rsid w:val="00DB6324"/>
    <w:rsid w:val="00DF3CA7"/>
    <w:rsid w:val="00DF416A"/>
    <w:rsid w:val="00DF7240"/>
    <w:rsid w:val="00E11292"/>
    <w:rsid w:val="00E2712F"/>
    <w:rsid w:val="00E30318"/>
    <w:rsid w:val="00E31409"/>
    <w:rsid w:val="00E4043F"/>
    <w:rsid w:val="00E40D3A"/>
    <w:rsid w:val="00E61FA1"/>
    <w:rsid w:val="00E841C3"/>
    <w:rsid w:val="00ED22F3"/>
    <w:rsid w:val="00EF3692"/>
    <w:rsid w:val="00EF4CE1"/>
    <w:rsid w:val="00EF730F"/>
    <w:rsid w:val="00F05C57"/>
    <w:rsid w:val="00F253DE"/>
    <w:rsid w:val="00F33972"/>
    <w:rsid w:val="00F5254B"/>
    <w:rsid w:val="00F60B82"/>
    <w:rsid w:val="00F76AF8"/>
    <w:rsid w:val="00F927BC"/>
    <w:rsid w:val="00FA7C0F"/>
    <w:rsid w:val="00FB07CA"/>
    <w:rsid w:val="00FB10E6"/>
    <w:rsid w:val="00FB2A2B"/>
    <w:rsid w:val="00FD6235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65852"/>
  <w15:chartTrackingRefBased/>
  <w15:docId w15:val="{600EE397-9AA7-AA4C-AC50-E1369BD9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before="100" w:beforeAutospacing="1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41"/>
    <w:pPr>
      <w:spacing w:before="0" w:beforeAutospacing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B41"/>
    <w:pPr>
      <w:keepNext/>
      <w:keepLines/>
      <w:spacing w:before="360" w:beforeAutospacing="1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B41"/>
    <w:pPr>
      <w:keepNext/>
      <w:keepLines/>
      <w:spacing w:before="160" w:beforeAutospacing="1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B41"/>
    <w:pPr>
      <w:keepNext/>
      <w:keepLines/>
      <w:spacing w:before="160" w:beforeAutospacing="1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B41"/>
    <w:pPr>
      <w:keepNext/>
      <w:keepLines/>
      <w:spacing w:before="80" w:beforeAutospacing="1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B41"/>
    <w:pPr>
      <w:keepNext/>
      <w:keepLines/>
      <w:spacing w:before="80" w:beforeAutospacing="1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B41"/>
    <w:pPr>
      <w:keepNext/>
      <w:keepLines/>
      <w:spacing w:before="40" w:beforeAutospacing="1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B41"/>
    <w:pPr>
      <w:keepNext/>
      <w:keepLines/>
      <w:spacing w:before="40" w:beforeAutospacing="1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B41"/>
    <w:pPr>
      <w:keepNext/>
      <w:keepLines/>
      <w:spacing w:beforeAutospacing="1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B41"/>
    <w:pPr>
      <w:keepNext/>
      <w:keepLines/>
      <w:spacing w:beforeAutospacing="1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B41"/>
    <w:pPr>
      <w:spacing w:beforeAutospacing="1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5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B41"/>
    <w:pPr>
      <w:numPr>
        <w:ilvl w:val="1"/>
      </w:numPr>
      <w:spacing w:before="100" w:beforeAutospacing="1"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5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B41"/>
    <w:pPr>
      <w:spacing w:before="160" w:beforeAutospacing="1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5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B41"/>
    <w:pPr>
      <w:spacing w:before="100" w:beforeAutospacing="1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5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1440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 Raman</dc:creator>
  <cp:keywords/>
  <dc:description/>
  <cp:lastModifiedBy>Vignesh Raman</cp:lastModifiedBy>
  <cp:revision>1</cp:revision>
  <dcterms:created xsi:type="dcterms:W3CDTF">2026-05-28T03:22:00Z</dcterms:created>
  <dcterms:modified xsi:type="dcterms:W3CDTF">2026-05-28T03:24:00Z</dcterms:modified>
</cp:coreProperties>
</file>