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28629" w14:textId="77777777" w:rsidR="00537449" w:rsidRPr="005D046D" w:rsidRDefault="00F879D8" w:rsidP="00F92CD8">
      <w:pPr>
        <w:rPr>
          <w:rFonts w:ascii="Arial" w:hAnsi="Arial" w:cs="Arial"/>
          <w:b/>
          <w:sz w:val="24"/>
          <w:szCs w:val="24"/>
        </w:rPr>
      </w:pPr>
      <w:r w:rsidRPr="005D046D">
        <w:rPr>
          <w:rFonts w:ascii="Arial" w:hAnsi="Arial" w:cs="Arial"/>
          <w:b/>
          <w:sz w:val="24"/>
          <w:szCs w:val="24"/>
        </w:rPr>
        <w:t>Supplementary</w:t>
      </w:r>
      <w:r w:rsidR="002A3964" w:rsidRPr="005D046D">
        <w:rPr>
          <w:rFonts w:ascii="Arial" w:hAnsi="Arial" w:cs="Arial"/>
          <w:b/>
          <w:sz w:val="24"/>
          <w:szCs w:val="24"/>
        </w:rPr>
        <w:t xml:space="preserve"> information</w:t>
      </w:r>
    </w:p>
    <w:p w14:paraId="3FA5C178" w14:textId="77777777" w:rsidR="00F879D8" w:rsidRPr="005D046D" w:rsidRDefault="00F879D8" w:rsidP="006B3418">
      <w:pPr>
        <w:rPr>
          <w:rFonts w:ascii="Arial" w:hAnsi="Arial" w:cs="Arial"/>
          <w:b/>
          <w:sz w:val="24"/>
          <w:szCs w:val="24"/>
        </w:rPr>
      </w:pPr>
    </w:p>
    <w:p w14:paraId="42ABBC59" w14:textId="09C07952" w:rsidR="002D389D" w:rsidRPr="005D046D" w:rsidRDefault="00260C35" w:rsidP="002D389D">
      <w:pPr>
        <w:spacing w:after="240" w:line="480" w:lineRule="auto"/>
        <w:rPr>
          <w:rFonts w:ascii="Arial" w:hAnsi="Arial" w:cs="Arial"/>
          <w:b/>
          <w:sz w:val="24"/>
          <w:szCs w:val="24"/>
        </w:rPr>
      </w:pPr>
      <w:bookmarkStart w:id="0" w:name="_Hlk14263843"/>
      <w:bookmarkStart w:id="1" w:name="_Hlk14706574"/>
      <w:r>
        <w:rPr>
          <w:rFonts w:ascii="Arial" w:hAnsi="Arial" w:cs="Arial"/>
          <w:b/>
          <w:sz w:val="24"/>
          <w:szCs w:val="24"/>
        </w:rPr>
        <w:t>Imaging</w:t>
      </w:r>
      <w:r w:rsidR="002D389D" w:rsidRPr="005D046D">
        <w:rPr>
          <w:rFonts w:ascii="Arial" w:hAnsi="Arial" w:cs="Arial"/>
          <w:b/>
          <w:sz w:val="24"/>
          <w:szCs w:val="24"/>
        </w:rPr>
        <w:t xml:space="preserve"> the Alternatively Spliced D Domain of Tenascin C in Preclinical Models of Inflammatory Bowel Disease </w:t>
      </w:r>
    </w:p>
    <w:bookmarkEnd w:id="0"/>
    <w:p w14:paraId="53419A82" w14:textId="77777777" w:rsidR="006139A2" w:rsidRPr="005D046D" w:rsidRDefault="006139A2" w:rsidP="006139A2">
      <w:pPr>
        <w:spacing w:after="240" w:line="240" w:lineRule="auto"/>
        <w:rPr>
          <w:rFonts w:ascii="Arial" w:hAnsi="Arial" w:cs="Arial"/>
          <w:sz w:val="24"/>
          <w:szCs w:val="24"/>
        </w:rPr>
      </w:pPr>
    </w:p>
    <w:p w14:paraId="16D15994" w14:textId="77777777" w:rsidR="006139A2" w:rsidRPr="005D046D" w:rsidRDefault="006139A2" w:rsidP="006139A2">
      <w:pPr>
        <w:spacing w:after="240" w:line="240" w:lineRule="auto"/>
        <w:rPr>
          <w:rFonts w:ascii="Arial" w:hAnsi="Arial" w:cs="Arial"/>
          <w:bCs/>
          <w:sz w:val="24"/>
          <w:szCs w:val="24"/>
        </w:rPr>
      </w:pPr>
      <w:r w:rsidRPr="005D046D">
        <w:rPr>
          <w:rFonts w:ascii="Arial" w:hAnsi="Arial" w:cs="Arial"/>
          <w:sz w:val="24"/>
          <w:szCs w:val="24"/>
          <w:vertAlign w:val="superscript"/>
        </w:rPr>
        <w:t>1</w:t>
      </w:r>
      <w:bookmarkEnd w:id="1"/>
      <w:r w:rsidRPr="005D046D">
        <w:rPr>
          <w:rFonts w:ascii="Arial" w:hAnsi="Arial" w:cs="Arial"/>
          <w:sz w:val="24"/>
          <w:szCs w:val="24"/>
        </w:rPr>
        <w:t>AbbVie Bioresearch Center, Worcester, MA 01605</w:t>
      </w:r>
    </w:p>
    <w:p w14:paraId="33D42F4A" w14:textId="5829998E" w:rsidR="00F879D8" w:rsidRPr="005D046D" w:rsidRDefault="00F879D8">
      <w:pPr>
        <w:rPr>
          <w:rFonts w:ascii="Arial" w:hAnsi="Arial" w:cs="Arial"/>
          <w:sz w:val="24"/>
          <w:szCs w:val="24"/>
        </w:rPr>
      </w:pPr>
    </w:p>
    <w:p w14:paraId="3CE02585" w14:textId="7E0C3B06" w:rsidR="00921164" w:rsidRPr="005D046D" w:rsidRDefault="00921164">
      <w:pPr>
        <w:rPr>
          <w:rFonts w:ascii="Arial" w:hAnsi="Arial" w:cs="Arial"/>
          <w:sz w:val="24"/>
          <w:szCs w:val="24"/>
        </w:rPr>
      </w:pPr>
    </w:p>
    <w:p w14:paraId="27804E53" w14:textId="77777777" w:rsidR="00921164" w:rsidRPr="005D046D" w:rsidRDefault="00921164">
      <w:pPr>
        <w:rPr>
          <w:rFonts w:ascii="Arial" w:hAnsi="Arial" w:cs="Arial"/>
          <w:sz w:val="24"/>
          <w:szCs w:val="24"/>
        </w:rPr>
      </w:pPr>
    </w:p>
    <w:p w14:paraId="4904D09D" w14:textId="77777777" w:rsidR="006B3418" w:rsidRPr="005D046D" w:rsidRDefault="006B3418" w:rsidP="006B3418">
      <w:pPr>
        <w:rPr>
          <w:rFonts w:ascii="Arial" w:hAnsi="Arial" w:cs="Arial"/>
          <w:b/>
          <w:sz w:val="24"/>
          <w:szCs w:val="24"/>
        </w:rPr>
      </w:pPr>
      <w:r w:rsidRPr="005D046D">
        <w:rPr>
          <w:rFonts w:ascii="Arial" w:hAnsi="Arial" w:cs="Arial"/>
          <w:b/>
          <w:sz w:val="24"/>
          <w:szCs w:val="24"/>
        </w:rPr>
        <w:t>Table of Contents</w:t>
      </w:r>
    </w:p>
    <w:p w14:paraId="58C40029" w14:textId="77777777" w:rsidR="006B3418" w:rsidRPr="005D046D" w:rsidRDefault="006B3418" w:rsidP="006B3418">
      <w:pPr>
        <w:rPr>
          <w:rFonts w:ascii="Arial" w:hAnsi="Arial" w:cs="Arial"/>
          <w:sz w:val="24"/>
          <w:szCs w:val="24"/>
        </w:rPr>
      </w:pPr>
    </w:p>
    <w:p w14:paraId="7246F8A9" w14:textId="5C299188" w:rsidR="006B3418" w:rsidRPr="005D046D" w:rsidRDefault="006B3418" w:rsidP="006B3418">
      <w:pPr>
        <w:rPr>
          <w:rFonts w:ascii="Arial" w:hAnsi="Arial" w:cs="Arial"/>
          <w:noProof/>
          <w:sz w:val="24"/>
          <w:szCs w:val="24"/>
        </w:rPr>
      </w:pPr>
      <w:r w:rsidRPr="005D046D">
        <w:rPr>
          <w:rFonts w:ascii="Arial" w:hAnsi="Arial" w:cs="Arial"/>
          <w:noProof/>
          <w:sz w:val="24"/>
          <w:szCs w:val="24"/>
        </w:rPr>
        <w:t xml:space="preserve">1. </w:t>
      </w:r>
      <w:r w:rsidR="00AB73E5" w:rsidRPr="005D046D">
        <w:rPr>
          <w:rFonts w:ascii="Arial" w:hAnsi="Arial" w:cs="Arial"/>
          <w:noProof/>
          <w:sz w:val="24"/>
          <w:szCs w:val="24"/>
        </w:rPr>
        <w:t>Reagent characterization</w:t>
      </w:r>
    </w:p>
    <w:p w14:paraId="05BE04EB" w14:textId="232976B6" w:rsidR="00012C64" w:rsidRPr="005D046D" w:rsidRDefault="006B3418" w:rsidP="006B3418">
      <w:pPr>
        <w:rPr>
          <w:rFonts w:ascii="Arial" w:hAnsi="Arial" w:cs="Arial"/>
          <w:noProof/>
          <w:sz w:val="24"/>
          <w:szCs w:val="24"/>
        </w:rPr>
      </w:pPr>
      <w:r w:rsidRPr="005D046D">
        <w:rPr>
          <w:rFonts w:ascii="Arial" w:hAnsi="Arial" w:cs="Arial"/>
          <w:noProof/>
          <w:sz w:val="24"/>
          <w:szCs w:val="24"/>
        </w:rPr>
        <w:t xml:space="preserve">2. </w:t>
      </w:r>
      <w:r w:rsidR="00071421" w:rsidRPr="005D046D">
        <w:rPr>
          <w:rFonts w:ascii="Arial" w:hAnsi="Arial" w:cs="Arial"/>
          <w:noProof/>
          <w:sz w:val="24"/>
          <w:szCs w:val="24"/>
        </w:rPr>
        <w:t>Mouse</w:t>
      </w:r>
      <w:r w:rsidR="00AB73E5" w:rsidRPr="005D046D">
        <w:rPr>
          <w:rFonts w:ascii="Arial" w:hAnsi="Arial" w:cs="Arial"/>
          <w:noProof/>
          <w:sz w:val="24"/>
          <w:szCs w:val="24"/>
        </w:rPr>
        <w:t xml:space="preserve"> colitis</w:t>
      </w:r>
    </w:p>
    <w:p w14:paraId="63E84BCD" w14:textId="0EC50437" w:rsidR="00BB453F" w:rsidRDefault="00B8515B" w:rsidP="006B3418">
      <w:pPr>
        <w:rPr>
          <w:rFonts w:ascii="Arial" w:hAnsi="Arial" w:cs="Arial"/>
          <w:sz w:val="24"/>
          <w:szCs w:val="24"/>
        </w:rPr>
      </w:pPr>
      <w:r w:rsidRPr="005D046D">
        <w:rPr>
          <w:rFonts w:ascii="Arial" w:hAnsi="Arial" w:cs="Arial"/>
          <w:sz w:val="24"/>
          <w:szCs w:val="24"/>
        </w:rPr>
        <w:t>3</w:t>
      </w:r>
      <w:r w:rsidR="00474804" w:rsidRPr="005D046D">
        <w:rPr>
          <w:rFonts w:ascii="Arial" w:hAnsi="Arial" w:cs="Arial"/>
          <w:sz w:val="24"/>
          <w:szCs w:val="24"/>
        </w:rPr>
        <w:t xml:space="preserve">. </w:t>
      </w:r>
      <w:r w:rsidR="00071421" w:rsidRPr="005D046D">
        <w:rPr>
          <w:rFonts w:ascii="Arial" w:hAnsi="Arial" w:cs="Arial"/>
          <w:sz w:val="24"/>
          <w:szCs w:val="24"/>
        </w:rPr>
        <w:t>Primate</w:t>
      </w:r>
      <w:r w:rsidR="00AB73E5" w:rsidRPr="005D046D">
        <w:rPr>
          <w:rFonts w:ascii="Arial" w:hAnsi="Arial" w:cs="Arial"/>
          <w:sz w:val="24"/>
          <w:szCs w:val="24"/>
        </w:rPr>
        <w:t xml:space="preserve"> colitis</w:t>
      </w:r>
    </w:p>
    <w:p w14:paraId="373F7258" w14:textId="77777777" w:rsidR="00BB453F" w:rsidRDefault="00BB453F">
      <w:pPr>
        <w:rPr>
          <w:rFonts w:ascii="Arial" w:hAnsi="Arial" w:cs="Arial"/>
          <w:sz w:val="24"/>
          <w:szCs w:val="24"/>
        </w:rPr>
      </w:pPr>
      <w:r>
        <w:rPr>
          <w:rFonts w:ascii="Arial" w:hAnsi="Arial" w:cs="Arial"/>
          <w:sz w:val="24"/>
          <w:szCs w:val="24"/>
        </w:rPr>
        <w:br w:type="page"/>
      </w:r>
    </w:p>
    <w:p w14:paraId="5F5D063C" w14:textId="77777777" w:rsidR="00474804" w:rsidRPr="005D046D" w:rsidRDefault="00474804" w:rsidP="006B3418">
      <w:pPr>
        <w:rPr>
          <w:rFonts w:ascii="Arial" w:hAnsi="Arial" w:cs="Arial"/>
          <w:noProof/>
          <w:sz w:val="24"/>
          <w:szCs w:val="24"/>
        </w:rPr>
      </w:pPr>
    </w:p>
    <w:p w14:paraId="39E35645" w14:textId="6FB57DDF" w:rsidR="00F879D8" w:rsidRPr="005D046D" w:rsidRDefault="00F879D8">
      <w:pPr>
        <w:rPr>
          <w:rFonts w:ascii="Arial" w:hAnsi="Arial" w:cs="Arial"/>
          <w:b/>
          <w:sz w:val="24"/>
          <w:szCs w:val="24"/>
        </w:rPr>
      </w:pPr>
      <w:r w:rsidRPr="005D046D">
        <w:rPr>
          <w:rFonts w:ascii="Arial" w:hAnsi="Arial" w:cs="Arial"/>
          <w:b/>
          <w:sz w:val="24"/>
          <w:szCs w:val="24"/>
        </w:rPr>
        <w:t xml:space="preserve">1. </w:t>
      </w:r>
      <w:r w:rsidR="00AB73E5" w:rsidRPr="005D046D">
        <w:rPr>
          <w:rFonts w:ascii="Arial" w:hAnsi="Arial" w:cs="Arial"/>
          <w:b/>
          <w:bCs/>
          <w:noProof/>
          <w:sz w:val="24"/>
          <w:szCs w:val="24"/>
        </w:rPr>
        <w:t>Reagent characterization</w:t>
      </w:r>
    </w:p>
    <w:p w14:paraId="61C96CF7" w14:textId="515ED034" w:rsidR="000F06EA" w:rsidRDefault="00D53838">
      <w:pPr>
        <w:rPr>
          <w:rFonts w:ascii="Arial" w:hAnsi="Arial" w:cs="Arial"/>
          <w:sz w:val="24"/>
          <w:szCs w:val="24"/>
        </w:rPr>
      </w:pPr>
      <w:r>
        <w:rPr>
          <w:rFonts w:ascii="Arial" w:hAnsi="Arial" w:cs="Arial"/>
          <w:noProof/>
          <w:sz w:val="24"/>
          <w:szCs w:val="24"/>
        </w:rPr>
        <w:drawing>
          <wp:inline distT="0" distB="0" distL="0" distR="0" wp14:anchorId="6FD3D6DE" wp14:editId="4F44108F">
            <wp:extent cx="1762379" cy="112972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flipH="1">
                      <a:off x="0" y="0"/>
                      <a:ext cx="1762379" cy="1129725"/>
                    </a:xfrm>
                    <a:prstGeom prst="rect">
                      <a:avLst/>
                    </a:prstGeom>
                    <a:noFill/>
                    <a:ln>
                      <a:noFill/>
                    </a:ln>
                  </pic:spPr>
                </pic:pic>
              </a:graphicData>
            </a:graphic>
          </wp:inline>
        </w:drawing>
      </w:r>
      <w:r w:rsidR="00A42A47">
        <w:rPr>
          <w:rFonts w:ascii="Arial" w:hAnsi="Arial" w:cs="Arial"/>
          <w:noProof/>
          <w:sz w:val="24"/>
          <w:szCs w:val="24"/>
        </w:rPr>
        <w:drawing>
          <wp:inline distT="0" distB="0" distL="0" distR="0" wp14:anchorId="3E8EE6C2" wp14:editId="77D40436">
            <wp:extent cx="1889301" cy="11493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00500" cy="1156163"/>
                    </a:xfrm>
                    <a:prstGeom prst="rect">
                      <a:avLst/>
                    </a:prstGeom>
                    <a:noFill/>
                    <a:ln>
                      <a:noFill/>
                    </a:ln>
                  </pic:spPr>
                </pic:pic>
              </a:graphicData>
            </a:graphic>
          </wp:inline>
        </w:drawing>
      </w:r>
      <w:r w:rsidR="00A42A47">
        <w:rPr>
          <w:rFonts w:ascii="Arial" w:hAnsi="Arial" w:cs="Arial"/>
          <w:noProof/>
          <w:sz w:val="24"/>
          <w:szCs w:val="24"/>
        </w:rPr>
        <w:drawing>
          <wp:inline distT="0" distB="0" distL="0" distR="0" wp14:anchorId="48E2FE19" wp14:editId="2B9C69C2">
            <wp:extent cx="1657350" cy="1141502"/>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8586"/>
                    <a:stretch/>
                  </pic:blipFill>
                  <pic:spPr bwMode="auto">
                    <a:xfrm>
                      <a:off x="0" y="0"/>
                      <a:ext cx="1674150" cy="1153073"/>
                    </a:xfrm>
                    <a:prstGeom prst="rect">
                      <a:avLst/>
                    </a:prstGeom>
                    <a:noFill/>
                    <a:ln>
                      <a:noFill/>
                    </a:ln>
                    <a:extLst>
                      <a:ext uri="{53640926-AAD7-44D8-BBD7-CCE9431645EC}">
                        <a14:shadowObscured xmlns:a14="http://schemas.microsoft.com/office/drawing/2010/main"/>
                      </a:ext>
                    </a:extLst>
                  </pic:spPr>
                </pic:pic>
              </a:graphicData>
            </a:graphic>
          </wp:inline>
        </w:drawing>
      </w:r>
    </w:p>
    <w:p w14:paraId="5532386A" w14:textId="4443E0F2" w:rsidR="00A42A47" w:rsidRDefault="00A42A47">
      <w:pPr>
        <w:rPr>
          <w:rFonts w:ascii="Arial" w:hAnsi="Arial" w:cs="Arial"/>
          <w:sz w:val="20"/>
          <w:szCs w:val="20"/>
        </w:rPr>
      </w:pPr>
      <w:r w:rsidRPr="00784F25">
        <w:rPr>
          <w:rFonts w:ascii="Arial" w:hAnsi="Arial" w:cs="Arial"/>
          <w:b/>
          <w:bCs/>
          <w:sz w:val="20"/>
          <w:szCs w:val="20"/>
        </w:rPr>
        <w:t>Figure S</w:t>
      </w:r>
      <w:r w:rsidR="00C3031A" w:rsidRPr="00784F25">
        <w:rPr>
          <w:rFonts w:ascii="Arial" w:hAnsi="Arial" w:cs="Arial"/>
          <w:b/>
          <w:bCs/>
          <w:sz w:val="20"/>
          <w:szCs w:val="20"/>
        </w:rPr>
        <w:t>1</w:t>
      </w:r>
      <w:r w:rsidRPr="00784F25">
        <w:rPr>
          <w:rFonts w:ascii="Arial" w:hAnsi="Arial" w:cs="Arial"/>
          <w:b/>
          <w:bCs/>
          <w:sz w:val="20"/>
          <w:szCs w:val="20"/>
        </w:rPr>
        <w:t>.</w:t>
      </w:r>
      <w:r w:rsidRPr="00784F25">
        <w:rPr>
          <w:rFonts w:ascii="Arial" w:hAnsi="Arial" w:cs="Arial"/>
          <w:sz w:val="20"/>
          <w:szCs w:val="20"/>
        </w:rPr>
        <w:t xml:space="preserve"> (Left) TNC D IgG-800CW; (Middle) ABBV022-800CW; (Right) non-targeted scFv</w:t>
      </w:r>
      <w:r w:rsidR="006E00E2" w:rsidRPr="00784F25">
        <w:rPr>
          <w:rFonts w:ascii="Arial" w:hAnsi="Arial" w:cs="Arial"/>
          <w:sz w:val="20"/>
          <w:szCs w:val="20"/>
        </w:rPr>
        <w:t>.</w:t>
      </w:r>
      <w:r w:rsidR="00375A89" w:rsidRPr="00784F25">
        <w:rPr>
          <w:rFonts w:ascii="Arial" w:hAnsi="Arial" w:cs="Arial"/>
          <w:sz w:val="20"/>
          <w:szCs w:val="20"/>
        </w:rPr>
        <w:t xml:space="preserve"> Size exclusion chromatograms for various NIR labeled reagents. </w:t>
      </w:r>
      <w:r w:rsidR="00FB0CFF" w:rsidRPr="00784F25">
        <w:rPr>
          <w:rFonts w:ascii="Arial" w:hAnsi="Arial" w:cs="Arial"/>
          <w:sz w:val="20"/>
          <w:szCs w:val="20"/>
        </w:rPr>
        <w:t xml:space="preserve">For each analyte, both 280 nm (top) and </w:t>
      </w:r>
      <w:r w:rsidR="00B22E29" w:rsidRPr="00784F25">
        <w:rPr>
          <w:rFonts w:ascii="Arial" w:hAnsi="Arial" w:cs="Arial"/>
          <w:sz w:val="20"/>
          <w:szCs w:val="20"/>
        </w:rPr>
        <w:t xml:space="preserve">770 nm (bottom) absorption are measured. The data </w:t>
      </w:r>
      <w:r w:rsidR="0005028C" w:rsidRPr="00784F25">
        <w:rPr>
          <w:rFonts w:ascii="Arial" w:hAnsi="Arial" w:cs="Arial"/>
          <w:sz w:val="20"/>
          <w:szCs w:val="20"/>
        </w:rPr>
        <w:t>suggest high monomer purity and minimal unreacted fluorophore.</w:t>
      </w:r>
    </w:p>
    <w:p w14:paraId="0C7CDD3E" w14:textId="79ED5814" w:rsidR="00597687" w:rsidRPr="00784F25" w:rsidRDefault="00597687">
      <w:pPr>
        <w:rPr>
          <w:rFonts w:ascii="Arial" w:hAnsi="Arial" w:cs="Arial"/>
          <w:sz w:val="20"/>
          <w:szCs w:val="20"/>
        </w:rPr>
      </w:pPr>
    </w:p>
    <w:p w14:paraId="3FDEBD24" w14:textId="52302B50" w:rsidR="000F06EA" w:rsidRDefault="000F06EA">
      <w:pPr>
        <w:rPr>
          <w:rFonts w:ascii="Arial" w:hAnsi="Arial" w:cs="Arial"/>
          <w:b/>
          <w:sz w:val="24"/>
          <w:szCs w:val="24"/>
        </w:rPr>
      </w:pPr>
      <w:r w:rsidRPr="000F06EA">
        <w:rPr>
          <w:rFonts w:ascii="Arial" w:hAnsi="Arial" w:cs="Arial"/>
          <w:b/>
          <w:noProof/>
          <w:sz w:val="24"/>
          <w:szCs w:val="24"/>
        </w:rPr>
        <w:drawing>
          <wp:inline distT="0" distB="0" distL="0" distR="0" wp14:anchorId="61153390" wp14:editId="05681274">
            <wp:extent cx="2400300" cy="1477962"/>
            <wp:effectExtent l="0" t="0" r="0" b="0"/>
            <wp:docPr id="8240" name="Picture 4" descr="Graphical user interface, chart&#10;&#10;Description automatically generated">
              <a:extLst xmlns:a="http://schemas.openxmlformats.org/drawingml/2006/main">
                <a:ext uri="{FF2B5EF4-FFF2-40B4-BE49-F238E27FC236}">
                  <a16:creationId xmlns:a16="http://schemas.microsoft.com/office/drawing/2014/main" id="{65919AA9-5B66-4E46-ACF4-C800A5AE23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 name="Picture 4" descr="Graphical user interface, chart&#10;&#10;Description automatically generated">
                      <a:extLst>
                        <a:ext uri="{FF2B5EF4-FFF2-40B4-BE49-F238E27FC236}">
                          <a16:creationId xmlns:a16="http://schemas.microsoft.com/office/drawing/2014/main" id="{65919AA9-5B66-4E46-ACF4-C800A5AE23FF}"/>
                        </a:ext>
                      </a:extLst>
                    </pic:cNvPr>
                    <pic:cNvPicPr>
                      <a:picLocks noChangeAspect="1" noChangeArrowheads="1"/>
                    </pic:cNvPicPr>
                  </pic:nvPicPr>
                  <pic:blipFill rotWithShape="1">
                    <a:blip r:embed="rId7">
                      <a:extLst>
                        <a:ext uri="{28A0092B-C50C-407E-A947-70E740481C1C}">
                          <a14:useLocalDpi xmlns:a14="http://schemas.microsoft.com/office/drawing/2010/main" val="0"/>
                        </a:ext>
                      </a:extLst>
                    </a:blip>
                    <a:srcRect b="22027"/>
                    <a:stretch/>
                  </pic:blipFill>
                  <pic:spPr bwMode="auto">
                    <a:xfrm>
                      <a:off x="0" y="0"/>
                      <a:ext cx="2400300" cy="14779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sidRPr="000F06EA">
        <w:rPr>
          <w:rFonts w:ascii="Arial" w:hAnsi="Arial" w:cs="Arial"/>
          <w:b/>
          <w:noProof/>
          <w:sz w:val="24"/>
          <w:szCs w:val="24"/>
        </w:rPr>
        <w:drawing>
          <wp:inline distT="0" distB="0" distL="0" distR="0" wp14:anchorId="0CA48E64" wp14:editId="1FF756F7">
            <wp:extent cx="2400300" cy="1477963"/>
            <wp:effectExtent l="0" t="0" r="0" b="0"/>
            <wp:docPr id="8241" name="Picture 5" descr="Graphical user interface&#10;&#10;Description automatically generated with low confidence">
              <a:extLst xmlns:a="http://schemas.openxmlformats.org/drawingml/2006/main">
                <a:ext uri="{FF2B5EF4-FFF2-40B4-BE49-F238E27FC236}">
                  <a16:creationId xmlns:a16="http://schemas.microsoft.com/office/drawing/2014/main" id="{AB94B92E-9B86-EC4A-96D4-67AC7C5F53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1" name="Picture 5" descr="Graphical user interface&#10;&#10;Description automatically generated with low confidence">
                      <a:extLst>
                        <a:ext uri="{FF2B5EF4-FFF2-40B4-BE49-F238E27FC236}">
                          <a16:creationId xmlns:a16="http://schemas.microsoft.com/office/drawing/2014/main" id="{AB94B92E-9B86-EC4A-96D4-67AC7C5F5326}"/>
                        </a:ext>
                      </a:extLst>
                    </pic:cNvPr>
                    <pic:cNvPicPr>
                      <a:picLocks noChangeAspect="1" noChangeArrowheads="1"/>
                    </pic:cNvPicPr>
                  </pic:nvPicPr>
                  <pic:blipFill rotWithShape="1">
                    <a:blip r:embed="rId8">
                      <a:extLst>
                        <a:ext uri="{28A0092B-C50C-407E-A947-70E740481C1C}">
                          <a14:useLocalDpi xmlns:a14="http://schemas.microsoft.com/office/drawing/2010/main" val="0"/>
                        </a:ext>
                      </a:extLst>
                    </a:blip>
                    <a:srcRect b="22027"/>
                    <a:stretch/>
                  </pic:blipFill>
                  <pic:spPr bwMode="auto">
                    <a:xfrm>
                      <a:off x="0" y="0"/>
                      <a:ext cx="2400300" cy="14779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sidRPr="000F06EA">
        <w:rPr>
          <w:rFonts w:ascii="Arial" w:hAnsi="Arial" w:cs="Arial"/>
          <w:b/>
          <w:sz w:val="24"/>
          <w:szCs w:val="24"/>
        </w:rPr>
        <w:t xml:space="preserve">  </w:t>
      </w:r>
    </w:p>
    <w:p w14:paraId="6EC9A257" w14:textId="345F65C2" w:rsidR="000F06EA" w:rsidRDefault="000F06EA">
      <w:pPr>
        <w:rPr>
          <w:rFonts w:ascii="Arial" w:hAnsi="Arial" w:cs="Arial"/>
          <w:bCs/>
          <w:sz w:val="20"/>
          <w:szCs w:val="20"/>
        </w:rPr>
      </w:pPr>
      <w:r w:rsidRPr="00784F25">
        <w:rPr>
          <w:rFonts w:ascii="Arial" w:hAnsi="Arial" w:cs="Arial"/>
          <w:b/>
          <w:sz w:val="20"/>
          <w:szCs w:val="20"/>
        </w:rPr>
        <w:t>Figure S</w:t>
      </w:r>
      <w:r w:rsidR="00C3031A" w:rsidRPr="00784F25">
        <w:rPr>
          <w:rFonts w:ascii="Arial" w:hAnsi="Arial" w:cs="Arial"/>
          <w:b/>
          <w:sz w:val="20"/>
          <w:szCs w:val="20"/>
        </w:rPr>
        <w:t>2</w:t>
      </w:r>
      <w:r w:rsidRPr="00784F25">
        <w:rPr>
          <w:rFonts w:ascii="Arial" w:hAnsi="Arial" w:cs="Arial"/>
          <w:b/>
          <w:sz w:val="20"/>
          <w:szCs w:val="20"/>
        </w:rPr>
        <w:t>.</w:t>
      </w:r>
      <w:r w:rsidR="0005028C" w:rsidRPr="00784F25">
        <w:rPr>
          <w:rFonts w:ascii="Arial" w:hAnsi="Arial" w:cs="Arial"/>
          <w:b/>
          <w:sz w:val="20"/>
          <w:szCs w:val="20"/>
        </w:rPr>
        <w:t xml:space="preserve"> </w:t>
      </w:r>
      <w:r w:rsidR="0005028C" w:rsidRPr="00784F25">
        <w:rPr>
          <w:rFonts w:ascii="Arial" w:hAnsi="Arial" w:cs="Arial"/>
          <w:bCs/>
          <w:sz w:val="20"/>
          <w:szCs w:val="20"/>
        </w:rPr>
        <w:t>Surface plasmon resonance (SPR) data for</w:t>
      </w:r>
      <w:r w:rsidR="00C3031A" w:rsidRPr="00784F25">
        <w:rPr>
          <w:rFonts w:ascii="Arial" w:hAnsi="Arial" w:cs="Arial"/>
          <w:bCs/>
          <w:sz w:val="20"/>
          <w:szCs w:val="20"/>
        </w:rPr>
        <w:t xml:space="preserve"> unlabeled (left) and 800CW labeled (right)</w:t>
      </w:r>
      <w:r w:rsidR="00473E59">
        <w:rPr>
          <w:rFonts w:ascii="Arial" w:hAnsi="Arial" w:cs="Arial"/>
          <w:bCs/>
          <w:sz w:val="20"/>
          <w:szCs w:val="20"/>
        </w:rPr>
        <w:t xml:space="preserve"> ABBV022</w:t>
      </w:r>
      <w:r w:rsidR="00C3031A" w:rsidRPr="00784F25">
        <w:rPr>
          <w:rFonts w:ascii="Arial" w:hAnsi="Arial" w:cs="Arial"/>
          <w:bCs/>
          <w:sz w:val="20"/>
          <w:szCs w:val="20"/>
        </w:rPr>
        <w:t xml:space="preserve"> scFv fusion</w:t>
      </w:r>
      <w:r w:rsidR="00473E59">
        <w:rPr>
          <w:rFonts w:ascii="Arial" w:hAnsi="Arial" w:cs="Arial"/>
          <w:bCs/>
          <w:sz w:val="20"/>
          <w:szCs w:val="20"/>
        </w:rPr>
        <w:t xml:space="preserve"> protein</w:t>
      </w:r>
      <w:r w:rsidR="00C3031A" w:rsidRPr="00784F25">
        <w:rPr>
          <w:rFonts w:ascii="Arial" w:hAnsi="Arial" w:cs="Arial"/>
          <w:bCs/>
          <w:sz w:val="20"/>
          <w:szCs w:val="20"/>
        </w:rPr>
        <w:t>. The data suggest minimal impact of binding to TNC</w:t>
      </w:r>
      <w:r w:rsidR="00473E59">
        <w:rPr>
          <w:rFonts w:ascii="Arial" w:hAnsi="Arial" w:cs="Arial"/>
          <w:bCs/>
          <w:sz w:val="20"/>
          <w:szCs w:val="20"/>
        </w:rPr>
        <w:t xml:space="preserve"> D</w:t>
      </w:r>
      <w:r w:rsidR="00C3031A" w:rsidRPr="00784F25">
        <w:rPr>
          <w:rFonts w:ascii="Arial" w:hAnsi="Arial" w:cs="Arial"/>
          <w:bCs/>
          <w:sz w:val="20"/>
          <w:szCs w:val="20"/>
        </w:rPr>
        <w:t xml:space="preserve"> post-fluorophore conjugation.</w:t>
      </w:r>
    </w:p>
    <w:p w14:paraId="130A6FAC" w14:textId="48D9C1D9" w:rsidR="00597687" w:rsidRPr="00784F25" w:rsidRDefault="00597687">
      <w:pPr>
        <w:rPr>
          <w:rFonts w:ascii="Arial" w:hAnsi="Arial" w:cs="Arial"/>
          <w:b/>
          <w:color w:val="FF0000"/>
          <w:sz w:val="20"/>
          <w:szCs w:val="20"/>
        </w:rPr>
      </w:pPr>
    </w:p>
    <w:p w14:paraId="7E4BC002" w14:textId="77777777" w:rsidR="000F06EA" w:rsidRDefault="000F06EA">
      <w:pPr>
        <w:rPr>
          <w:rFonts w:ascii="Arial" w:hAnsi="Arial" w:cs="Arial"/>
          <w:b/>
          <w:sz w:val="24"/>
          <w:szCs w:val="24"/>
        </w:rPr>
      </w:pPr>
      <w:r w:rsidRPr="000F06EA">
        <w:rPr>
          <w:rFonts w:ascii="Arial" w:hAnsi="Arial" w:cs="Arial"/>
          <w:b/>
          <w:noProof/>
          <w:sz w:val="24"/>
          <w:szCs w:val="24"/>
        </w:rPr>
        <w:drawing>
          <wp:inline distT="0" distB="0" distL="0" distR="0" wp14:anchorId="6C64FA73" wp14:editId="78E8EDC2">
            <wp:extent cx="3200400" cy="1920875"/>
            <wp:effectExtent l="0" t="0" r="0" b="0"/>
            <wp:docPr id="9271" name="Picture 29" descr="Graphical user interface, chart&#10;&#10;Description automatically generated">
              <a:extLst xmlns:a="http://schemas.openxmlformats.org/drawingml/2006/main">
                <a:ext uri="{FF2B5EF4-FFF2-40B4-BE49-F238E27FC236}">
                  <a16:creationId xmlns:a16="http://schemas.microsoft.com/office/drawing/2014/main" id="{FE0E97CE-5DAC-B745-A0DD-A07D5BFF00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1" name="Picture 29" descr="Graphical user interface, chart&#10;&#10;Description automatically generated">
                      <a:extLst>
                        <a:ext uri="{FF2B5EF4-FFF2-40B4-BE49-F238E27FC236}">
                          <a16:creationId xmlns:a16="http://schemas.microsoft.com/office/drawing/2014/main" id="{FE0E97CE-5DAC-B745-A0DD-A07D5BFF0056}"/>
                        </a:ext>
                      </a:extLs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0400" cy="1920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r w:rsidRPr="000F06EA">
        <w:rPr>
          <w:rFonts w:ascii="Arial" w:hAnsi="Arial" w:cs="Arial"/>
          <w:b/>
          <w:sz w:val="24"/>
          <w:szCs w:val="24"/>
        </w:rPr>
        <w:t xml:space="preserve"> </w:t>
      </w:r>
    </w:p>
    <w:p w14:paraId="783F4E8D" w14:textId="42299161" w:rsidR="00C91D23" w:rsidRPr="00784F25" w:rsidRDefault="000F06EA">
      <w:pPr>
        <w:rPr>
          <w:rFonts w:ascii="Arial" w:hAnsi="Arial" w:cs="Arial"/>
          <w:b/>
          <w:sz w:val="20"/>
          <w:szCs w:val="20"/>
        </w:rPr>
      </w:pPr>
      <w:r w:rsidRPr="00784F25">
        <w:rPr>
          <w:rFonts w:ascii="Arial" w:hAnsi="Arial" w:cs="Arial"/>
          <w:b/>
          <w:sz w:val="20"/>
          <w:szCs w:val="20"/>
        </w:rPr>
        <w:t>Figure S</w:t>
      </w:r>
      <w:r w:rsidR="00C3031A" w:rsidRPr="00784F25">
        <w:rPr>
          <w:rFonts w:ascii="Arial" w:hAnsi="Arial" w:cs="Arial"/>
          <w:b/>
          <w:sz w:val="20"/>
          <w:szCs w:val="20"/>
        </w:rPr>
        <w:t>3</w:t>
      </w:r>
      <w:r w:rsidRPr="00784F25">
        <w:rPr>
          <w:rFonts w:ascii="Arial" w:hAnsi="Arial" w:cs="Arial"/>
          <w:b/>
          <w:sz w:val="20"/>
          <w:szCs w:val="20"/>
        </w:rPr>
        <w:t xml:space="preserve">. </w:t>
      </w:r>
      <w:r w:rsidR="00C3031A" w:rsidRPr="00784F25">
        <w:rPr>
          <w:rFonts w:ascii="Arial" w:hAnsi="Arial" w:cs="Arial"/>
          <w:bCs/>
          <w:sz w:val="20"/>
          <w:szCs w:val="20"/>
        </w:rPr>
        <w:t>Surface plasmon resonance (SPR) data for unlabeled (left) and 800CW labeled (right) TNC</w:t>
      </w:r>
      <w:r w:rsidR="00473E59">
        <w:rPr>
          <w:rFonts w:ascii="Arial" w:hAnsi="Arial" w:cs="Arial"/>
          <w:bCs/>
          <w:sz w:val="20"/>
          <w:szCs w:val="20"/>
        </w:rPr>
        <w:t xml:space="preserve"> D</w:t>
      </w:r>
      <w:r w:rsidR="00C3031A" w:rsidRPr="00784F25">
        <w:rPr>
          <w:rFonts w:ascii="Arial" w:hAnsi="Arial" w:cs="Arial"/>
          <w:bCs/>
          <w:sz w:val="20"/>
          <w:szCs w:val="20"/>
        </w:rPr>
        <w:t xml:space="preserve"> IgG. The data suggest minimal impact of binding to TNC</w:t>
      </w:r>
      <w:r w:rsidR="00473E59">
        <w:rPr>
          <w:rFonts w:ascii="Arial" w:hAnsi="Arial" w:cs="Arial"/>
          <w:bCs/>
          <w:sz w:val="20"/>
          <w:szCs w:val="20"/>
        </w:rPr>
        <w:t xml:space="preserve"> D</w:t>
      </w:r>
      <w:r w:rsidR="00C3031A" w:rsidRPr="00784F25">
        <w:rPr>
          <w:rFonts w:ascii="Arial" w:hAnsi="Arial" w:cs="Arial"/>
          <w:bCs/>
          <w:sz w:val="20"/>
          <w:szCs w:val="20"/>
        </w:rPr>
        <w:t xml:space="preserve"> post-fluorophore conjugation.</w:t>
      </w:r>
      <w:r w:rsidR="00C3031A" w:rsidRPr="00784F25">
        <w:rPr>
          <w:rFonts w:ascii="Arial" w:hAnsi="Arial" w:cs="Arial"/>
          <w:b/>
          <w:sz w:val="20"/>
          <w:szCs w:val="20"/>
        </w:rPr>
        <w:t xml:space="preserve"> </w:t>
      </w:r>
      <w:r w:rsidR="00C91D23" w:rsidRPr="00784F25">
        <w:rPr>
          <w:rFonts w:ascii="Arial" w:hAnsi="Arial" w:cs="Arial"/>
          <w:b/>
          <w:sz w:val="20"/>
          <w:szCs w:val="20"/>
        </w:rPr>
        <w:br w:type="page"/>
      </w:r>
    </w:p>
    <w:p w14:paraId="597738C5" w14:textId="1285CA39" w:rsidR="00522B72" w:rsidRPr="005D046D" w:rsidRDefault="00012C64">
      <w:pPr>
        <w:rPr>
          <w:rFonts w:ascii="Arial" w:hAnsi="Arial" w:cs="Arial"/>
          <w:b/>
          <w:sz w:val="24"/>
          <w:szCs w:val="24"/>
        </w:rPr>
      </w:pPr>
      <w:r w:rsidRPr="005D046D">
        <w:rPr>
          <w:rFonts w:ascii="Arial" w:hAnsi="Arial" w:cs="Arial"/>
          <w:b/>
          <w:sz w:val="24"/>
          <w:szCs w:val="24"/>
        </w:rPr>
        <w:lastRenderedPageBreak/>
        <w:t xml:space="preserve">2. </w:t>
      </w:r>
      <w:r w:rsidR="00071421" w:rsidRPr="005D046D">
        <w:rPr>
          <w:rFonts w:ascii="Arial" w:hAnsi="Arial" w:cs="Arial"/>
          <w:b/>
          <w:sz w:val="24"/>
          <w:szCs w:val="24"/>
        </w:rPr>
        <w:t>Mouse</w:t>
      </w:r>
      <w:r w:rsidR="00AB73E5" w:rsidRPr="005D046D">
        <w:rPr>
          <w:rFonts w:ascii="Arial" w:hAnsi="Arial" w:cs="Arial"/>
          <w:b/>
          <w:sz w:val="24"/>
          <w:szCs w:val="24"/>
        </w:rPr>
        <w:t xml:space="preserve"> colitis</w:t>
      </w:r>
    </w:p>
    <w:p w14:paraId="0D726E99" w14:textId="255D8B96" w:rsidR="000E3A37" w:rsidRDefault="00522B72" w:rsidP="005A6609">
      <w:pPr>
        <w:rPr>
          <w:rFonts w:ascii="Arial" w:hAnsi="Arial" w:cs="Arial"/>
          <w:bCs/>
          <w:sz w:val="24"/>
          <w:szCs w:val="24"/>
        </w:rPr>
      </w:pPr>
      <w:r w:rsidRPr="00522B72">
        <w:rPr>
          <w:noProof/>
        </w:rPr>
        <w:t xml:space="preserve"> </w:t>
      </w:r>
    </w:p>
    <w:p w14:paraId="224F1767" w14:textId="10C0B1C4" w:rsidR="00522B72" w:rsidRDefault="004F0741" w:rsidP="005A6609">
      <w:pPr>
        <w:rPr>
          <w:rFonts w:ascii="Arial" w:hAnsi="Arial" w:cs="Arial"/>
          <w:b/>
          <w:sz w:val="24"/>
          <w:szCs w:val="24"/>
        </w:rPr>
      </w:pPr>
      <w:r w:rsidRPr="00522B72">
        <w:rPr>
          <w:rFonts w:ascii="Arial" w:hAnsi="Arial" w:cs="Arial"/>
          <w:bCs/>
          <w:noProof/>
          <w:sz w:val="24"/>
          <w:szCs w:val="24"/>
        </w:rPr>
        <w:drawing>
          <wp:anchor distT="0" distB="0" distL="114300" distR="114300" simplePos="0" relativeHeight="251658240" behindDoc="0" locked="0" layoutInCell="1" allowOverlap="1" wp14:anchorId="56E1EEBC" wp14:editId="09A28DCB">
            <wp:simplePos x="0" y="0"/>
            <wp:positionH relativeFrom="margin">
              <wp:posOffset>3687699</wp:posOffset>
            </wp:positionH>
            <wp:positionV relativeFrom="margin">
              <wp:posOffset>665404</wp:posOffset>
            </wp:positionV>
            <wp:extent cx="623570" cy="1600200"/>
            <wp:effectExtent l="0" t="0" r="5080" b="0"/>
            <wp:wrapSquare wrapText="bothSides"/>
            <wp:docPr id="79" name="Picture 2" descr="C:\Users\ZHANGLX7\Desktop\CPR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2" descr="C:\Users\ZHANGLX7\Desktop\CPR01.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9045" t="53132" r="69340" b="6662"/>
                    <a:stretch/>
                  </pic:blipFill>
                  <pic:spPr bwMode="auto">
                    <a:xfrm>
                      <a:off x="0" y="0"/>
                      <a:ext cx="623570" cy="1600200"/>
                    </a:xfrm>
                    <a:prstGeom prst="rect">
                      <a:avLst/>
                    </a:prstGeom>
                    <a:noFill/>
                  </pic:spPr>
                </pic:pic>
              </a:graphicData>
            </a:graphic>
          </wp:anchor>
        </w:drawing>
      </w:r>
      <w:r w:rsidR="00522B72">
        <w:rPr>
          <w:rFonts w:ascii="Arial" w:hAnsi="Arial" w:cs="Arial"/>
          <w:bCs/>
          <w:noProof/>
          <w:sz w:val="24"/>
          <w:szCs w:val="24"/>
        </w:rPr>
        <w:drawing>
          <wp:anchor distT="0" distB="0" distL="114300" distR="114300" simplePos="0" relativeHeight="251660288" behindDoc="0" locked="0" layoutInCell="1" allowOverlap="1" wp14:anchorId="12E8DD0E" wp14:editId="4316B2A0">
            <wp:simplePos x="0" y="0"/>
            <wp:positionH relativeFrom="column">
              <wp:posOffset>80036</wp:posOffset>
            </wp:positionH>
            <wp:positionV relativeFrom="paragraph">
              <wp:posOffset>307543</wp:posOffset>
            </wp:positionV>
            <wp:extent cx="2691994" cy="1341796"/>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1994" cy="1341796"/>
                    </a:xfrm>
                    <a:prstGeom prst="rect">
                      <a:avLst/>
                    </a:prstGeom>
                    <a:noFill/>
                  </pic:spPr>
                </pic:pic>
              </a:graphicData>
            </a:graphic>
            <wp14:sizeRelH relativeFrom="page">
              <wp14:pctWidth>0</wp14:pctWidth>
            </wp14:sizeRelH>
            <wp14:sizeRelV relativeFrom="page">
              <wp14:pctHeight>0</wp14:pctHeight>
            </wp14:sizeRelV>
          </wp:anchor>
        </w:drawing>
      </w:r>
    </w:p>
    <w:p w14:paraId="2130CD37" w14:textId="77777777" w:rsidR="00522B72" w:rsidRDefault="00522B72" w:rsidP="005A6609">
      <w:pPr>
        <w:rPr>
          <w:rFonts w:ascii="Arial" w:hAnsi="Arial" w:cs="Arial"/>
          <w:b/>
          <w:sz w:val="24"/>
          <w:szCs w:val="24"/>
        </w:rPr>
      </w:pPr>
    </w:p>
    <w:p w14:paraId="1A34D922" w14:textId="77777777" w:rsidR="00522B72" w:rsidRDefault="00522B72" w:rsidP="005A6609">
      <w:pPr>
        <w:rPr>
          <w:rFonts w:ascii="Arial" w:hAnsi="Arial" w:cs="Arial"/>
          <w:b/>
          <w:sz w:val="24"/>
          <w:szCs w:val="24"/>
        </w:rPr>
      </w:pPr>
    </w:p>
    <w:p w14:paraId="12C39ED7" w14:textId="77777777" w:rsidR="00522B72" w:rsidRDefault="00522B72" w:rsidP="005A6609">
      <w:pPr>
        <w:rPr>
          <w:rFonts w:ascii="Arial" w:hAnsi="Arial" w:cs="Arial"/>
          <w:b/>
          <w:sz w:val="24"/>
          <w:szCs w:val="24"/>
        </w:rPr>
      </w:pPr>
    </w:p>
    <w:p w14:paraId="2D2F22D7" w14:textId="77777777" w:rsidR="00522B72" w:rsidRDefault="00522B72" w:rsidP="005A6609">
      <w:pPr>
        <w:rPr>
          <w:rFonts w:ascii="Arial" w:hAnsi="Arial" w:cs="Arial"/>
          <w:b/>
          <w:sz w:val="24"/>
          <w:szCs w:val="24"/>
        </w:rPr>
      </w:pPr>
    </w:p>
    <w:p w14:paraId="0B00B263" w14:textId="77777777" w:rsidR="004F0741" w:rsidRDefault="004F0741" w:rsidP="005A6609">
      <w:pPr>
        <w:rPr>
          <w:rFonts w:ascii="Arial" w:hAnsi="Arial" w:cs="Arial"/>
          <w:b/>
          <w:sz w:val="24"/>
          <w:szCs w:val="24"/>
        </w:rPr>
      </w:pPr>
    </w:p>
    <w:p w14:paraId="55C8775B" w14:textId="52F091FF" w:rsidR="00754D55" w:rsidRPr="00784F25" w:rsidRDefault="00754D55" w:rsidP="005A6609">
      <w:pPr>
        <w:rPr>
          <w:rFonts w:ascii="Arial" w:hAnsi="Arial" w:cs="Arial"/>
          <w:bCs/>
          <w:sz w:val="20"/>
          <w:szCs w:val="20"/>
        </w:rPr>
      </w:pPr>
      <w:r w:rsidRPr="00784F25">
        <w:rPr>
          <w:rFonts w:ascii="Arial" w:hAnsi="Arial" w:cs="Arial"/>
          <w:b/>
          <w:sz w:val="20"/>
          <w:szCs w:val="20"/>
        </w:rPr>
        <w:t>Figure S</w:t>
      </w:r>
      <w:r w:rsidR="00C3031A" w:rsidRPr="00784F25">
        <w:rPr>
          <w:rFonts w:ascii="Arial" w:hAnsi="Arial" w:cs="Arial"/>
          <w:b/>
          <w:sz w:val="20"/>
          <w:szCs w:val="20"/>
        </w:rPr>
        <w:t>4</w:t>
      </w:r>
      <w:r w:rsidRPr="00784F25">
        <w:rPr>
          <w:rFonts w:ascii="Arial" w:hAnsi="Arial" w:cs="Arial"/>
          <w:b/>
          <w:sz w:val="20"/>
          <w:szCs w:val="20"/>
        </w:rPr>
        <w:t>.</w:t>
      </w:r>
      <w:r w:rsidR="00057CDA" w:rsidRPr="00784F25">
        <w:rPr>
          <w:rFonts w:ascii="Arial" w:hAnsi="Arial" w:cs="Arial"/>
          <w:b/>
          <w:sz w:val="20"/>
          <w:szCs w:val="20"/>
        </w:rPr>
        <w:t xml:space="preserve"> </w:t>
      </w:r>
      <w:r w:rsidR="00057CDA" w:rsidRPr="00784F25">
        <w:rPr>
          <w:rFonts w:ascii="Arial" w:hAnsi="Arial" w:cs="Arial"/>
          <w:bCs/>
          <w:sz w:val="20"/>
          <w:szCs w:val="20"/>
        </w:rPr>
        <w:t>Mouse colon (H&amp;E</w:t>
      </w:r>
      <w:r w:rsidR="00522B72" w:rsidRPr="00784F25">
        <w:rPr>
          <w:rFonts w:ascii="Arial" w:hAnsi="Arial" w:cs="Arial"/>
          <w:bCs/>
          <w:sz w:val="20"/>
          <w:szCs w:val="20"/>
        </w:rPr>
        <w:t>, left</w:t>
      </w:r>
      <w:r w:rsidR="00057CDA" w:rsidRPr="00784F25">
        <w:rPr>
          <w:rFonts w:ascii="Arial" w:hAnsi="Arial" w:cs="Arial"/>
          <w:bCs/>
          <w:sz w:val="20"/>
          <w:szCs w:val="20"/>
        </w:rPr>
        <w:t>). A colonic lesion is circled (red).</w:t>
      </w:r>
      <w:r w:rsidR="00494E04" w:rsidRPr="00784F25">
        <w:rPr>
          <w:rFonts w:ascii="Arial" w:hAnsi="Arial" w:cs="Arial"/>
          <w:bCs/>
          <w:sz w:val="20"/>
          <w:szCs w:val="20"/>
        </w:rPr>
        <w:t xml:space="preserve"> From the H&amp;E and macroscopic NIR image</w:t>
      </w:r>
      <w:r w:rsidR="00E14F3B" w:rsidRPr="00784F25">
        <w:rPr>
          <w:rFonts w:ascii="Arial" w:hAnsi="Arial" w:cs="Arial"/>
          <w:bCs/>
          <w:sz w:val="20"/>
          <w:szCs w:val="20"/>
        </w:rPr>
        <w:t xml:space="preserve"> (right)</w:t>
      </w:r>
      <w:r w:rsidR="00494E04" w:rsidRPr="00784F25">
        <w:rPr>
          <w:rFonts w:ascii="Arial" w:hAnsi="Arial" w:cs="Arial"/>
          <w:bCs/>
          <w:sz w:val="20"/>
          <w:szCs w:val="20"/>
        </w:rPr>
        <w:t>, lesions appear to be ellipsoid in shape</w:t>
      </w:r>
      <w:r w:rsidR="00A01045" w:rsidRPr="00784F25">
        <w:rPr>
          <w:rFonts w:ascii="Arial" w:hAnsi="Arial" w:cs="Arial"/>
          <w:bCs/>
          <w:sz w:val="20"/>
          <w:szCs w:val="20"/>
        </w:rPr>
        <w:t xml:space="preserve"> with minor and major axes averaging 100 </w:t>
      </w:r>
      <w:r w:rsidR="00E77E15" w:rsidRPr="00784F25">
        <w:rPr>
          <w:rFonts w:ascii="Arial" w:hAnsi="Arial" w:cs="Arial"/>
          <w:sz w:val="18"/>
          <w:szCs w:val="18"/>
        </w:rPr>
        <w:t>µm</w:t>
      </w:r>
      <w:r w:rsidR="00E77E15" w:rsidRPr="00784F25">
        <w:rPr>
          <w:rFonts w:ascii="Arial" w:hAnsi="Arial" w:cs="Arial"/>
          <w:bCs/>
          <w:sz w:val="20"/>
          <w:szCs w:val="20"/>
        </w:rPr>
        <w:t xml:space="preserve"> </w:t>
      </w:r>
      <w:r w:rsidR="00A01045" w:rsidRPr="00784F25">
        <w:rPr>
          <w:rFonts w:ascii="Arial" w:hAnsi="Arial" w:cs="Arial"/>
          <w:bCs/>
          <w:sz w:val="20"/>
          <w:szCs w:val="20"/>
        </w:rPr>
        <w:t xml:space="preserve">and 300 </w:t>
      </w:r>
      <w:r w:rsidR="00E77E15" w:rsidRPr="00784F25">
        <w:rPr>
          <w:rFonts w:ascii="Arial" w:hAnsi="Arial" w:cs="Arial"/>
          <w:sz w:val="18"/>
          <w:szCs w:val="18"/>
        </w:rPr>
        <w:t>µm</w:t>
      </w:r>
      <w:r w:rsidR="00A01045" w:rsidRPr="00784F25">
        <w:rPr>
          <w:rFonts w:ascii="Arial" w:hAnsi="Arial" w:cs="Arial"/>
          <w:bCs/>
          <w:sz w:val="20"/>
          <w:szCs w:val="20"/>
        </w:rPr>
        <w:t>, respectively.</w:t>
      </w:r>
      <w:r w:rsidR="00E14F3B" w:rsidRPr="00784F25">
        <w:rPr>
          <w:rFonts w:ascii="Arial" w:hAnsi="Arial" w:cs="Arial"/>
          <w:bCs/>
          <w:sz w:val="20"/>
          <w:szCs w:val="20"/>
        </w:rPr>
        <w:t xml:space="preserve"> On average, we observe between 20-30 lesions per colon with a</w:t>
      </w:r>
      <w:r w:rsidR="00786E0C" w:rsidRPr="00784F25">
        <w:rPr>
          <w:rFonts w:ascii="Arial" w:hAnsi="Arial" w:cs="Arial"/>
          <w:bCs/>
          <w:sz w:val="20"/>
          <w:szCs w:val="20"/>
        </w:rPr>
        <w:t>n estimated average volume of 4 x 10</w:t>
      </w:r>
      <w:r w:rsidR="00786E0C" w:rsidRPr="00784F25">
        <w:rPr>
          <w:rFonts w:ascii="Arial" w:hAnsi="Arial" w:cs="Arial"/>
          <w:bCs/>
          <w:sz w:val="20"/>
          <w:szCs w:val="20"/>
          <w:vertAlign w:val="superscript"/>
        </w:rPr>
        <w:t>-5</w:t>
      </w:r>
      <w:r w:rsidR="00786E0C" w:rsidRPr="00784F25">
        <w:rPr>
          <w:rFonts w:ascii="Arial" w:hAnsi="Arial" w:cs="Arial"/>
          <w:bCs/>
          <w:sz w:val="20"/>
          <w:szCs w:val="20"/>
        </w:rPr>
        <w:t xml:space="preserve"> cm</w:t>
      </w:r>
      <w:r w:rsidR="00786E0C" w:rsidRPr="00784F25">
        <w:rPr>
          <w:rFonts w:ascii="Arial" w:hAnsi="Arial" w:cs="Arial"/>
          <w:bCs/>
          <w:sz w:val="20"/>
          <w:szCs w:val="20"/>
          <w:vertAlign w:val="superscript"/>
        </w:rPr>
        <w:t>3</w:t>
      </w:r>
      <w:r w:rsidR="00786E0C" w:rsidRPr="00784F25">
        <w:rPr>
          <w:rFonts w:ascii="Arial" w:hAnsi="Arial" w:cs="Arial"/>
          <w:bCs/>
          <w:sz w:val="20"/>
          <w:szCs w:val="20"/>
        </w:rPr>
        <w:t>.</w:t>
      </w:r>
    </w:p>
    <w:p w14:paraId="3FA8EBCC" w14:textId="775D1F26" w:rsidR="00786E0C" w:rsidRDefault="00786E0C" w:rsidP="005A6609">
      <w:pPr>
        <w:rPr>
          <w:rFonts w:ascii="Arial" w:hAnsi="Arial" w:cs="Arial"/>
          <w:bCs/>
          <w:sz w:val="24"/>
          <w:szCs w:val="24"/>
        </w:rPr>
      </w:pPr>
      <w:r>
        <w:rPr>
          <w:rFonts w:ascii="Arial" w:hAnsi="Arial" w:cs="Arial"/>
          <w:bCs/>
          <w:sz w:val="24"/>
          <w:szCs w:val="24"/>
        </w:rPr>
        <w:t xml:space="preserve">Using the lower affinity </w:t>
      </w:r>
      <w:r w:rsidR="006F656D">
        <w:rPr>
          <w:rFonts w:ascii="Arial" w:hAnsi="Arial" w:cs="Arial"/>
          <w:bCs/>
          <w:sz w:val="24"/>
          <w:szCs w:val="24"/>
        </w:rPr>
        <w:t>scFv fusion</w:t>
      </w:r>
      <w:r>
        <w:rPr>
          <w:rFonts w:ascii="Arial" w:hAnsi="Arial" w:cs="Arial"/>
          <w:bCs/>
          <w:sz w:val="24"/>
          <w:szCs w:val="24"/>
        </w:rPr>
        <w:t xml:space="preserve"> construct, </w:t>
      </w:r>
      <w:r w:rsidR="008161B9">
        <w:rPr>
          <w:rFonts w:ascii="Arial" w:hAnsi="Arial" w:cs="Arial"/>
          <w:bCs/>
          <w:sz w:val="24"/>
          <w:szCs w:val="24"/>
        </w:rPr>
        <w:t>colon digest data</w:t>
      </w:r>
      <w:r>
        <w:rPr>
          <w:rFonts w:ascii="Arial" w:hAnsi="Arial" w:cs="Arial"/>
          <w:bCs/>
          <w:sz w:val="24"/>
          <w:szCs w:val="24"/>
        </w:rPr>
        <w:t xml:space="preserve"> estimated the absolute </w:t>
      </w:r>
      <w:r w:rsidR="008161B9">
        <w:rPr>
          <w:rFonts w:ascii="Arial" w:hAnsi="Arial" w:cs="Arial"/>
          <w:bCs/>
          <w:sz w:val="24"/>
          <w:szCs w:val="24"/>
        </w:rPr>
        <w:t xml:space="preserve">diabody amount at 24 h post IV to be ~ 2.2 </w:t>
      </w:r>
      <w:proofErr w:type="spellStart"/>
      <w:r w:rsidR="008161B9">
        <w:rPr>
          <w:rFonts w:ascii="Arial" w:hAnsi="Arial" w:cs="Arial"/>
          <w:bCs/>
          <w:sz w:val="24"/>
          <w:szCs w:val="24"/>
        </w:rPr>
        <w:t>pmol</w:t>
      </w:r>
      <w:proofErr w:type="spellEnd"/>
      <w:r w:rsidR="008161B9">
        <w:rPr>
          <w:rFonts w:ascii="Arial" w:hAnsi="Arial" w:cs="Arial"/>
          <w:bCs/>
          <w:sz w:val="24"/>
          <w:szCs w:val="24"/>
        </w:rPr>
        <w:t xml:space="preserve">. Non-targeting controls and blocking controls </w:t>
      </w:r>
      <w:r w:rsidR="008E3365">
        <w:rPr>
          <w:rFonts w:ascii="Arial" w:hAnsi="Arial" w:cs="Arial"/>
          <w:bCs/>
          <w:sz w:val="24"/>
          <w:szCs w:val="24"/>
        </w:rPr>
        <w:t xml:space="preserve">from digests </w:t>
      </w:r>
      <w:r w:rsidR="004368FE">
        <w:rPr>
          <w:rFonts w:ascii="Arial" w:hAnsi="Arial" w:cs="Arial"/>
          <w:bCs/>
          <w:sz w:val="24"/>
          <w:szCs w:val="24"/>
        </w:rPr>
        <w:t>estimated non-specific uptake</w:t>
      </w:r>
      <w:r w:rsidR="008E3365">
        <w:rPr>
          <w:rFonts w:ascii="Arial" w:hAnsi="Arial" w:cs="Arial"/>
          <w:bCs/>
          <w:sz w:val="24"/>
          <w:szCs w:val="24"/>
        </w:rPr>
        <w:t xml:space="preserve"> to be ~1 </w:t>
      </w:r>
      <w:proofErr w:type="spellStart"/>
      <w:r w:rsidR="008E3365">
        <w:rPr>
          <w:rFonts w:ascii="Arial" w:hAnsi="Arial" w:cs="Arial"/>
          <w:bCs/>
          <w:sz w:val="24"/>
          <w:szCs w:val="24"/>
        </w:rPr>
        <w:t>pmol</w:t>
      </w:r>
      <w:proofErr w:type="spellEnd"/>
      <w:r w:rsidR="008E3365">
        <w:rPr>
          <w:rFonts w:ascii="Arial" w:hAnsi="Arial" w:cs="Arial"/>
          <w:bCs/>
          <w:sz w:val="24"/>
          <w:szCs w:val="24"/>
        </w:rPr>
        <w:t>. Assuming</w:t>
      </w:r>
      <w:r w:rsidR="00EA55E1">
        <w:rPr>
          <w:rFonts w:ascii="Arial" w:hAnsi="Arial" w:cs="Arial"/>
          <w:bCs/>
          <w:sz w:val="24"/>
          <w:szCs w:val="24"/>
        </w:rPr>
        <w:t xml:space="preserve"> the difference (1.2 </w:t>
      </w:r>
      <w:proofErr w:type="spellStart"/>
      <w:r w:rsidR="00EA55E1">
        <w:rPr>
          <w:rFonts w:ascii="Arial" w:hAnsi="Arial" w:cs="Arial"/>
          <w:bCs/>
          <w:sz w:val="24"/>
          <w:szCs w:val="24"/>
        </w:rPr>
        <w:t>pmol</w:t>
      </w:r>
      <w:proofErr w:type="spellEnd"/>
      <w:r w:rsidR="00EA55E1">
        <w:rPr>
          <w:rFonts w:ascii="Arial" w:hAnsi="Arial" w:cs="Arial"/>
          <w:bCs/>
          <w:sz w:val="24"/>
          <w:szCs w:val="24"/>
        </w:rPr>
        <w:t xml:space="preserve">) is </w:t>
      </w:r>
      <w:proofErr w:type="spellStart"/>
      <w:r w:rsidR="00EA55E1">
        <w:rPr>
          <w:rFonts w:ascii="Arial" w:hAnsi="Arial" w:cs="Arial"/>
          <w:bCs/>
          <w:sz w:val="24"/>
          <w:szCs w:val="24"/>
        </w:rPr>
        <w:t>subsaturating</w:t>
      </w:r>
      <w:proofErr w:type="spellEnd"/>
      <w:r w:rsidR="00EA55E1">
        <w:rPr>
          <w:rFonts w:ascii="Arial" w:hAnsi="Arial" w:cs="Arial"/>
          <w:bCs/>
          <w:sz w:val="24"/>
          <w:szCs w:val="24"/>
        </w:rPr>
        <w:t xml:space="preserve">, a conservative lesional </w:t>
      </w:r>
      <w:r w:rsidR="006F656D">
        <w:rPr>
          <w:rFonts w:ascii="Arial" w:hAnsi="Arial" w:cs="Arial"/>
          <w:bCs/>
          <w:sz w:val="24"/>
          <w:szCs w:val="24"/>
        </w:rPr>
        <w:t>concentration for the TNC targeting scFv fusion is</w:t>
      </w:r>
      <w:r w:rsidR="00146A5F">
        <w:rPr>
          <w:rFonts w:ascii="Arial" w:hAnsi="Arial" w:cs="Arial"/>
          <w:bCs/>
          <w:sz w:val="24"/>
          <w:szCs w:val="24"/>
        </w:rPr>
        <w:t xml:space="preserve"> calculated to be</w:t>
      </w:r>
      <w:r w:rsidR="006F656D">
        <w:rPr>
          <w:rFonts w:ascii="Arial" w:hAnsi="Arial" w:cs="Arial"/>
          <w:bCs/>
          <w:sz w:val="24"/>
          <w:szCs w:val="24"/>
        </w:rPr>
        <w:t xml:space="preserve"> &gt; 100nM</w:t>
      </w:r>
      <w:r w:rsidR="00C80CF6">
        <w:rPr>
          <w:rFonts w:ascii="Arial" w:hAnsi="Arial" w:cs="Arial"/>
          <w:bCs/>
          <w:sz w:val="24"/>
          <w:szCs w:val="24"/>
        </w:rPr>
        <w:t xml:space="preserve"> given the lesion volume estimates</w:t>
      </w:r>
      <w:r w:rsidR="006F656D">
        <w:rPr>
          <w:rFonts w:ascii="Arial" w:hAnsi="Arial" w:cs="Arial"/>
          <w:bCs/>
          <w:sz w:val="24"/>
          <w:szCs w:val="24"/>
        </w:rPr>
        <w:t>.</w:t>
      </w:r>
    </w:p>
    <w:p w14:paraId="426B65A6" w14:textId="77777777" w:rsidR="00690424" w:rsidRPr="00754D55" w:rsidRDefault="00690424" w:rsidP="005A6609">
      <w:pPr>
        <w:rPr>
          <w:rFonts w:ascii="Arial" w:hAnsi="Arial" w:cs="Arial"/>
          <w:bCs/>
          <w:sz w:val="24"/>
          <w:szCs w:val="24"/>
        </w:rPr>
      </w:pPr>
    </w:p>
    <w:p w14:paraId="42E2576D" w14:textId="2F645921" w:rsidR="00012C64" w:rsidRDefault="00CE459A">
      <w:pPr>
        <w:rPr>
          <w:rFonts w:ascii="Arial" w:hAnsi="Arial" w:cs="Arial"/>
          <w:b/>
          <w:sz w:val="24"/>
          <w:szCs w:val="24"/>
        </w:rPr>
      </w:pPr>
      <w:r>
        <w:rPr>
          <w:rFonts w:ascii="Arial" w:hAnsi="Arial" w:cs="Arial"/>
          <w:b/>
          <w:noProof/>
          <w:sz w:val="24"/>
          <w:szCs w:val="24"/>
        </w:rPr>
        <w:drawing>
          <wp:inline distT="0" distB="0" distL="0" distR="0" wp14:anchorId="0B93CBA1" wp14:editId="348D2D17">
            <wp:extent cx="1219200" cy="161544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1615440"/>
                    </a:xfrm>
                    <a:prstGeom prst="rect">
                      <a:avLst/>
                    </a:prstGeom>
                    <a:noFill/>
                  </pic:spPr>
                </pic:pic>
              </a:graphicData>
            </a:graphic>
          </wp:inline>
        </w:drawing>
      </w:r>
    </w:p>
    <w:p w14:paraId="37BC12D1" w14:textId="550EFE58" w:rsidR="00CE459A" w:rsidRDefault="00CE459A">
      <w:pPr>
        <w:rPr>
          <w:rFonts w:ascii="Arial" w:hAnsi="Arial" w:cs="Arial"/>
          <w:bCs/>
          <w:sz w:val="20"/>
          <w:szCs w:val="20"/>
        </w:rPr>
      </w:pPr>
      <w:r w:rsidRPr="00784F25">
        <w:rPr>
          <w:rFonts w:ascii="Arial" w:hAnsi="Arial" w:cs="Arial"/>
          <w:b/>
          <w:sz w:val="20"/>
          <w:szCs w:val="20"/>
        </w:rPr>
        <w:t>Figure S</w:t>
      </w:r>
      <w:r>
        <w:rPr>
          <w:rFonts w:ascii="Arial" w:hAnsi="Arial" w:cs="Arial"/>
          <w:b/>
          <w:sz w:val="20"/>
          <w:szCs w:val="20"/>
        </w:rPr>
        <w:t>5</w:t>
      </w:r>
      <w:r w:rsidRPr="00784F25">
        <w:rPr>
          <w:rFonts w:ascii="Arial" w:hAnsi="Arial" w:cs="Arial"/>
          <w:b/>
          <w:sz w:val="20"/>
          <w:szCs w:val="20"/>
        </w:rPr>
        <w:t xml:space="preserve">. </w:t>
      </w:r>
      <w:r w:rsidR="008C01BE">
        <w:rPr>
          <w:rFonts w:ascii="Arial" w:hAnsi="Arial" w:cs="Arial"/>
          <w:bCs/>
          <w:sz w:val="20"/>
          <w:szCs w:val="20"/>
        </w:rPr>
        <w:t xml:space="preserve">Macroscopic NIR images of resected DSS mouse colon. </w:t>
      </w:r>
      <w:r w:rsidR="007461C7">
        <w:rPr>
          <w:rFonts w:ascii="Arial" w:hAnsi="Arial" w:cs="Arial"/>
          <w:bCs/>
          <w:sz w:val="20"/>
          <w:szCs w:val="20"/>
        </w:rPr>
        <w:t xml:space="preserve">Animals received either 0.7 nmol ABBV022-800CW (left) or 0.7 nmol ABBV022-800CW + 20 nmol unlabeled TNC D IgG (right). </w:t>
      </w:r>
      <w:r w:rsidR="003316B4">
        <w:rPr>
          <w:rFonts w:ascii="Arial" w:hAnsi="Arial" w:cs="Arial"/>
          <w:bCs/>
          <w:sz w:val="20"/>
          <w:szCs w:val="20"/>
        </w:rPr>
        <w:t>A reduction in punctate lesion signal is observed with the blocking dose.</w:t>
      </w:r>
    </w:p>
    <w:p w14:paraId="3B406131" w14:textId="358E31B0" w:rsidR="00BB453F" w:rsidRDefault="00BB453F">
      <w:pPr>
        <w:rPr>
          <w:rFonts w:ascii="Arial" w:hAnsi="Arial" w:cs="Arial"/>
          <w:bCs/>
          <w:sz w:val="20"/>
          <w:szCs w:val="20"/>
        </w:rPr>
      </w:pPr>
    </w:p>
    <w:p w14:paraId="2B14ED4D" w14:textId="5CE07DEF" w:rsidR="00BB453F" w:rsidRDefault="00BB453F">
      <w:pPr>
        <w:rPr>
          <w:rFonts w:ascii="Arial" w:hAnsi="Arial" w:cs="Arial"/>
          <w:bCs/>
          <w:sz w:val="20"/>
          <w:szCs w:val="20"/>
        </w:rPr>
      </w:pPr>
    </w:p>
    <w:p w14:paraId="716F7ADF" w14:textId="1CBCDF49" w:rsidR="00BB453F" w:rsidRPr="005D046D" w:rsidRDefault="00BB453F" w:rsidP="00BB453F">
      <w:pPr>
        <w:rPr>
          <w:rFonts w:ascii="Arial" w:hAnsi="Arial" w:cs="Arial"/>
          <w:bCs/>
          <w:sz w:val="24"/>
          <w:szCs w:val="24"/>
        </w:rPr>
      </w:pPr>
      <w:r>
        <w:rPr>
          <w:rFonts w:ascii="Arial" w:hAnsi="Arial" w:cs="Arial"/>
          <w:bCs/>
          <w:sz w:val="24"/>
          <w:szCs w:val="24"/>
        </w:rPr>
        <w:lastRenderedPageBreak/>
        <w:t>Due to higher %ID/g in the kidney and liver for the diabody compared to the IgG, we wanted to confirm if this was a result of the NIR label. Tyrosine iodination</w:t>
      </w:r>
      <w:r w:rsidRPr="005D046D">
        <w:rPr>
          <w:rFonts w:ascii="Arial" w:hAnsi="Arial" w:cs="Arial"/>
          <w:bCs/>
          <w:sz w:val="24"/>
          <w:szCs w:val="24"/>
        </w:rPr>
        <w:t xml:space="preserve"> for the</w:t>
      </w:r>
      <w:r w:rsidR="00D808EF">
        <w:rPr>
          <w:rFonts w:ascii="Arial" w:hAnsi="Arial" w:cs="Arial"/>
          <w:bCs/>
          <w:sz w:val="24"/>
          <w:szCs w:val="24"/>
        </w:rPr>
        <w:t xml:space="preserve"> ABBV022</w:t>
      </w:r>
      <w:r w:rsidRPr="005D046D">
        <w:rPr>
          <w:rFonts w:ascii="Arial" w:hAnsi="Arial" w:cs="Arial"/>
          <w:bCs/>
          <w:sz w:val="24"/>
          <w:szCs w:val="24"/>
        </w:rPr>
        <w:t xml:space="preserve"> scFv fusion was performed with </w:t>
      </w:r>
      <w:proofErr w:type="spellStart"/>
      <w:r w:rsidRPr="005D046D">
        <w:rPr>
          <w:rFonts w:ascii="Arial" w:hAnsi="Arial" w:cs="Arial"/>
          <w:bCs/>
          <w:sz w:val="24"/>
          <w:szCs w:val="24"/>
        </w:rPr>
        <w:t>lactoperoxidase</w:t>
      </w:r>
      <w:proofErr w:type="spellEnd"/>
      <w:r w:rsidRPr="005D046D">
        <w:rPr>
          <w:rFonts w:ascii="Arial" w:hAnsi="Arial" w:cs="Arial"/>
          <w:bCs/>
          <w:sz w:val="24"/>
          <w:szCs w:val="24"/>
        </w:rPr>
        <w:t xml:space="preserve"> (Perkin Elmer, Waltham, MA). </w:t>
      </w:r>
      <w:r w:rsidR="00F73173">
        <w:rPr>
          <w:rFonts w:ascii="Arial" w:hAnsi="Arial" w:cs="Arial"/>
          <w:bCs/>
          <w:sz w:val="24"/>
          <w:szCs w:val="24"/>
        </w:rPr>
        <w:t>[</w:t>
      </w:r>
      <w:r w:rsidR="00F73173" w:rsidRPr="00D67A22">
        <w:rPr>
          <w:rFonts w:ascii="Arial" w:hAnsi="Arial" w:cs="Arial"/>
          <w:bCs/>
          <w:sz w:val="24"/>
          <w:szCs w:val="24"/>
          <w:vertAlign w:val="superscript"/>
        </w:rPr>
        <w:t>125</w:t>
      </w:r>
      <w:proofErr w:type="gramStart"/>
      <w:r w:rsidR="00F73173">
        <w:rPr>
          <w:rFonts w:ascii="Arial" w:hAnsi="Arial" w:cs="Arial"/>
          <w:bCs/>
          <w:sz w:val="24"/>
          <w:szCs w:val="24"/>
        </w:rPr>
        <w:t>I]ABBV</w:t>
      </w:r>
      <w:proofErr w:type="gramEnd"/>
      <w:r w:rsidR="00F73173">
        <w:rPr>
          <w:rFonts w:ascii="Arial" w:hAnsi="Arial" w:cs="Arial"/>
          <w:bCs/>
          <w:sz w:val="24"/>
          <w:szCs w:val="24"/>
        </w:rPr>
        <w:t>022 was obtained with an A</w:t>
      </w:r>
      <w:r w:rsidR="005807E8">
        <w:rPr>
          <w:rFonts w:ascii="Arial" w:hAnsi="Arial" w:cs="Arial"/>
          <w:bCs/>
          <w:sz w:val="24"/>
          <w:szCs w:val="24"/>
          <w:vertAlign w:val="subscript"/>
        </w:rPr>
        <w:t>s</w:t>
      </w:r>
      <w:r w:rsidR="0012161A">
        <w:rPr>
          <w:rFonts w:ascii="Arial" w:hAnsi="Arial" w:cs="Arial"/>
          <w:bCs/>
          <w:sz w:val="24"/>
          <w:szCs w:val="24"/>
        </w:rPr>
        <w:t xml:space="preserve"> of </w:t>
      </w:r>
      <w:r w:rsidR="005807E8">
        <w:rPr>
          <w:rFonts w:ascii="Arial" w:hAnsi="Arial" w:cs="Arial"/>
          <w:bCs/>
          <w:sz w:val="24"/>
          <w:szCs w:val="24"/>
        </w:rPr>
        <w:t>0.</w:t>
      </w:r>
      <w:r w:rsidR="00D842B7">
        <w:rPr>
          <w:rFonts w:ascii="Arial" w:hAnsi="Arial" w:cs="Arial"/>
          <w:bCs/>
          <w:sz w:val="24"/>
          <w:szCs w:val="24"/>
        </w:rPr>
        <w:t>470</w:t>
      </w:r>
      <w:r w:rsidR="00146236">
        <w:rPr>
          <w:rFonts w:ascii="Arial" w:hAnsi="Arial" w:cs="Arial"/>
          <w:bCs/>
          <w:sz w:val="24"/>
          <w:szCs w:val="24"/>
        </w:rPr>
        <w:t xml:space="preserve"> </w:t>
      </w:r>
      <w:proofErr w:type="spellStart"/>
      <w:r w:rsidR="00A00F7F">
        <w:rPr>
          <w:rFonts w:ascii="Arial" w:hAnsi="Arial" w:cs="Arial"/>
          <w:bCs/>
          <w:sz w:val="24"/>
          <w:szCs w:val="24"/>
        </w:rPr>
        <w:t>G</w:t>
      </w:r>
      <w:r w:rsidR="00146236">
        <w:rPr>
          <w:rFonts w:ascii="Arial" w:hAnsi="Arial" w:cs="Arial"/>
          <w:bCs/>
          <w:sz w:val="24"/>
          <w:szCs w:val="24"/>
        </w:rPr>
        <w:t>Bq</w:t>
      </w:r>
      <w:proofErr w:type="spellEnd"/>
      <w:r w:rsidR="00146236">
        <w:rPr>
          <w:rFonts w:ascii="Arial" w:hAnsi="Arial" w:cs="Arial"/>
          <w:bCs/>
          <w:sz w:val="24"/>
          <w:szCs w:val="24"/>
        </w:rPr>
        <w:t>/mg</w:t>
      </w:r>
      <w:r w:rsidR="0012161A">
        <w:rPr>
          <w:rFonts w:ascii="Arial" w:hAnsi="Arial" w:cs="Arial"/>
          <w:bCs/>
          <w:sz w:val="24"/>
          <w:szCs w:val="24"/>
        </w:rPr>
        <w:t xml:space="preserve"> in 95% radiochemical purity as determined by</w:t>
      </w:r>
      <w:r w:rsidRPr="005D046D">
        <w:rPr>
          <w:rFonts w:ascii="Arial" w:hAnsi="Arial" w:cs="Arial"/>
          <w:bCs/>
          <w:sz w:val="24"/>
          <w:szCs w:val="24"/>
        </w:rPr>
        <w:t xml:space="preserve"> ITLC.</w:t>
      </w:r>
    </w:p>
    <w:p w14:paraId="1F4C396B" w14:textId="2559DA36" w:rsidR="00BB453F" w:rsidRDefault="00BB453F" w:rsidP="00BB453F">
      <w:pPr>
        <w:rPr>
          <w:rFonts w:ascii="Arial" w:hAnsi="Arial" w:cs="Arial"/>
          <w:bCs/>
          <w:sz w:val="24"/>
          <w:szCs w:val="24"/>
        </w:rPr>
      </w:pPr>
      <w:r>
        <w:rPr>
          <w:rFonts w:ascii="Arial" w:hAnsi="Arial" w:cs="Arial"/>
          <w:sz w:val="24"/>
          <w:szCs w:val="24"/>
        </w:rPr>
        <w:t>S</w:t>
      </w:r>
      <w:r w:rsidRPr="005D046D">
        <w:rPr>
          <w:rFonts w:ascii="Arial" w:hAnsi="Arial" w:cs="Arial"/>
          <w:sz w:val="24"/>
          <w:szCs w:val="24"/>
        </w:rPr>
        <w:t>even-day acute murine colitis was induced in wild-type C57BL/6 mice with 3% DSS in the drinking water</w:t>
      </w:r>
      <w:r>
        <w:rPr>
          <w:rFonts w:ascii="Arial" w:hAnsi="Arial" w:cs="Arial"/>
          <w:bCs/>
          <w:sz w:val="24"/>
          <w:szCs w:val="24"/>
        </w:rPr>
        <w:t xml:space="preserve">. On day 7, animals were intravenously co-dosed with </w:t>
      </w:r>
      <w:r w:rsidR="00E752BC">
        <w:rPr>
          <w:rFonts w:ascii="Arial" w:hAnsi="Arial" w:cs="Arial"/>
          <w:bCs/>
          <w:sz w:val="24"/>
          <w:szCs w:val="24"/>
        </w:rPr>
        <w:t xml:space="preserve">0.074 MBq </w:t>
      </w:r>
      <w:r>
        <w:rPr>
          <w:rFonts w:ascii="Arial" w:hAnsi="Arial" w:cs="Arial"/>
          <w:bCs/>
          <w:sz w:val="24"/>
          <w:szCs w:val="24"/>
        </w:rPr>
        <w:t xml:space="preserve">of </w:t>
      </w:r>
      <w:r w:rsidR="00D67A22">
        <w:rPr>
          <w:rFonts w:ascii="Arial" w:hAnsi="Arial" w:cs="Arial"/>
          <w:bCs/>
          <w:sz w:val="24"/>
          <w:szCs w:val="24"/>
        </w:rPr>
        <w:t>[</w:t>
      </w:r>
      <w:r w:rsidRPr="00D67A22">
        <w:rPr>
          <w:rFonts w:ascii="Arial" w:hAnsi="Arial" w:cs="Arial"/>
          <w:bCs/>
          <w:sz w:val="24"/>
          <w:szCs w:val="24"/>
          <w:vertAlign w:val="superscript"/>
        </w:rPr>
        <w:t>125</w:t>
      </w:r>
      <w:r>
        <w:rPr>
          <w:rFonts w:ascii="Arial" w:hAnsi="Arial" w:cs="Arial"/>
          <w:bCs/>
          <w:sz w:val="24"/>
          <w:szCs w:val="24"/>
        </w:rPr>
        <w:t>I</w:t>
      </w:r>
      <w:r w:rsidR="00D67A22">
        <w:rPr>
          <w:rFonts w:ascii="Arial" w:hAnsi="Arial" w:cs="Arial"/>
          <w:bCs/>
          <w:sz w:val="24"/>
          <w:szCs w:val="24"/>
        </w:rPr>
        <w:t>]</w:t>
      </w:r>
      <w:r>
        <w:rPr>
          <w:rFonts w:ascii="Arial" w:hAnsi="Arial" w:cs="Arial"/>
          <w:bCs/>
          <w:sz w:val="24"/>
          <w:szCs w:val="24"/>
        </w:rPr>
        <w:t xml:space="preserve">ABBV022 and 1 nmol of ABBV022-800CW via tail vein injection. Whole blood was </w:t>
      </w:r>
      <w:r w:rsidRPr="00356DFC">
        <w:rPr>
          <w:rFonts w:ascii="Arial" w:hAnsi="Arial" w:cs="Arial"/>
          <w:bCs/>
          <w:sz w:val="24"/>
          <w:szCs w:val="24"/>
        </w:rPr>
        <w:t>collected to determine the systemic clearance via gamma detection and NIR fluorescence (Fig. S</w:t>
      </w:r>
      <w:r w:rsidR="00905D92">
        <w:rPr>
          <w:rFonts w:ascii="Arial" w:hAnsi="Arial" w:cs="Arial"/>
          <w:bCs/>
          <w:sz w:val="24"/>
          <w:szCs w:val="24"/>
        </w:rPr>
        <w:t>9</w:t>
      </w:r>
      <w:r w:rsidRPr="00356DFC">
        <w:rPr>
          <w:rFonts w:ascii="Arial" w:hAnsi="Arial" w:cs="Arial"/>
          <w:bCs/>
          <w:sz w:val="24"/>
          <w:szCs w:val="24"/>
        </w:rPr>
        <w:t xml:space="preserve">). After 24 h, one cohort of animals (n=3) were </w:t>
      </w:r>
      <w:proofErr w:type="gramStart"/>
      <w:r w:rsidRPr="00356DFC">
        <w:rPr>
          <w:rFonts w:ascii="Arial" w:hAnsi="Arial" w:cs="Arial"/>
          <w:bCs/>
          <w:sz w:val="24"/>
          <w:szCs w:val="24"/>
        </w:rPr>
        <w:t>euthanized</w:t>
      </w:r>
      <w:proofErr w:type="gramEnd"/>
      <w:r w:rsidRPr="00356DFC">
        <w:rPr>
          <w:rFonts w:ascii="Arial" w:hAnsi="Arial" w:cs="Arial"/>
          <w:bCs/>
          <w:sz w:val="24"/>
          <w:szCs w:val="24"/>
        </w:rPr>
        <w:t xml:space="preserve"> and the colons were imaged using a near infrared scanner. Afterwards, samples were placed onto a phosphoimaging screen, placed into a cassette, and exposed for 72 h before being scanned using a GE phosphor imager FLA 7000.</w:t>
      </w:r>
      <w:r w:rsidRPr="00356DFC">
        <w:t xml:space="preserve"> </w:t>
      </w:r>
      <w:r w:rsidRPr="00356DFC">
        <w:rPr>
          <w:rFonts w:ascii="Arial" w:hAnsi="Arial" w:cs="Arial"/>
          <w:bCs/>
          <w:sz w:val="24"/>
          <w:szCs w:val="24"/>
        </w:rPr>
        <w:t>The autoradiographic results were compared to the NIR images (Fig. S</w:t>
      </w:r>
      <w:r w:rsidR="00905D92">
        <w:rPr>
          <w:rFonts w:ascii="Arial" w:hAnsi="Arial" w:cs="Arial"/>
          <w:bCs/>
          <w:sz w:val="24"/>
          <w:szCs w:val="24"/>
        </w:rPr>
        <w:t>6</w:t>
      </w:r>
      <w:r w:rsidRPr="00356DFC">
        <w:rPr>
          <w:rFonts w:ascii="Arial" w:hAnsi="Arial" w:cs="Arial"/>
          <w:bCs/>
          <w:sz w:val="24"/>
          <w:szCs w:val="24"/>
        </w:rPr>
        <w:t xml:space="preserve">). %ID/g </w:t>
      </w:r>
      <w:r w:rsidR="00242E21">
        <w:rPr>
          <w:rFonts w:ascii="Arial" w:hAnsi="Arial" w:cs="Arial"/>
          <w:bCs/>
          <w:sz w:val="24"/>
          <w:szCs w:val="24"/>
        </w:rPr>
        <w:t>were</w:t>
      </w:r>
      <w:r w:rsidRPr="00356DFC">
        <w:rPr>
          <w:rFonts w:ascii="Arial" w:hAnsi="Arial" w:cs="Arial"/>
          <w:bCs/>
          <w:sz w:val="24"/>
          <w:szCs w:val="24"/>
        </w:rPr>
        <w:t xml:space="preserve"> determined for each colon using gamma counting and NIR homogenization (Fig. S</w:t>
      </w:r>
      <w:r w:rsidR="00905D92">
        <w:rPr>
          <w:rFonts w:ascii="Arial" w:hAnsi="Arial" w:cs="Arial"/>
          <w:bCs/>
          <w:sz w:val="24"/>
          <w:szCs w:val="24"/>
        </w:rPr>
        <w:t>7</w:t>
      </w:r>
      <w:r w:rsidRPr="00356DFC">
        <w:rPr>
          <w:rFonts w:ascii="Arial" w:hAnsi="Arial" w:cs="Arial"/>
          <w:bCs/>
          <w:sz w:val="24"/>
          <w:szCs w:val="24"/>
        </w:rPr>
        <w:t>).</w:t>
      </w:r>
    </w:p>
    <w:p w14:paraId="4A4373AB" w14:textId="77777777" w:rsidR="00BB453F" w:rsidRDefault="00BB453F" w:rsidP="00BB453F">
      <w:pPr>
        <w:rPr>
          <w:rFonts w:ascii="Arial" w:hAnsi="Arial" w:cs="Arial"/>
          <w:bCs/>
          <w:sz w:val="24"/>
          <w:szCs w:val="24"/>
        </w:rPr>
      </w:pPr>
    </w:p>
    <w:p w14:paraId="18B950FF" w14:textId="77777777" w:rsidR="00BB453F" w:rsidRDefault="00BB453F" w:rsidP="00BB453F">
      <w:pPr>
        <w:rPr>
          <w:rFonts w:ascii="Arial" w:hAnsi="Arial" w:cs="Arial"/>
          <w:bCs/>
          <w:sz w:val="24"/>
          <w:szCs w:val="24"/>
        </w:rPr>
      </w:pPr>
    </w:p>
    <w:p w14:paraId="1865135E" w14:textId="77777777" w:rsidR="00BB453F" w:rsidRDefault="00BB453F" w:rsidP="00BB453F">
      <w:pPr>
        <w:rPr>
          <w:rFonts w:ascii="Arial" w:hAnsi="Arial" w:cs="Arial"/>
          <w:bCs/>
          <w:sz w:val="24"/>
          <w:szCs w:val="24"/>
        </w:rPr>
      </w:pPr>
      <w:r w:rsidRPr="005D046D">
        <w:rPr>
          <w:rFonts w:ascii="Arial" w:hAnsi="Arial" w:cs="Arial"/>
          <w:bCs/>
          <w:noProof/>
          <w:sz w:val="24"/>
          <w:szCs w:val="24"/>
        </w:rPr>
        <w:drawing>
          <wp:inline distT="0" distB="0" distL="0" distR="0" wp14:anchorId="0106FA3D" wp14:editId="03BAA991">
            <wp:extent cx="2743200" cy="1399916"/>
            <wp:effectExtent l="0" t="0" r="0" b="0"/>
            <wp:docPr id="1027" name="Picture 3" descr="A picture containing green, lit, dark&#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7" name="Picture 3" descr="A picture containing green, lit, dark&#10;&#10;Description automatically generated"/>
                    <pic:cNvPicPr>
                      <a:picLocks noGrp="1" noChangeAspect="1" noChangeArrowheads="1"/>
                    </pic:cNvPicPr>
                  </pic:nvPicPr>
                  <pic:blipFill rotWithShape="1">
                    <a:blip r:embed="rId13" cstate="print">
                      <a:extLst>
                        <a:ext uri="{28A0092B-C50C-407E-A947-70E740481C1C}">
                          <a14:useLocalDpi xmlns:a14="http://schemas.microsoft.com/office/drawing/2010/main"/>
                        </a:ext>
                      </a:extLst>
                    </a:blip>
                    <a:srcRect t="7256" b="2275"/>
                    <a:stretch/>
                  </pic:blipFill>
                  <pic:spPr bwMode="auto">
                    <a:xfrm rot="10800000" flipH="1">
                      <a:off x="0" y="0"/>
                      <a:ext cx="2759318" cy="1408141"/>
                    </a:xfrm>
                    <a:prstGeom prst="rect">
                      <a:avLst/>
                    </a:prstGeom>
                    <a:noFill/>
                    <a:ln>
                      <a:noFill/>
                    </a:ln>
                  </pic:spPr>
                </pic:pic>
              </a:graphicData>
            </a:graphic>
          </wp:inline>
        </w:drawing>
      </w:r>
    </w:p>
    <w:p w14:paraId="78A4B09F" w14:textId="77777777" w:rsidR="00BB453F" w:rsidRDefault="00BB453F" w:rsidP="00BB453F">
      <w:pPr>
        <w:rPr>
          <w:rFonts w:ascii="Arial" w:hAnsi="Arial" w:cs="Arial"/>
          <w:bCs/>
          <w:sz w:val="24"/>
          <w:szCs w:val="24"/>
        </w:rPr>
      </w:pPr>
      <w:r w:rsidRPr="005D046D">
        <w:rPr>
          <w:rFonts w:ascii="Arial" w:hAnsi="Arial" w:cs="Arial"/>
          <w:bCs/>
          <w:noProof/>
          <w:sz w:val="24"/>
          <w:szCs w:val="24"/>
        </w:rPr>
        <w:drawing>
          <wp:inline distT="0" distB="0" distL="0" distR="0" wp14:anchorId="2B07C405" wp14:editId="63F7B675">
            <wp:extent cx="2743200" cy="1165738"/>
            <wp:effectExtent l="12700" t="12700" r="12700" b="15875"/>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rotWithShape="1">
                    <a:blip r:embed="rId14" cstate="print">
                      <a:extLst>
                        <a:ext uri="{28A0092B-C50C-407E-A947-70E740481C1C}">
                          <a14:useLocalDpi xmlns:a14="http://schemas.microsoft.com/office/drawing/2010/main"/>
                        </a:ext>
                      </a:extLst>
                    </a:blip>
                    <a:srcRect/>
                    <a:stretch/>
                  </pic:blipFill>
                  <pic:spPr bwMode="auto">
                    <a:xfrm>
                      <a:off x="0" y="0"/>
                      <a:ext cx="2786438" cy="1184112"/>
                    </a:xfrm>
                    <a:prstGeom prst="rect">
                      <a:avLst/>
                    </a:prstGeom>
                    <a:noFill/>
                    <a:ln w="12700">
                      <a:solidFill>
                        <a:schemeClr val="tx1"/>
                      </a:solidFill>
                    </a:ln>
                  </pic:spPr>
                </pic:pic>
              </a:graphicData>
            </a:graphic>
          </wp:inline>
        </w:drawing>
      </w:r>
    </w:p>
    <w:p w14:paraId="6118BBCC" w14:textId="4F153E5B" w:rsidR="00BB453F" w:rsidRPr="00784F25" w:rsidRDefault="00BB453F" w:rsidP="00BB453F">
      <w:pPr>
        <w:rPr>
          <w:rFonts w:ascii="Arial" w:hAnsi="Arial" w:cs="Arial"/>
          <w:bCs/>
          <w:sz w:val="20"/>
          <w:szCs w:val="20"/>
        </w:rPr>
      </w:pPr>
      <w:r w:rsidRPr="00784F25">
        <w:rPr>
          <w:rFonts w:ascii="Arial" w:hAnsi="Arial" w:cs="Arial"/>
          <w:b/>
          <w:sz w:val="20"/>
          <w:szCs w:val="20"/>
        </w:rPr>
        <w:t>Figure S</w:t>
      </w:r>
      <w:r w:rsidR="00611218">
        <w:rPr>
          <w:rFonts w:ascii="Arial" w:hAnsi="Arial" w:cs="Arial"/>
          <w:b/>
          <w:sz w:val="20"/>
          <w:szCs w:val="20"/>
        </w:rPr>
        <w:t>6</w:t>
      </w:r>
      <w:r w:rsidRPr="00784F25">
        <w:rPr>
          <w:rFonts w:ascii="Arial" w:hAnsi="Arial" w:cs="Arial"/>
          <w:b/>
          <w:sz w:val="20"/>
          <w:szCs w:val="20"/>
        </w:rPr>
        <w:t>.</w:t>
      </w:r>
      <w:r w:rsidRPr="00784F25">
        <w:rPr>
          <w:rFonts w:ascii="Arial" w:hAnsi="Arial" w:cs="Arial"/>
          <w:bCs/>
          <w:sz w:val="20"/>
          <w:szCs w:val="20"/>
        </w:rPr>
        <w:t xml:space="preserve"> 24 h macroscopic NIR scans (top) and phosphorimages (bottom) of resected colon from mice treated with DSS. Top and bottom scans represent the same colon and show agreement in lesion accumulation independent of imaging modality and label chemistry.</w:t>
      </w:r>
    </w:p>
    <w:p w14:paraId="0CE95AA7" w14:textId="77777777" w:rsidR="00BB453F" w:rsidRDefault="00BB453F" w:rsidP="00BB453F">
      <w:pPr>
        <w:rPr>
          <w:rFonts w:ascii="Arial" w:hAnsi="Arial" w:cs="Arial"/>
          <w:bCs/>
          <w:sz w:val="24"/>
          <w:szCs w:val="24"/>
        </w:rPr>
      </w:pPr>
    </w:p>
    <w:p w14:paraId="6F476E77" w14:textId="77777777" w:rsidR="00BB453F" w:rsidRDefault="00BB453F" w:rsidP="00BB453F">
      <w:pPr>
        <w:rPr>
          <w:rFonts w:ascii="Arial" w:hAnsi="Arial" w:cs="Arial"/>
          <w:bCs/>
          <w:sz w:val="24"/>
          <w:szCs w:val="24"/>
        </w:rPr>
      </w:pPr>
      <w:r w:rsidRPr="003F701D">
        <w:rPr>
          <w:rFonts w:ascii="Arial" w:hAnsi="Arial" w:cs="Arial"/>
          <w:bCs/>
          <w:noProof/>
          <w:sz w:val="24"/>
          <w:szCs w:val="24"/>
        </w:rPr>
        <w:lastRenderedPageBreak/>
        <w:drawing>
          <wp:inline distT="0" distB="0" distL="0" distR="0" wp14:anchorId="311FA1BA" wp14:editId="258C1811">
            <wp:extent cx="2929467" cy="21971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936059" cy="2202044"/>
                    </a:xfrm>
                    <a:prstGeom prst="rect">
                      <a:avLst/>
                    </a:prstGeom>
                  </pic:spPr>
                </pic:pic>
              </a:graphicData>
            </a:graphic>
          </wp:inline>
        </w:drawing>
      </w:r>
    </w:p>
    <w:p w14:paraId="2265B51B" w14:textId="6DDA5E7F" w:rsidR="00BB453F" w:rsidRPr="00784F25" w:rsidRDefault="00BB453F" w:rsidP="00BB453F">
      <w:pPr>
        <w:rPr>
          <w:rFonts w:ascii="Arial" w:hAnsi="Arial" w:cs="Arial"/>
          <w:bCs/>
          <w:sz w:val="20"/>
          <w:szCs w:val="20"/>
        </w:rPr>
      </w:pPr>
      <w:r w:rsidRPr="00784F25">
        <w:rPr>
          <w:rFonts w:ascii="Arial" w:hAnsi="Arial" w:cs="Arial"/>
          <w:b/>
          <w:sz w:val="20"/>
          <w:szCs w:val="20"/>
        </w:rPr>
        <w:t>Figure S</w:t>
      </w:r>
      <w:r w:rsidR="00611218">
        <w:rPr>
          <w:rFonts w:ascii="Arial" w:hAnsi="Arial" w:cs="Arial"/>
          <w:b/>
          <w:sz w:val="20"/>
          <w:szCs w:val="20"/>
        </w:rPr>
        <w:t>7</w:t>
      </w:r>
      <w:r w:rsidRPr="00784F25">
        <w:rPr>
          <w:rFonts w:ascii="Arial" w:hAnsi="Arial" w:cs="Arial"/>
          <w:b/>
          <w:sz w:val="20"/>
          <w:szCs w:val="20"/>
        </w:rPr>
        <w:t>.</w:t>
      </w:r>
      <w:r w:rsidRPr="00784F25">
        <w:rPr>
          <w:rFonts w:ascii="Arial" w:hAnsi="Arial" w:cs="Arial"/>
          <w:bCs/>
          <w:sz w:val="20"/>
          <w:szCs w:val="20"/>
        </w:rPr>
        <w:t xml:space="preserve"> Normalized uptake values using gamma count and NIR homogenate for DSS colon. Values are measured in triplicate. Data suggest minimal differences in normalized colon uptake between labeling chemistries. Liver normalize uptake is significantly higher for the NIR approach, likely due to residualization of the fluorescent label.</w:t>
      </w:r>
    </w:p>
    <w:p w14:paraId="58FADEB4" w14:textId="77777777" w:rsidR="00BB453F" w:rsidRPr="005D046D" w:rsidRDefault="00BB453F">
      <w:pPr>
        <w:rPr>
          <w:rFonts w:ascii="Arial" w:hAnsi="Arial" w:cs="Arial"/>
          <w:b/>
          <w:sz w:val="24"/>
          <w:szCs w:val="24"/>
        </w:rPr>
      </w:pPr>
    </w:p>
    <w:p w14:paraId="28CFC9F2" w14:textId="59CB8102" w:rsidR="00AB73E5" w:rsidRPr="005D046D" w:rsidRDefault="00F02566">
      <w:pPr>
        <w:rPr>
          <w:rFonts w:ascii="Arial" w:hAnsi="Arial" w:cs="Arial"/>
          <w:bCs/>
          <w:sz w:val="24"/>
          <w:szCs w:val="24"/>
        </w:rPr>
      </w:pPr>
      <w:r w:rsidRPr="005D046D">
        <w:rPr>
          <w:rFonts w:ascii="Arial" w:hAnsi="Arial" w:cs="Arial"/>
          <w:bCs/>
          <w:noProof/>
          <w:sz w:val="24"/>
          <w:szCs w:val="24"/>
        </w:rPr>
        <w:drawing>
          <wp:inline distT="0" distB="0" distL="0" distR="0" wp14:anchorId="5FF3577F" wp14:editId="7CAD8319">
            <wp:extent cx="2133600" cy="1542286"/>
            <wp:effectExtent l="19050" t="19050" r="19050" b="20320"/>
            <wp:docPr id="2" name="Picture 2" descr="A picture containing nature, shore&#10;&#10;Description automatically generated">
              <a:extLst xmlns:a="http://schemas.openxmlformats.org/drawingml/2006/main">
                <a:ext uri="{FF2B5EF4-FFF2-40B4-BE49-F238E27FC236}">
                  <a16:creationId xmlns:a16="http://schemas.microsoft.com/office/drawing/2014/main" id="{09171195-BCE2-48AF-AC2F-C899B2026B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nature, shore&#10;&#10;Description automatically generated">
                      <a:extLst>
                        <a:ext uri="{FF2B5EF4-FFF2-40B4-BE49-F238E27FC236}">
                          <a16:creationId xmlns:a16="http://schemas.microsoft.com/office/drawing/2014/main" id="{09171195-BCE2-48AF-AC2F-C899B2026B12}"/>
                        </a:ext>
                      </a:extLst>
                    </pic:cNvPr>
                    <pic:cNvPicPr>
                      <a:picLocks noChangeAspect="1"/>
                    </pic:cNvPicPr>
                  </pic:nvPicPr>
                  <pic:blipFill rotWithShape="1">
                    <a:blip r:embed="rId16">
                      <a:extLst>
                        <a:ext uri="{28A0092B-C50C-407E-A947-70E740481C1C}">
                          <a14:useLocalDpi xmlns:a14="http://schemas.microsoft.com/office/drawing/2010/main"/>
                        </a:ext>
                      </a:extLst>
                    </a:blip>
                    <a:srcRect l="9480" r="23995"/>
                    <a:stretch/>
                  </pic:blipFill>
                  <pic:spPr>
                    <a:xfrm>
                      <a:off x="0" y="0"/>
                      <a:ext cx="2133600" cy="1542286"/>
                    </a:xfrm>
                    <a:prstGeom prst="rect">
                      <a:avLst/>
                    </a:prstGeom>
                    <a:ln w="12700">
                      <a:solidFill>
                        <a:schemeClr val="tx1"/>
                      </a:solidFill>
                    </a:ln>
                  </pic:spPr>
                </pic:pic>
              </a:graphicData>
            </a:graphic>
          </wp:inline>
        </w:drawing>
      </w:r>
      <w:r>
        <w:rPr>
          <w:rFonts w:ascii="Arial" w:hAnsi="Arial" w:cs="Arial"/>
          <w:b/>
          <w:noProof/>
          <w:sz w:val="24"/>
          <w:szCs w:val="24"/>
        </w:rPr>
        <w:drawing>
          <wp:inline distT="0" distB="0" distL="0" distR="0" wp14:anchorId="0DA798DA" wp14:editId="7EC7618F">
            <wp:extent cx="2444750" cy="1547798"/>
            <wp:effectExtent l="19050" t="19050" r="12700" b="1460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8756" t="12886" r="7181" b="7257"/>
                    <a:stretch/>
                  </pic:blipFill>
                  <pic:spPr bwMode="auto">
                    <a:xfrm>
                      <a:off x="0" y="0"/>
                      <a:ext cx="2444750" cy="1547798"/>
                    </a:xfrm>
                    <a:prstGeom prst="rect">
                      <a:avLst/>
                    </a:prstGeom>
                    <a:noFill/>
                    <a:ln w="12700"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35368C62" w14:textId="275A1386" w:rsidR="00F02566" w:rsidRDefault="00F02566" w:rsidP="00F02566">
      <w:pPr>
        <w:rPr>
          <w:rFonts w:ascii="Arial" w:hAnsi="Arial" w:cs="Arial"/>
          <w:bCs/>
          <w:sz w:val="20"/>
          <w:szCs w:val="20"/>
        </w:rPr>
      </w:pPr>
      <w:r w:rsidRPr="003F3DBF">
        <w:rPr>
          <w:rFonts w:ascii="Arial" w:hAnsi="Arial" w:cs="Arial"/>
          <w:b/>
          <w:sz w:val="20"/>
          <w:szCs w:val="20"/>
        </w:rPr>
        <w:t>Figure S</w:t>
      </w:r>
      <w:r w:rsidR="00611218">
        <w:rPr>
          <w:rFonts w:ascii="Arial" w:hAnsi="Arial" w:cs="Arial"/>
          <w:b/>
          <w:sz w:val="20"/>
          <w:szCs w:val="20"/>
        </w:rPr>
        <w:t>8</w:t>
      </w:r>
      <w:r w:rsidRPr="003F3DBF">
        <w:rPr>
          <w:rFonts w:ascii="Arial" w:hAnsi="Arial" w:cs="Arial"/>
          <w:b/>
          <w:sz w:val="20"/>
          <w:szCs w:val="20"/>
        </w:rPr>
        <w:t xml:space="preserve">. </w:t>
      </w:r>
      <w:r w:rsidR="00C033B7" w:rsidRPr="003F3DBF">
        <w:rPr>
          <w:rFonts w:ascii="Arial" w:hAnsi="Arial" w:cs="Arial"/>
          <w:bCs/>
          <w:sz w:val="20"/>
          <w:szCs w:val="20"/>
        </w:rPr>
        <w:t xml:space="preserve">Anti-human IHC (left) and isotype control (right) for </w:t>
      </w:r>
      <w:r w:rsidR="003F3DBF" w:rsidRPr="003F3DBF">
        <w:rPr>
          <w:rFonts w:ascii="Arial" w:hAnsi="Arial" w:cs="Arial"/>
          <w:bCs/>
          <w:sz w:val="20"/>
          <w:szCs w:val="20"/>
        </w:rPr>
        <w:t>serial mouse DSS colon sections.</w:t>
      </w:r>
      <w:r w:rsidR="00A362BF">
        <w:rPr>
          <w:rFonts w:ascii="Arial" w:hAnsi="Arial" w:cs="Arial"/>
          <w:bCs/>
          <w:sz w:val="20"/>
          <w:szCs w:val="20"/>
        </w:rPr>
        <w:t xml:space="preserve"> The anti-human staining is in agreement with the NIR signal in Fig. </w:t>
      </w:r>
      <w:r w:rsidR="005314C9">
        <w:rPr>
          <w:rFonts w:ascii="Arial" w:hAnsi="Arial" w:cs="Arial"/>
          <w:bCs/>
          <w:sz w:val="20"/>
          <w:szCs w:val="20"/>
        </w:rPr>
        <w:t>4C.</w:t>
      </w:r>
    </w:p>
    <w:p w14:paraId="45ABCE8D" w14:textId="6B1FCD03" w:rsidR="00452598" w:rsidRDefault="00452598" w:rsidP="00F02566">
      <w:pPr>
        <w:rPr>
          <w:rFonts w:ascii="Arial" w:hAnsi="Arial" w:cs="Arial"/>
          <w:bCs/>
          <w:sz w:val="20"/>
          <w:szCs w:val="20"/>
        </w:rPr>
      </w:pPr>
    </w:p>
    <w:p w14:paraId="3E08EB78" w14:textId="773E2C56" w:rsidR="00452598" w:rsidRDefault="00452598" w:rsidP="00F02566">
      <w:pPr>
        <w:rPr>
          <w:rFonts w:ascii="Arial" w:hAnsi="Arial" w:cs="Arial"/>
          <w:bCs/>
          <w:sz w:val="20"/>
          <w:szCs w:val="20"/>
        </w:rPr>
      </w:pPr>
    </w:p>
    <w:p w14:paraId="2737E5F7" w14:textId="77777777" w:rsidR="00452598" w:rsidRPr="003F3DBF" w:rsidRDefault="00452598" w:rsidP="00F02566">
      <w:pPr>
        <w:rPr>
          <w:rFonts w:ascii="Arial" w:hAnsi="Arial" w:cs="Arial"/>
          <w:bCs/>
          <w:sz w:val="20"/>
          <w:szCs w:val="20"/>
        </w:rPr>
      </w:pPr>
    </w:p>
    <w:p w14:paraId="4AE4D8EA" w14:textId="77777777" w:rsidR="00611218" w:rsidRDefault="00611218" w:rsidP="00611218">
      <w:pPr>
        <w:rPr>
          <w:rFonts w:ascii="Arial" w:hAnsi="Arial" w:cs="Arial"/>
          <w:bCs/>
          <w:sz w:val="24"/>
          <w:szCs w:val="24"/>
        </w:rPr>
      </w:pPr>
      <w:r w:rsidRPr="005D046D">
        <w:rPr>
          <w:rFonts w:ascii="Arial" w:hAnsi="Arial" w:cs="Arial"/>
          <w:bCs/>
          <w:noProof/>
          <w:sz w:val="24"/>
          <w:szCs w:val="24"/>
        </w:rPr>
        <w:lastRenderedPageBreak/>
        <w:drawing>
          <wp:inline distT="0" distB="0" distL="0" distR="0" wp14:anchorId="004BFDF5" wp14:editId="7E5A599F">
            <wp:extent cx="2679700" cy="18008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693010" cy="1809772"/>
                    </a:xfrm>
                    <a:prstGeom prst="rect">
                      <a:avLst/>
                    </a:prstGeom>
                  </pic:spPr>
                </pic:pic>
              </a:graphicData>
            </a:graphic>
          </wp:inline>
        </w:drawing>
      </w:r>
      <w:r w:rsidRPr="005D046D">
        <w:rPr>
          <w:rFonts w:ascii="Arial" w:hAnsi="Arial" w:cs="Arial"/>
          <w:bCs/>
          <w:sz w:val="24"/>
          <w:szCs w:val="24"/>
        </w:rPr>
        <w:t xml:space="preserve"> </w:t>
      </w:r>
    </w:p>
    <w:p w14:paraId="48625B0E" w14:textId="2AB5AF88" w:rsidR="00611218" w:rsidRPr="00784F25" w:rsidRDefault="00611218" w:rsidP="00611218">
      <w:pPr>
        <w:rPr>
          <w:rFonts w:ascii="Arial" w:hAnsi="Arial" w:cs="Arial"/>
          <w:bCs/>
          <w:sz w:val="20"/>
          <w:szCs w:val="20"/>
        </w:rPr>
      </w:pPr>
      <w:r w:rsidRPr="00784F25">
        <w:rPr>
          <w:rFonts w:ascii="Arial" w:hAnsi="Arial" w:cs="Arial"/>
          <w:b/>
          <w:sz w:val="20"/>
          <w:szCs w:val="20"/>
        </w:rPr>
        <w:t>Figure S</w:t>
      </w:r>
      <w:r>
        <w:rPr>
          <w:rFonts w:ascii="Arial" w:hAnsi="Arial" w:cs="Arial"/>
          <w:b/>
          <w:sz w:val="20"/>
          <w:szCs w:val="20"/>
        </w:rPr>
        <w:t>9</w:t>
      </w:r>
      <w:r w:rsidRPr="00784F25">
        <w:rPr>
          <w:rFonts w:ascii="Arial" w:hAnsi="Arial" w:cs="Arial"/>
          <w:b/>
          <w:sz w:val="20"/>
          <w:szCs w:val="20"/>
        </w:rPr>
        <w:t xml:space="preserve">. </w:t>
      </w:r>
      <w:r w:rsidRPr="00784F25">
        <w:rPr>
          <w:rFonts w:ascii="Arial" w:hAnsi="Arial" w:cs="Arial"/>
          <w:bCs/>
          <w:sz w:val="20"/>
          <w:szCs w:val="20"/>
        </w:rPr>
        <w:t xml:space="preserve">Systemic clearance for IV dosed scFv fusions labeled with either 800CW or </w:t>
      </w:r>
      <w:r w:rsidRPr="00784F25">
        <w:rPr>
          <w:rFonts w:ascii="Arial" w:hAnsi="Arial" w:cs="Arial"/>
          <w:bCs/>
          <w:sz w:val="20"/>
          <w:szCs w:val="20"/>
          <w:vertAlign w:val="superscript"/>
        </w:rPr>
        <w:t>125</w:t>
      </w:r>
      <w:r w:rsidRPr="00784F25">
        <w:rPr>
          <w:rFonts w:ascii="Arial" w:hAnsi="Arial" w:cs="Arial"/>
          <w:bCs/>
          <w:sz w:val="20"/>
          <w:szCs w:val="20"/>
        </w:rPr>
        <w:t xml:space="preserve">I from the same animal. Fluorescent concentrations are obtained by using a standard curve of known concentrations. Concentrations for iodinated reagents are converted assuming linear pharmacokinetics and using the specific activity of the reagents. The data suggest minimal differences in systemic clearance between the fluorescent and iodinated reagents. </w:t>
      </w:r>
    </w:p>
    <w:p w14:paraId="08B46645" w14:textId="77777777" w:rsidR="00F02566" w:rsidRPr="005D046D" w:rsidRDefault="00F02566" w:rsidP="00F02566">
      <w:pPr>
        <w:rPr>
          <w:rFonts w:ascii="Arial" w:hAnsi="Arial" w:cs="Arial"/>
          <w:b/>
          <w:sz w:val="24"/>
          <w:szCs w:val="24"/>
        </w:rPr>
      </w:pPr>
    </w:p>
    <w:p w14:paraId="2644452C" w14:textId="77777777" w:rsidR="00F92CD8" w:rsidRPr="005D046D" w:rsidRDefault="00F92CD8">
      <w:pPr>
        <w:rPr>
          <w:rFonts w:ascii="Arial" w:hAnsi="Arial" w:cs="Arial"/>
          <w:b/>
          <w:sz w:val="24"/>
          <w:szCs w:val="24"/>
        </w:rPr>
      </w:pPr>
      <w:r w:rsidRPr="005D046D">
        <w:rPr>
          <w:rFonts w:ascii="Arial" w:hAnsi="Arial" w:cs="Arial"/>
          <w:b/>
          <w:sz w:val="24"/>
          <w:szCs w:val="24"/>
        </w:rPr>
        <w:br w:type="page"/>
      </w:r>
    </w:p>
    <w:p w14:paraId="32B11666" w14:textId="49E20A67" w:rsidR="0022785D" w:rsidRPr="005D046D" w:rsidRDefault="00B8515B" w:rsidP="0022785D">
      <w:pPr>
        <w:rPr>
          <w:rFonts w:ascii="Arial" w:hAnsi="Arial" w:cs="Arial"/>
          <w:b/>
          <w:sz w:val="24"/>
          <w:szCs w:val="24"/>
        </w:rPr>
      </w:pPr>
      <w:r w:rsidRPr="005D046D">
        <w:rPr>
          <w:rFonts w:ascii="Arial" w:hAnsi="Arial" w:cs="Arial"/>
          <w:b/>
          <w:sz w:val="24"/>
          <w:szCs w:val="24"/>
        </w:rPr>
        <w:lastRenderedPageBreak/>
        <w:t>3</w:t>
      </w:r>
      <w:r w:rsidR="0022785D" w:rsidRPr="005D046D">
        <w:rPr>
          <w:rFonts w:ascii="Arial" w:hAnsi="Arial" w:cs="Arial"/>
          <w:b/>
          <w:sz w:val="24"/>
          <w:szCs w:val="24"/>
        </w:rPr>
        <w:t xml:space="preserve">. </w:t>
      </w:r>
      <w:r w:rsidR="00071421" w:rsidRPr="005D046D">
        <w:rPr>
          <w:rFonts w:ascii="Arial" w:hAnsi="Arial" w:cs="Arial"/>
          <w:b/>
          <w:sz w:val="24"/>
          <w:szCs w:val="24"/>
        </w:rPr>
        <w:t>Primate</w:t>
      </w:r>
      <w:r w:rsidR="00AB73E5" w:rsidRPr="005D046D">
        <w:rPr>
          <w:rFonts w:ascii="Arial" w:hAnsi="Arial" w:cs="Arial"/>
          <w:b/>
          <w:sz w:val="24"/>
          <w:szCs w:val="24"/>
        </w:rPr>
        <w:t xml:space="preserve"> colitis</w:t>
      </w:r>
    </w:p>
    <w:p w14:paraId="63457A33" w14:textId="4713CFFE" w:rsidR="005A6609" w:rsidRPr="005D046D" w:rsidRDefault="005A6609" w:rsidP="005A6609">
      <w:pPr>
        <w:rPr>
          <w:rFonts w:ascii="Arial" w:hAnsi="Arial" w:cs="Arial"/>
          <w:b/>
          <w:sz w:val="24"/>
          <w:szCs w:val="24"/>
        </w:rPr>
      </w:pPr>
      <w:r w:rsidRPr="005D046D">
        <w:rPr>
          <w:rFonts w:ascii="Arial" w:hAnsi="Arial" w:cs="Arial"/>
          <w:bCs/>
          <w:noProof/>
          <w:sz w:val="24"/>
          <w:szCs w:val="24"/>
        </w:rPr>
        <w:drawing>
          <wp:inline distT="0" distB="0" distL="0" distR="0" wp14:anchorId="75CAAF79" wp14:editId="7BBAB8AD">
            <wp:extent cx="2512057" cy="1545642"/>
            <wp:effectExtent l="0" t="0" r="3175" b="0"/>
            <wp:docPr id="6" name="Picture 5" descr="A close up of food&#10;&#10;Description automatically generated">
              <a:extLst xmlns:a="http://schemas.openxmlformats.org/drawingml/2006/main">
                <a:ext uri="{FF2B5EF4-FFF2-40B4-BE49-F238E27FC236}">
                  <a16:creationId xmlns:a16="http://schemas.microsoft.com/office/drawing/2014/main" id="{1DDE6849-7ED0-429D-A9F0-F6F5D50A69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close up of food&#10;&#10;Description automatically generated">
                      <a:extLst>
                        <a:ext uri="{FF2B5EF4-FFF2-40B4-BE49-F238E27FC236}">
                          <a16:creationId xmlns:a16="http://schemas.microsoft.com/office/drawing/2014/main" id="{1DDE6849-7ED0-429D-A9F0-F6F5D50A6967}"/>
                        </a:ext>
                      </a:extLst>
                    </pic:cNvPr>
                    <pic:cNvPicPr>
                      <a:picLocks noChangeAspect="1"/>
                    </pic:cNvPicPr>
                  </pic:nvPicPr>
                  <pic:blipFill rotWithShape="1">
                    <a:blip r:embed="rId19" cstate="print">
                      <a:extLst>
                        <a:ext uri="{28A0092B-C50C-407E-A947-70E740481C1C}">
                          <a14:useLocalDpi xmlns:a14="http://schemas.microsoft.com/office/drawing/2010/main" val="0"/>
                        </a:ext>
                      </a:extLst>
                    </a:blip>
                    <a:srcRect l="10474" t="599" r="38403" b="57460"/>
                    <a:stretch/>
                  </pic:blipFill>
                  <pic:spPr>
                    <a:xfrm>
                      <a:off x="0" y="0"/>
                      <a:ext cx="2512057" cy="1545642"/>
                    </a:xfrm>
                    <a:prstGeom prst="rect">
                      <a:avLst/>
                    </a:prstGeom>
                  </pic:spPr>
                </pic:pic>
              </a:graphicData>
            </a:graphic>
          </wp:inline>
        </w:drawing>
      </w:r>
    </w:p>
    <w:p w14:paraId="0DC3DC9F" w14:textId="37C2CA22" w:rsidR="005D046D" w:rsidRPr="00E30B5F" w:rsidRDefault="005D046D" w:rsidP="005A6609">
      <w:pPr>
        <w:rPr>
          <w:rFonts w:ascii="Arial" w:hAnsi="Arial" w:cs="Arial"/>
          <w:b/>
          <w:color w:val="FF0000"/>
          <w:sz w:val="20"/>
          <w:szCs w:val="20"/>
        </w:rPr>
      </w:pPr>
      <w:r w:rsidRPr="00CD2F46">
        <w:rPr>
          <w:rFonts w:ascii="Arial" w:hAnsi="Arial" w:cs="Arial"/>
          <w:b/>
          <w:sz w:val="20"/>
          <w:szCs w:val="20"/>
        </w:rPr>
        <w:t>Figure S</w:t>
      </w:r>
      <w:r w:rsidR="00BB453F">
        <w:rPr>
          <w:rFonts w:ascii="Arial" w:hAnsi="Arial" w:cs="Arial"/>
          <w:b/>
          <w:sz w:val="20"/>
          <w:szCs w:val="20"/>
        </w:rPr>
        <w:t>10</w:t>
      </w:r>
      <w:r w:rsidRPr="00CD2F46">
        <w:rPr>
          <w:rFonts w:ascii="Arial" w:hAnsi="Arial" w:cs="Arial"/>
          <w:b/>
          <w:sz w:val="20"/>
          <w:szCs w:val="20"/>
        </w:rPr>
        <w:t xml:space="preserve">. </w:t>
      </w:r>
      <w:r w:rsidR="007A09D9">
        <w:rPr>
          <w:rFonts w:ascii="Arial" w:hAnsi="Arial" w:cs="Arial"/>
          <w:bCs/>
          <w:sz w:val="20"/>
          <w:szCs w:val="20"/>
        </w:rPr>
        <w:t>TNBS induces ulceration, hemorrhag</w:t>
      </w:r>
      <w:r w:rsidR="007A09D9">
        <w:rPr>
          <w:rFonts w:ascii="Arial" w:hAnsi="Arial" w:cs="Arial"/>
          <w:bCs/>
          <w:sz w:val="20"/>
          <w:szCs w:val="20"/>
        </w:rPr>
        <w:t>ing,</w:t>
      </w:r>
      <w:r w:rsidR="007A09D9">
        <w:rPr>
          <w:rFonts w:ascii="Arial" w:hAnsi="Arial" w:cs="Arial"/>
          <w:bCs/>
          <w:sz w:val="20"/>
          <w:szCs w:val="20"/>
        </w:rPr>
        <w:t xml:space="preserve"> and bowel wall thickening in distal colon of cynomolgus macaque. Note thickened bowel between 2-5</w:t>
      </w:r>
      <w:r w:rsidR="007A09D9">
        <w:rPr>
          <w:rFonts w:ascii="Arial" w:hAnsi="Arial" w:cs="Arial"/>
          <w:bCs/>
          <w:sz w:val="20"/>
          <w:szCs w:val="20"/>
        </w:rPr>
        <w:t xml:space="preserve"> </w:t>
      </w:r>
      <w:r w:rsidR="007A09D9">
        <w:rPr>
          <w:rFonts w:ascii="Arial" w:hAnsi="Arial" w:cs="Arial"/>
          <w:bCs/>
          <w:sz w:val="20"/>
          <w:szCs w:val="20"/>
        </w:rPr>
        <w:t xml:space="preserve">cm position on ruler, where lesions are transmural. Red, hemorrhagic areas are present on mucosa surface throughout the section. An ulcer with a </w:t>
      </w:r>
      <w:proofErr w:type="spellStart"/>
      <w:r w:rsidR="007A09D9">
        <w:rPr>
          <w:rFonts w:ascii="Arial" w:hAnsi="Arial" w:cs="Arial"/>
          <w:bCs/>
          <w:sz w:val="20"/>
          <w:szCs w:val="20"/>
        </w:rPr>
        <w:t>pseudomembrane</w:t>
      </w:r>
      <w:proofErr w:type="spellEnd"/>
      <w:r w:rsidR="007A09D9">
        <w:rPr>
          <w:rFonts w:ascii="Arial" w:hAnsi="Arial" w:cs="Arial"/>
          <w:bCs/>
          <w:sz w:val="20"/>
          <w:szCs w:val="20"/>
        </w:rPr>
        <w:t xml:space="preserve"> is seen between 3-5</w:t>
      </w:r>
      <w:r w:rsidR="007A09D9">
        <w:rPr>
          <w:rFonts w:ascii="Arial" w:hAnsi="Arial" w:cs="Arial"/>
          <w:bCs/>
          <w:sz w:val="20"/>
          <w:szCs w:val="20"/>
        </w:rPr>
        <w:t xml:space="preserve"> </w:t>
      </w:r>
      <w:r w:rsidR="007A09D9">
        <w:rPr>
          <w:rFonts w:ascii="Arial" w:hAnsi="Arial" w:cs="Arial"/>
          <w:bCs/>
          <w:sz w:val="20"/>
          <w:szCs w:val="20"/>
        </w:rPr>
        <w:t>cm</w:t>
      </w:r>
      <w:r w:rsidR="007A09D9">
        <w:rPr>
          <w:rFonts w:ascii="Arial" w:hAnsi="Arial" w:cs="Arial"/>
          <w:bCs/>
          <w:sz w:val="20"/>
          <w:szCs w:val="20"/>
        </w:rPr>
        <w:t>.</w:t>
      </w:r>
    </w:p>
    <w:p w14:paraId="078E1159" w14:textId="77777777" w:rsidR="00F02566" w:rsidRDefault="00F02566" w:rsidP="005A6609">
      <w:pPr>
        <w:rPr>
          <w:rFonts w:ascii="Arial" w:hAnsi="Arial" w:cs="Arial"/>
          <w:bCs/>
          <w:sz w:val="24"/>
          <w:szCs w:val="24"/>
        </w:rPr>
      </w:pPr>
    </w:p>
    <w:p w14:paraId="526B4539" w14:textId="77777777" w:rsidR="00F02566" w:rsidRDefault="00F02566" w:rsidP="005A6609">
      <w:pPr>
        <w:rPr>
          <w:rFonts w:ascii="Arial" w:hAnsi="Arial" w:cs="Arial"/>
          <w:bCs/>
          <w:sz w:val="24"/>
          <w:szCs w:val="24"/>
        </w:rPr>
      </w:pPr>
    </w:p>
    <w:p w14:paraId="01DDCE0D" w14:textId="66F71140" w:rsidR="00F02566" w:rsidRDefault="0009032C" w:rsidP="005A6609">
      <w:pPr>
        <w:rPr>
          <w:rFonts w:ascii="Arial" w:hAnsi="Arial" w:cs="Arial"/>
          <w:bCs/>
          <w:sz w:val="24"/>
          <w:szCs w:val="24"/>
        </w:rPr>
      </w:pPr>
      <w:r>
        <w:object w:dxaOrig="6231" w:dyaOrig="4759" w14:anchorId="4C870F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5.5pt;height:156pt" o:ole="">
            <v:imagedata r:id="rId20" o:title=""/>
          </v:shape>
          <o:OLEObject Type="Embed" ProgID="Prism7.Document" ShapeID="_x0000_i1025" DrawAspect="Content" ObjectID="_1688815429" r:id="rId21"/>
        </w:object>
      </w:r>
    </w:p>
    <w:p w14:paraId="31DA0DAA" w14:textId="6B1F81CB" w:rsidR="003F701D" w:rsidRPr="00784F25" w:rsidRDefault="00CD2F46" w:rsidP="005A6609">
      <w:pPr>
        <w:rPr>
          <w:rFonts w:ascii="Arial" w:hAnsi="Arial" w:cs="Arial"/>
          <w:bCs/>
          <w:sz w:val="20"/>
          <w:szCs w:val="20"/>
        </w:rPr>
      </w:pPr>
      <w:r w:rsidRPr="00CD2F46">
        <w:rPr>
          <w:rFonts w:ascii="Arial" w:hAnsi="Arial" w:cs="Arial"/>
          <w:bCs/>
          <w:noProof/>
          <w:sz w:val="24"/>
          <w:szCs w:val="24"/>
        </w:rPr>
        <w:drawing>
          <wp:anchor distT="0" distB="0" distL="114300" distR="114300" simplePos="0" relativeHeight="251651072" behindDoc="0" locked="0" layoutInCell="1" allowOverlap="1" wp14:anchorId="26923C1F" wp14:editId="613D6D94">
            <wp:simplePos x="0" y="0"/>
            <wp:positionH relativeFrom="column">
              <wp:posOffset>1566545</wp:posOffset>
            </wp:positionH>
            <wp:positionV relativeFrom="paragraph">
              <wp:posOffset>457835</wp:posOffset>
            </wp:positionV>
            <wp:extent cx="1130300" cy="1331595"/>
            <wp:effectExtent l="13652" t="24448" r="26353" b="26352"/>
            <wp:wrapSquare wrapText="bothSides"/>
            <wp:docPr id="47" name="Picture 46">
              <a:extLst xmlns:a="http://schemas.openxmlformats.org/drawingml/2006/main">
                <a:ext uri="{FF2B5EF4-FFF2-40B4-BE49-F238E27FC236}">
                  <a16:creationId xmlns:a16="http://schemas.microsoft.com/office/drawing/2014/main" id="{E98A876A-411D-45A0-9D7A-73C95135A5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a:extLst>
                        <a:ext uri="{FF2B5EF4-FFF2-40B4-BE49-F238E27FC236}">
                          <a16:creationId xmlns:a16="http://schemas.microsoft.com/office/drawing/2014/main" id="{E98A876A-411D-45A0-9D7A-73C95135A5B2}"/>
                        </a:ext>
                      </a:extLst>
                    </pic:cNvPr>
                    <pic:cNvPicPr>
                      <a:picLocks noChangeAspect="1"/>
                    </pic:cNvPicPr>
                  </pic:nvPicPr>
                  <pic:blipFill rotWithShape="1">
                    <a:blip r:embed="rId22">
                      <a:extLst>
                        <a:ext uri="{28A0092B-C50C-407E-A947-70E740481C1C}">
                          <a14:useLocalDpi xmlns:a14="http://schemas.microsoft.com/office/drawing/2010/main"/>
                        </a:ext>
                      </a:extLst>
                    </a:blip>
                    <a:srcRect l="2922"/>
                    <a:stretch/>
                  </pic:blipFill>
                  <pic:spPr>
                    <a:xfrm rot="5400000">
                      <a:off x="0" y="0"/>
                      <a:ext cx="1130300" cy="1331595"/>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003F701D" w:rsidRPr="00784F25">
        <w:rPr>
          <w:rFonts w:ascii="Arial" w:hAnsi="Arial" w:cs="Arial"/>
          <w:b/>
          <w:sz w:val="20"/>
          <w:szCs w:val="20"/>
        </w:rPr>
        <w:t>Figure S</w:t>
      </w:r>
      <w:r w:rsidR="00BB453F">
        <w:rPr>
          <w:rFonts w:ascii="Arial" w:hAnsi="Arial" w:cs="Arial"/>
          <w:b/>
          <w:sz w:val="20"/>
          <w:szCs w:val="20"/>
        </w:rPr>
        <w:t>11</w:t>
      </w:r>
      <w:r w:rsidR="003F701D" w:rsidRPr="00784F25">
        <w:rPr>
          <w:rFonts w:ascii="Arial" w:hAnsi="Arial" w:cs="Arial"/>
          <w:bCs/>
          <w:sz w:val="20"/>
          <w:szCs w:val="20"/>
        </w:rPr>
        <w:t>.</w:t>
      </w:r>
      <w:r w:rsidR="00953EFA" w:rsidRPr="00784F25">
        <w:rPr>
          <w:rFonts w:ascii="Arial" w:hAnsi="Arial" w:cs="Arial"/>
          <w:bCs/>
          <w:sz w:val="20"/>
          <w:szCs w:val="20"/>
        </w:rPr>
        <w:t xml:space="preserve"> Systemic clearance for IV dosed scFv fusion proteins labeled with </w:t>
      </w:r>
      <w:r w:rsidR="00857868">
        <w:rPr>
          <w:rFonts w:ascii="Arial" w:hAnsi="Arial" w:cs="Arial"/>
          <w:bCs/>
          <w:sz w:val="20"/>
          <w:szCs w:val="20"/>
        </w:rPr>
        <w:t xml:space="preserve">IRDye </w:t>
      </w:r>
      <w:r w:rsidR="00953EFA" w:rsidRPr="00784F25">
        <w:rPr>
          <w:rFonts w:ascii="Arial" w:hAnsi="Arial" w:cs="Arial"/>
          <w:bCs/>
          <w:sz w:val="20"/>
          <w:szCs w:val="20"/>
        </w:rPr>
        <w:t xml:space="preserve">800CW. </w:t>
      </w:r>
      <w:r w:rsidR="005A398F" w:rsidRPr="00784F25">
        <w:rPr>
          <w:rFonts w:ascii="Arial" w:hAnsi="Arial" w:cs="Arial"/>
          <w:bCs/>
          <w:sz w:val="20"/>
          <w:szCs w:val="20"/>
        </w:rPr>
        <w:t>The non-targeting scFv was used to estimate non-specific</w:t>
      </w:r>
      <w:r w:rsidR="000B3C3A" w:rsidRPr="00784F25">
        <w:rPr>
          <w:rFonts w:ascii="Arial" w:hAnsi="Arial" w:cs="Arial"/>
          <w:bCs/>
          <w:sz w:val="20"/>
          <w:szCs w:val="20"/>
        </w:rPr>
        <w:t xml:space="preserve"> signal</w:t>
      </w:r>
      <w:r w:rsidR="009E791F" w:rsidRPr="00784F25">
        <w:rPr>
          <w:rFonts w:ascii="Arial" w:hAnsi="Arial" w:cs="Arial"/>
          <w:bCs/>
          <w:sz w:val="20"/>
          <w:szCs w:val="20"/>
        </w:rPr>
        <w:t xml:space="preserve"> in the diseased colon.</w:t>
      </w:r>
    </w:p>
    <w:p w14:paraId="3155E8EB" w14:textId="45053B19" w:rsidR="002627FB" w:rsidRPr="00953EFA" w:rsidRDefault="00CD2F46" w:rsidP="005A6609">
      <w:pPr>
        <w:rPr>
          <w:rFonts w:ascii="Arial" w:hAnsi="Arial" w:cs="Arial"/>
          <w:bCs/>
          <w:sz w:val="24"/>
          <w:szCs w:val="24"/>
        </w:rPr>
      </w:pPr>
      <w:r w:rsidRPr="00CD2F46">
        <w:rPr>
          <w:rFonts w:ascii="Arial" w:hAnsi="Arial" w:cs="Arial"/>
          <w:bCs/>
          <w:noProof/>
          <w:sz w:val="24"/>
          <w:szCs w:val="24"/>
        </w:rPr>
        <w:drawing>
          <wp:anchor distT="0" distB="0" distL="114300" distR="114300" simplePos="0" relativeHeight="251640832" behindDoc="0" locked="0" layoutInCell="1" allowOverlap="1" wp14:anchorId="76566721" wp14:editId="324119F5">
            <wp:simplePos x="0" y="0"/>
            <wp:positionH relativeFrom="column">
              <wp:posOffset>-25400</wp:posOffset>
            </wp:positionH>
            <wp:positionV relativeFrom="paragraph">
              <wp:posOffset>101600</wp:posOffset>
            </wp:positionV>
            <wp:extent cx="1332162" cy="1130363"/>
            <wp:effectExtent l="19050" t="19050" r="20955" b="12700"/>
            <wp:wrapSquare wrapText="bothSides"/>
            <wp:docPr id="46" name="Picture 45" descr="A picture containing invertebrate, coelenterate, monitor, television&#10;&#10;Description automatically generated">
              <a:extLst xmlns:a="http://schemas.openxmlformats.org/drawingml/2006/main">
                <a:ext uri="{FF2B5EF4-FFF2-40B4-BE49-F238E27FC236}">
                  <a16:creationId xmlns:a16="http://schemas.microsoft.com/office/drawing/2014/main" id="{90D96B1F-5146-4DBD-AC7E-2E722246A8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descr="A picture containing invertebrate, coelenterate, monitor, television&#10;&#10;Description automatically generated">
                      <a:extLst>
                        <a:ext uri="{FF2B5EF4-FFF2-40B4-BE49-F238E27FC236}">
                          <a16:creationId xmlns:a16="http://schemas.microsoft.com/office/drawing/2014/main" id="{90D96B1F-5146-4DBD-AC7E-2E722246A809}"/>
                        </a:ext>
                      </a:extLst>
                    </pic:cNvPr>
                    <pic:cNvPicPr>
                      <a:picLocks noChangeAspect="1"/>
                    </pic:cNvPicPr>
                  </pic:nvPicPr>
                  <pic:blipFill rotWithShape="1">
                    <a:blip r:embed="rId23">
                      <a:extLst>
                        <a:ext uri="{28A0092B-C50C-407E-A947-70E740481C1C}">
                          <a14:useLocalDpi xmlns:a14="http://schemas.microsoft.com/office/drawing/2010/main"/>
                        </a:ext>
                      </a:extLst>
                    </a:blip>
                    <a:srcRect t="2922"/>
                    <a:stretch/>
                  </pic:blipFill>
                  <pic:spPr>
                    <a:xfrm>
                      <a:off x="0" y="0"/>
                      <a:ext cx="1332162" cy="1130363"/>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p>
    <w:p w14:paraId="4530ECFD" w14:textId="4C75C8E6" w:rsidR="003F701D" w:rsidRDefault="003F701D" w:rsidP="005A6609">
      <w:pPr>
        <w:rPr>
          <w:rFonts w:ascii="Arial" w:hAnsi="Arial" w:cs="Arial"/>
          <w:bCs/>
          <w:sz w:val="24"/>
          <w:szCs w:val="24"/>
        </w:rPr>
      </w:pPr>
    </w:p>
    <w:p w14:paraId="72085902" w14:textId="77777777" w:rsidR="00CD2F46" w:rsidRDefault="00CD2F46" w:rsidP="002627FB">
      <w:pPr>
        <w:rPr>
          <w:rFonts w:ascii="Arial" w:hAnsi="Arial" w:cs="Arial"/>
          <w:b/>
          <w:sz w:val="20"/>
          <w:szCs w:val="20"/>
        </w:rPr>
      </w:pPr>
    </w:p>
    <w:p w14:paraId="7FB88E6A" w14:textId="77777777" w:rsidR="00CD2F46" w:rsidRDefault="00CD2F46" w:rsidP="002627FB">
      <w:pPr>
        <w:rPr>
          <w:rFonts w:ascii="Arial" w:hAnsi="Arial" w:cs="Arial"/>
          <w:b/>
          <w:sz w:val="20"/>
          <w:szCs w:val="20"/>
        </w:rPr>
      </w:pPr>
    </w:p>
    <w:p w14:paraId="3327831D" w14:textId="77777777" w:rsidR="00CD2F46" w:rsidRDefault="00CD2F46" w:rsidP="002627FB">
      <w:pPr>
        <w:rPr>
          <w:rFonts w:ascii="Arial" w:hAnsi="Arial" w:cs="Arial"/>
          <w:b/>
          <w:sz w:val="20"/>
          <w:szCs w:val="20"/>
        </w:rPr>
      </w:pPr>
    </w:p>
    <w:p w14:paraId="4B3F7B55" w14:textId="2B59942D" w:rsidR="002627FB" w:rsidRPr="005A544C" w:rsidRDefault="002627FB" w:rsidP="002627FB">
      <w:pPr>
        <w:rPr>
          <w:rFonts w:ascii="Arial" w:hAnsi="Arial" w:cs="Arial"/>
          <w:bCs/>
          <w:sz w:val="20"/>
          <w:szCs w:val="20"/>
        </w:rPr>
      </w:pPr>
      <w:r w:rsidRPr="00784F25">
        <w:rPr>
          <w:rFonts w:ascii="Arial" w:hAnsi="Arial" w:cs="Arial"/>
          <w:b/>
          <w:sz w:val="20"/>
          <w:szCs w:val="20"/>
        </w:rPr>
        <w:t>Figure S</w:t>
      </w:r>
      <w:r w:rsidR="00BB453F">
        <w:rPr>
          <w:rFonts w:ascii="Arial" w:hAnsi="Arial" w:cs="Arial"/>
          <w:b/>
          <w:sz w:val="20"/>
          <w:szCs w:val="20"/>
        </w:rPr>
        <w:t>12</w:t>
      </w:r>
      <w:r w:rsidR="005A544C">
        <w:rPr>
          <w:rFonts w:ascii="Arial" w:hAnsi="Arial" w:cs="Arial"/>
          <w:bCs/>
          <w:sz w:val="20"/>
          <w:szCs w:val="20"/>
        </w:rPr>
        <w:t xml:space="preserve">. Near infrared images of inflamed (left) and healthy (right) colons sections from the same primate. </w:t>
      </w:r>
      <w:r w:rsidR="00F26668">
        <w:rPr>
          <w:rFonts w:ascii="Arial" w:hAnsi="Arial" w:cs="Arial"/>
          <w:bCs/>
          <w:sz w:val="20"/>
          <w:szCs w:val="20"/>
        </w:rPr>
        <w:t xml:space="preserve">There is increased diffuse fluorescent signal in the diseased </w:t>
      </w:r>
      <w:r w:rsidR="0044576B">
        <w:rPr>
          <w:rFonts w:ascii="Arial" w:hAnsi="Arial" w:cs="Arial"/>
          <w:bCs/>
          <w:sz w:val="20"/>
          <w:szCs w:val="20"/>
        </w:rPr>
        <w:t xml:space="preserve">segment, likely due to a combination of specific and non-specific </w:t>
      </w:r>
      <w:r w:rsidR="00FF0D00">
        <w:rPr>
          <w:rFonts w:ascii="Arial" w:hAnsi="Arial" w:cs="Arial"/>
          <w:bCs/>
          <w:sz w:val="20"/>
          <w:szCs w:val="20"/>
        </w:rPr>
        <w:t>uptake</w:t>
      </w:r>
      <w:r w:rsidR="0044576B">
        <w:rPr>
          <w:rFonts w:ascii="Arial" w:hAnsi="Arial" w:cs="Arial"/>
          <w:bCs/>
          <w:sz w:val="20"/>
          <w:szCs w:val="20"/>
        </w:rPr>
        <w:t>.</w:t>
      </w:r>
    </w:p>
    <w:p w14:paraId="0A0F677D" w14:textId="0C5B8469" w:rsidR="003F701D" w:rsidRDefault="008043C0" w:rsidP="005A6609">
      <w:pPr>
        <w:rPr>
          <w:rFonts w:ascii="Arial" w:hAnsi="Arial" w:cs="Arial"/>
          <w:bCs/>
          <w:sz w:val="24"/>
          <w:szCs w:val="24"/>
        </w:rPr>
      </w:pPr>
      <w:r>
        <w:rPr>
          <w:rFonts w:ascii="Arial" w:hAnsi="Arial" w:cs="Arial"/>
          <w:bCs/>
          <w:sz w:val="24"/>
          <w:szCs w:val="24"/>
        </w:rPr>
        <w:lastRenderedPageBreak/>
        <w:t>Biopsies samples were removed at 24</w:t>
      </w:r>
      <w:r w:rsidR="00857868">
        <w:rPr>
          <w:rFonts w:ascii="Arial" w:hAnsi="Arial" w:cs="Arial"/>
          <w:bCs/>
          <w:sz w:val="24"/>
          <w:szCs w:val="24"/>
        </w:rPr>
        <w:t xml:space="preserve"> </w:t>
      </w:r>
      <w:r>
        <w:rPr>
          <w:rFonts w:ascii="Arial" w:hAnsi="Arial" w:cs="Arial"/>
          <w:bCs/>
          <w:sz w:val="24"/>
          <w:szCs w:val="24"/>
        </w:rPr>
        <w:t xml:space="preserve">h to estimate </w:t>
      </w:r>
      <w:r w:rsidR="0081691A">
        <w:rPr>
          <w:rFonts w:ascii="Arial" w:hAnsi="Arial" w:cs="Arial"/>
          <w:bCs/>
          <w:sz w:val="24"/>
          <w:szCs w:val="24"/>
        </w:rPr>
        <w:t xml:space="preserve">colon concentration of dosed scFv fusion proteins. Following resection, the biopsies were digested using a mixture of collagenase type IV and RIPA buffer, followed by trypsin and sonication. The </w:t>
      </w:r>
      <w:r w:rsidR="00012C78">
        <w:rPr>
          <w:rFonts w:ascii="Arial" w:hAnsi="Arial" w:cs="Arial"/>
          <w:bCs/>
          <w:sz w:val="24"/>
          <w:szCs w:val="24"/>
        </w:rPr>
        <w:t xml:space="preserve">fluorescent signal was measured using a NIR Odyssey CLx scanner and converted to ng/g using fluorescent standards of known digested amounts of dosed protein. </w:t>
      </w:r>
      <w:r w:rsidR="005E2914">
        <w:rPr>
          <w:rFonts w:ascii="Arial" w:hAnsi="Arial" w:cs="Arial"/>
          <w:bCs/>
          <w:sz w:val="24"/>
          <w:szCs w:val="24"/>
        </w:rPr>
        <w:t xml:space="preserve">While the inflamed biopsy had 2-fold higher concentration of ABBV022-800CW compared to healthy tissue, a similar trend was observed for the non-targeting scFv protein. This </w:t>
      </w:r>
      <w:r w:rsidR="00F04287">
        <w:rPr>
          <w:rFonts w:ascii="Arial" w:hAnsi="Arial" w:cs="Arial"/>
          <w:bCs/>
          <w:sz w:val="24"/>
          <w:szCs w:val="24"/>
        </w:rPr>
        <w:t>suggests non-specific</w:t>
      </w:r>
      <w:r w:rsidR="003F6E7A">
        <w:rPr>
          <w:rFonts w:ascii="Arial" w:hAnsi="Arial" w:cs="Arial"/>
          <w:bCs/>
          <w:sz w:val="24"/>
          <w:szCs w:val="24"/>
        </w:rPr>
        <w:t xml:space="preserve"> signal</w:t>
      </w:r>
      <w:r w:rsidR="00D93E2B">
        <w:rPr>
          <w:rFonts w:ascii="Arial" w:hAnsi="Arial" w:cs="Arial"/>
          <w:bCs/>
          <w:sz w:val="24"/>
          <w:szCs w:val="24"/>
        </w:rPr>
        <w:t xml:space="preserve"> on the organ level and</w:t>
      </w:r>
      <w:r w:rsidR="00D405C4">
        <w:rPr>
          <w:rFonts w:ascii="Arial" w:hAnsi="Arial" w:cs="Arial"/>
          <w:bCs/>
          <w:sz w:val="24"/>
          <w:szCs w:val="24"/>
        </w:rPr>
        <w:t xml:space="preserve"> </w:t>
      </w:r>
      <w:r w:rsidR="00F04287">
        <w:rPr>
          <w:rFonts w:ascii="Arial" w:hAnsi="Arial" w:cs="Arial"/>
          <w:bCs/>
          <w:sz w:val="24"/>
          <w:szCs w:val="24"/>
        </w:rPr>
        <w:t>microscopy was used to confirm</w:t>
      </w:r>
      <w:r w:rsidR="00D93E2B">
        <w:rPr>
          <w:rFonts w:ascii="Arial" w:hAnsi="Arial" w:cs="Arial"/>
          <w:bCs/>
          <w:sz w:val="24"/>
          <w:szCs w:val="24"/>
        </w:rPr>
        <w:t xml:space="preserve"> cellular-level </w:t>
      </w:r>
      <w:r w:rsidR="00F04287">
        <w:rPr>
          <w:rFonts w:ascii="Arial" w:hAnsi="Arial" w:cs="Arial"/>
          <w:bCs/>
          <w:sz w:val="24"/>
          <w:szCs w:val="24"/>
        </w:rPr>
        <w:t>TNC D specificity.</w:t>
      </w:r>
    </w:p>
    <w:p w14:paraId="374650AE" w14:textId="77777777" w:rsidR="00831C3D" w:rsidRDefault="00831C3D" w:rsidP="005A6609">
      <w:pPr>
        <w:rPr>
          <w:rFonts w:ascii="Arial" w:hAnsi="Arial" w:cs="Arial"/>
          <w:bCs/>
          <w:sz w:val="24"/>
          <w:szCs w:val="24"/>
        </w:rPr>
      </w:pPr>
    </w:p>
    <w:p w14:paraId="397943F5" w14:textId="1D674805" w:rsidR="003F701D" w:rsidRPr="005D046D" w:rsidRDefault="00831C3D" w:rsidP="005A6609">
      <w:pPr>
        <w:rPr>
          <w:rFonts w:ascii="Arial" w:hAnsi="Arial" w:cs="Arial"/>
          <w:bCs/>
          <w:sz w:val="24"/>
          <w:szCs w:val="24"/>
        </w:rPr>
      </w:pPr>
      <w:r w:rsidRPr="00831C3D">
        <w:rPr>
          <w:rFonts w:ascii="Arial" w:hAnsi="Arial" w:cs="Arial"/>
          <w:bCs/>
          <w:noProof/>
          <w:sz w:val="24"/>
          <w:szCs w:val="24"/>
        </w:rPr>
        <w:drawing>
          <wp:anchor distT="0" distB="0" distL="114300" distR="114300" simplePos="0" relativeHeight="251682816" behindDoc="0" locked="0" layoutInCell="1" allowOverlap="1" wp14:anchorId="791F892E" wp14:editId="0C6C6722">
            <wp:simplePos x="0" y="0"/>
            <wp:positionH relativeFrom="column">
              <wp:posOffset>3054350</wp:posOffset>
            </wp:positionH>
            <wp:positionV relativeFrom="paragraph">
              <wp:posOffset>27940</wp:posOffset>
            </wp:positionV>
            <wp:extent cx="1431290" cy="1219200"/>
            <wp:effectExtent l="19050" t="19050" r="16510" b="19050"/>
            <wp:wrapSquare wrapText="bothSides"/>
            <wp:docPr id="31" name="Picture 30" descr="A screenshot of a video game&#10;&#10;Description automatically generated with medium confidence">
              <a:extLst xmlns:a="http://schemas.openxmlformats.org/drawingml/2006/main">
                <a:ext uri="{FF2B5EF4-FFF2-40B4-BE49-F238E27FC236}">
                  <a16:creationId xmlns:a16="http://schemas.microsoft.com/office/drawing/2014/main" id="{CDC717C7-2920-4E9D-B91E-544B8CD8C8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descr="A screenshot of a video game&#10;&#10;Description automatically generated with medium confidence">
                      <a:extLst>
                        <a:ext uri="{FF2B5EF4-FFF2-40B4-BE49-F238E27FC236}">
                          <a16:creationId xmlns:a16="http://schemas.microsoft.com/office/drawing/2014/main" id="{CDC717C7-2920-4E9D-B91E-544B8CD8C870}"/>
                        </a:ext>
                      </a:extLst>
                    </pic:cNvPr>
                    <pic:cNvPicPr>
                      <a:picLocks noChangeAspect="1"/>
                    </pic:cNvPicPr>
                  </pic:nvPicPr>
                  <pic:blipFill rotWithShape="1">
                    <a:blip r:embed="rId24">
                      <a:extLst>
                        <a:ext uri="{28A0092B-C50C-407E-A947-70E740481C1C}">
                          <a14:useLocalDpi xmlns:a14="http://schemas.microsoft.com/office/drawing/2010/main"/>
                        </a:ext>
                      </a:extLst>
                    </a:blip>
                    <a:srcRect l="11710"/>
                    <a:stretch/>
                  </pic:blipFill>
                  <pic:spPr>
                    <a:xfrm>
                      <a:off x="0" y="0"/>
                      <a:ext cx="1431290" cy="1219200"/>
                    </a:xfrm>
                    <a:prstGeom prst="rect">
                      <a:avLst/>
                    </a:prstGeom>
                    <a:ln w="12700">
                      <a:solidFill>
                        <a:schemeClr val="tx1"/>
                      </a:solidFill>
                    </a:ln>
                  </pic:spPr>
                </pic:pic>
              </a:graphicData>
            </a:graphic>
            <wp14:sizeRelH relativeFrom="margin">
              <wp14:pctWidth>0</wp14:pctWidth>
            </wp14:sizeRelH>
            <wp14:sizeRelV relativeFrom="margin">
              <wp14:pctHeight>0</wp14:pctHeight>
            </wp14:sizeRelV>
          </wp:anchor>
        </w:drawing>
      </w:r>
      <w:r w:rsidRPr="00831C3D">
        <w:rPr>
          <w:rFonts w:ascii="Arial" w:hAnsi="Arial" w:cs="Arial"/>
          <w:bCs/>
          <w:noProof/>
          <w:sz w:val="24"/>
          <w:szCs w:val="24"/>
        </w:rPr>
        <w:drawing>
          <wp:anchor distT="0" distB="0" distL="114300" distR="114300" simplePos="0" relativeHeight="251673600" behindDoc="0" locked="0" layoutInCell="1" allowOverlap="1" wp14:anchorId="739F9EB7" wp14:editId="746B2B70">
            <wp:simplePos x="0" y="0"/>
            <wp:positionH relativeFrom="column">
              <wp:posOffset>1543050</wp:posOffset>
            </wp:positionH>
            <wp:positionV relativeFrom="paragraph">
              <wp:posOffset>34290</wp:posOffset>
            </wp:positionV>
            <wp:extent cx="1423035" cy="1206500"/>
            <wp:effectExtent l="19050" t="19050" r="24765" b="12700"/>
            <wp:wrapSquare wrapText="bothSides"/>
            <wp:docPr id="27" name="Picture 26" descr="A picture containing ceramic ware, porcelain&#10;&#10;Description automatically generated">
              <a:extLst xmlns:a="http://schemas.openxmlformats.org/drawingml/2006/main">
                <a:ext uri="{FF2B5EF4-FFF2-40B4-BE49-F238E27FC236}">
                  <a16:creationId xmlns:a16="http://schemas.microsoft.com/office/drawing/2014/main" id="{84879B10-35DF-48C4-9124-0A82CBA894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descr="A picture containing ceramic ware, porcelain&#10;&#10;Description automatically generated">
                      <a:extLst>
                        <a:ext uri="{FF2B5EF4-FFF2-40B4-BE49-F238E27FC236}">
                          <a16:creationId xmlns:a16="http://schemas.microsoft.com/office/drawing/2014/main" id="{84879B10-35DF-48C4-9124-0A82CBA89446}"/>
                        </a:ext>
                      </a:extLst>
                    </pic:cNvPr>
                    <pic:cNvPicPr>
                      <a:picLocks noChangeAspect="1"/>
                    </pic:cNvPicPr>
                  </pic:nvPicPr>
                  <pic:blipFill rotWithShape="1">
                    <a:blip r:embed="rId25">
                      <a:extLst>
                        <a:ext uri="{28A0092B-C50C-407E-A947-70E740481C1C}">
                          <a14:useLocalDpi xmlns:a14="http://schemas.microsoft.com/office/drawing/2010/main"/>
                        </a:ext>
                      </a:extLst>
                    </a:blip>
                    <a:srcRect l="11905"/>
                    <a:stretch/>
                  </pic:blipFill>
                  <pic:spPr>
                    <a:xfrm>
                      <a:off x="0" y="0"/>
                      <a:ext cx="1423035" cy="1206500"/>
                    </a:xfrm>
                    <a:prstGeom prst="rect">
                      <a:avLst/>
                    </a:prstGeom>
                    <a:ln w="12700" cap="sq">
                      <a:solidFill>
                        <a:schemeClr val="tx1"/>
                      </a:solidFill>
                    </a:ln>
                  </pic:spPr>
                </pic:pic>
              </a:graphicData>
            </a:graphic>
            <wp14:sizeRelH relativeFrom="margin">
              <wp14:pctWidth>0</wp14:pctWidth>
            </wp14:sizeRelH>
            <wp14:sizeRelV relativeFrom="margin">
              <wp14:pctHeight>0</wp14:pctHeight>
            </wp14:sizeRelV>
          </wp:anchor>
        </w:drawing>
      </w:r>
      <w:r w:rsidRPr="00831C3D">
        <w:rPr>
          <w:rFonts w:ascii="Arial" w:hAnsi="Arial" w:cs="Arial"/>
          <w:bCs/>
          <w:noProof/>
          <w:sz w:val="24"/>
          <w:szCs w:val="24"/>
        </w:rPr>
        <w:drawing>
          <wp:anchor distT="0" distB="0" distL="114300" distR="114300" simplePos="0" relativeHeight="251662336" behindDoc="0" locked="0" layoutInCell="1" allowOverlap="1" wp14:anchorId="6BD1C826" wp14:editId="7A6AD9D4">
            <wp:simplePos x="0" y="0"/>
            <wp:positionH relativeFrom="column">
              <wp:posOffset>0</wp:posOffset>
            </wp:positionH>
            <wp:positionV relativeFrom="paragraph">
              <wp:posOffset>21590</wp:posOffset>
            </wp:positionV>
            <wp:extent cx="1423035" cy="1212850"/>
            <wp:effectExtent l="19050" t="19050" r="24765" b="25400"/>
            <wp:wrapSquare wrapText="bothSides"/>
            <wp:docPr id="26" name="Picture 25">
              <a:extLst xmlns:a="http://schemas.openxmlformats.org/drawingml/2006/main">
                <a:ext uri="{FF2B5EF4-FFF2-40B4-BE49-F238E27FC236}">
                  <a16:creationId xmlns:a16="http://schemas.microsoft.com/office/drawing/2014/main" id="{3D247190-66B2-4CA2-A222-460D8E4FB0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5">
                      <a:extLst>
                        <a:ext uri="{FF2B5EF4-FFF2-40B4-BE49-F238E27FC236}">
                          <a16:creationId xmlns:a16="http://schemas.microsoft.com/office/drawing/2014/main" id="{3D247190-66B2-4CA2-A222-460D8E4FB0C0}"/>
                        </a:ext>
                      </a:extLst>
                    </pic:cNvPr>
                    <pic:cNvPicPr>
                      <a:picLocks noChangeAspect="1"/>
                    </pic:cNvPicPr>
                  </pic:nvPicPr>
                  <pic:blipFill rotWithShape="1">
                    <a:blip r:embed="rId26">
                      <a:extLst>
                        <a:ext uri="{28A0092B-C50C-407E-A947-70E740481C1C}">
                          <a14:useLocalDpi xmlns:a14="http://schemas.microsoft.com/office/drawing/2010/main"/>
                        </a:ext>
                      </a:extLst>
                    </a:blip>
                    <a:srcRect/>
                    <a:stretch/>
                  </pic:blipFill>
                  <pic:spPr>
                    <a:xfrm>
                      <a:off x="0" y="0"/>
                      <a:ext cx="1423035" cy="1212850"/>
                    </a:xfrm>
                    <a:prstGeom prst="rect">
                      <a:avLst/>
                    </a:prstGeom>
                    <a:noFill/>
                    <a:ln w="12700" cap="sq">
                      <a:solidFill>
                        <a:schemeClr val="dk1">
                          <a:shade val="50000"/>
                        </a:schemeClr>
                      </a:solidFill>
                    </a:ln>
                  </pic:spPr>
                </pic:pic>
              </a:graphicData>
            </a:graphic>
            <wp14:sizeRelH relativeFrom="margin">
              <wp14:pctWidth>0</wp14:pctWidth>
            </wp14:sizeRelH>
            <wp14:sizeRelV relativeFrom="margin">
              <wp14:pctHeight>0</wp14:pctHeight>
            </wp14:sizeRelV>
          </wp:anchor>
        </w:drawing>
      </w:r>
    </w:p>
    <w:p w14:paraId="7B80E7BC" w14:textId="77777777" w:rsidR="00831C3D" w:rsidRDefault="00831C3D">
      <w:pPr>
        <w:rPr>
          <w:rFonts w:ascii="Arial" w:hAnsi="Arial" w:cs="Arial"/>
          <w:b/>
          <w:sz w:val="24"/>
          <w:szCs w:val="24"/>
        </w:rPr>
      </w:pPr>
    </w:p>
    <w:p w14:paraId="0F40F390" w14:textId="77777777" w:rsidR="00831C3D" w:rsidRDefault="00831C3D">
      <w:pPr>
        <w:rPr>
          <w:rFonts w:ascii="Arial" w:hAnsi="Arial" w:cs="Arial"/>
          <w:b/>
          <w:sz w:val="24"/>
          <w:szCs w:val="24"/>
        </w:rPr>
      </w:pPr>
    </w:p>
    <w:p w14:paraId="49A834DF" w14:textId="77777777" w:rsidR="00831C3D" w:rsidRDefault="00831C3D">
      <w:pPr>
        <w:rPr>
          <w:rFonts w:ascii="Arial" w:hAnsi="Arial" w:cs="Arial"/>
          <w:b/>
          <w:sz w:val="24"/>
          <w:szCs w:val="24"/>
        </w:rPr>
      </w:pPr>
    </w:p>
    <w:p w14:paraId="27F66B77" w14:textId="77777777" w:rsidR="00831C3D" w:rsidRDefault="00831C3D">
      <w:pPr>
        <w:rPr>
          <w:rFonts w:ascii="Arial" w:hAnsi="Arial" w:cs="Arial"/>
          <w:b/>
          <w:sz w:val="24"/>
          <w:szCs w:val="24"/>
        </w:rPr>
      </w:pPr>
    </w:p>
    <w:p w14:paraId="7AC54071" w14:textId="5FBE6CA9" w:rsidR="003F701D" w:rsidRDefault="00190F90">
      <w:pPr>
        <w:rPr>
          <w:rFonts w:ascii="Arial" w:hAnsi="Arial" w:cs="Arial"/>
          <w:b/>
          <w:sz w:val="24"/>
          <w:szCs w:val="24"/>
        </w:rPr>
      </w:pPr>
      <w:r w:rsidRPr="00784F25">
        <w:rPr>
          <w:rFonts w:ascii="Arial" w:hAnsi="Arial" w:cs="Arial"/>
          <w:b/>
          <w:sz w:val="20"/>
          <w:szCs w:val="20"/>
        </w:rPr>
        <w:t>Figure S</w:t>
      </w:r>
      <w:r w:rsidR="00BB453F">
        <w:rPr>
          <w:rFonts w:ascii="Arial" w:hAnsi="Arial" w:cs="Arial"/>
          <w:b/>
          <w:sz w:val="20"/>
          <w:szCs w:val="20"/>
        </w:rPr>
        <w:t>13</w:t>
      </w:r>
      <w:r w:rsidR="0044576B">
        <w:rPr>
          <w:rFonts w:ascii="Arial" w:hAnsi="Arial" w:cs="Arial"/>
          <w:bCs/>
          <w:sz w:val="20"/>
          <w:szCs w:val="20"/>
        </w:rPr>
        <w:t>. Hem</w:t>
      </w:r>
      <w:r w:rsidR="00FF2C54">
        <w:rPr>
          <w:rFonts w:ascii="Arial" w:hAnsi="Arial" w:cs="Arial"/>
          <w:bCs/>
          <w:sz w:val="20"/>
          <w:szCs w:val="20"/>
        </w:rPr>
        <w:t>a</w:t>
      </w:r>
      <w:r w:rsidR="0044576B">
        <w:rPr>
          <w:rFonts w:ascii="Arial" w:hAnsi="Arial" w:cs="Arial"/>
          <w:bCs/>
          <w:sz w:val="20"/>
          <w:szCs w:val="20"/>
        </w:rPr>
        <w:t xml:space="preserve">toxylin and </w:t>
      </w:r>
      <w:r w:rsidR="00FF2C54">
        <w:rPr>
          <w:rFonts w:ascii="Arial" w:hAnsi="Arial" w:cs="Arial"/>
          <w:bCs/>
          <w:sz w:val="20"/>
          <w:szCs w:val="20"/>
        </w:rPr>
        <w:t xml:space="preserve">eosin stain (left); TNC D IHC (middle); NIR image (right) for </w:t>
      </w:r>
      <w:r w:rsidR="001C22E7">
        <w:rPr>
          <w:rFonts w:ascii="Arial" w:hAnsi="Arial" w:cs="Arial"/>
          <w:bCs/>
          <w:sz w:val="20"/>
          <w:szCs w:val="20"/>
        </w:rPr>
        <w:t xml:space="preserve">healthy primate colon. There is a lack of </w:t>
      </w:r>
      <w:r w:rsidR="00D91E44">
        <w:rPr>
          <w:rFonts w:ascii="Arial" w:hAnsi="Arial" w:cs="Arial"/>
          <w:bCs/>
          <w:sz w:val="20"/>
          <w:szCs w:val="20"/>
        </w:rPr>
        <w:t xml:space="preserve">inflammatory cell </w:t>
      </w:r>
      <w:proofErr w:type="gramStart"/>
      <w:r w:rsidR="00D91E44">
        <w:rPr>
          <w:rFonts w:ascii="Arial" w:hAnsi="Arial" w:cs="Arial"/>
          <w:bCs/>
          <w:sz w:val="20"/>
          <w:szCs w:val="20"/>
        </w:rPr>
        <w:t>infiltrate</w:t>
      </w:r>
      <w:proofErr w:type="gramEnd"/>
      <w:r w:rsidR="00D91E44">
        <w:rPr>
          <w:rFonts w:ascii="Arial" w:hAnsi="Arial" w:cs="Arial"/>
          <w:bCs/>
          <w:sz w:val="20"/>
          <w:szCs w:val="20"/>
        </w:rPr>
        <w:t xml:space="preserve"> and faint TNC D signal is reserved to the </w:t>
      </w:r>
      <w:r w:rsidR="009630C3">
        <w:rPr>
          <w:rFonts w:ascii="Arial" w:hAnsi="Arial" w:cs="Arial"/>
          <w:bCs/>
          <w:sz w:val="20"/>
          <w:szCs w:val="20"/>
        </w:rPr>
        <w:t>muscularis in both the IHC and NIR images.</w:t>
      </w:r>
    </w:p>
    <w:sectPr w:rsidR="003F70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002"/>
    <w:rsid w:val="00004FAC"/>
    <w:rsid w:val="00012C64"/>
    <w:rsid w:val="00012C78"/>
    <w:rsid w:val="0001795D"/>
    <w:rsid w:val="00024C73"/>
    <w:rsid w:val="0003104D"/>
    <w:rsid w:val="00032AC1"/>
    <w:rsid w:val="00042E56"/>
    <w:rsid w:val="0005028C"/>
    <w:rsid w:val="00057CDA"/>
    <w:rsid w:val="00061AA8"/>
    <w:rsid w:val="00065ED4"/>
    <w:rsid w:val="0007047D"/>
    <w:rsid w:val="00071421"/>
    <w:rsid w:val="0007610D"/>
    <w:rsid w:val="0009032C"/>
    <w:rsid w:val="000A3715"/>
    <w:rsid w:val="000B3C3A"/>
    <w:rsid w:val="000B5125"/>
    <w:rsid w:val="000B70FB"/>
    <w:rsid w:val="000E3A37"/>
    <w:rsid w:val="000E5DC6"/>
    <w:rsid w:val="000F06EA"/>
    <w:rsid w:val="0010106C"/>
    <w:rsid w:val="0012161A"/>
    <w:rsid w:val="00146236"/>
    <w:rsid w:val="00146A5F"/>
    <w:rsid w:val="00190F90"/>
    <w:rsid w:val="001A178C"/>
    <w:rsid w:val="001A3665"/>
    <w:rsid w:val="001C22E7"/>
    <w:rsid w:val="001D53E9"/>
    <w:rsid w:val="001E03ED"/>
    <w:rsid w:val="001F1F18"/>
    <w:rsid w:val="001F5BF7"/>
    <w:rsid w:val="00200B8D"/>
    <w:rsid w:val="00212DB7"/>
    <w:rsid w:val="0022785D"/>
    <w:rsid w:val="00235398"/>
    <w:rsid w:val="00242D17"/>
    <w:rsid w:val="00242E21"/>
    <w:rsid w:val="00260C35"/>
    <w:rsid w:val="002627FB"/>
    <w:rsid w:val="0027755D"/>
    <w:rsid w:val="002852AF"/>
    <w:rsid w:val="002A3964"/>
    <w:rsid w:val="002C6558"/>
    <w:rsid w:val="002D389D"/>
    <w:rsid w:val="002D706E"/>
    <w:rsid w:val="002E11AC"/>
    <w:rsid w:val="002E1E96"/>
    <w:rsid w:val="002E59D9"/>
    <w:rsid w:val="003316B4"/>
    <w:rsid w:val="00355452"/>
    <w:rsid w:val="00356DFC"/>
    <w:rsid w:val="00360AE8"/>
    <w:rsid w:val="003626DA"/>
    <w:rsid w:val="00375A89"/>
    <w:rsid w:val="003A590D"/>
    <w:rsid w:val="003F3DBF"/>
    <w:rsid w:val="003F3F3F"/>
    <w:rsid w:val="003F6E7A"/>
    <w:rsid w:val="003F701D"/>
    <w:rsid w:val="004123C1"/>
    <w:rsid w:val="00425D81"/>
    <w:rsid w:val="004319A7"/>
    <w:rsid w:val="004368FE"/>
    <w:rsid w:val="0044576B"/>
    <w:rsid w:val="00452598"/>
    <w:rsid w:val="00452A35"/>
    <w:rsid w:val="00456316"/>
    <w:rsid w:val="00473E59"/>
    <w:rsid w:val="00474804"/>
    <w:rsid w:val="00494E04"/>
    <w:rsid w:val="004B2132"/>
    <w:rsid w:val="004B23AD"/>
    <w:rsid w:val="004C0845"/>
    <w:rsid w:val="004C20E4"/>
    <w:rsid w:val="004D102F"/>
    <w:rsid w:val="004F0741"/>
    <w:rsid w:val="00522B72"/>
    <w:rsid w:val="005314C9"/>
    <w:rsid w:val="00537449"/>
    <w:rsid w:val="005471DF"/>
    <w:rsid w:val="005807E8"/>
    <w:rsid w:val="00594876"/>
    <w:rsid w:val="00597687"/>
    <w:rsid w:val="005A398F"/>
    <w:rsid w:val="005A544C"/>
    <w:rsid w:val="005A6609"/>
    <w:rsid w:val="005B135B"/>
    <w:rsid w:val="005C0B6C"/>
    <w:rsid w:val="005D046D"/>
    <w:rsid w:val="005E2914"/>
    <w:rsid w:val="00611218"/>
    <w:rsid w:val="006139A2"/>
    <w:rsid w:val="00620754"/>
    <w:rsid w:val="006261BB"/>
    <w:rsid w:val="006526D1"/>
    <w:rsid w:val="0065327B"/>
    <w:rsid w:val="00675285"/>
    <w:rsid w:val="00675AEF"/>
    <w:rsid w:val="00690424"/>
    <w:rsid w:val="006A6A4E"/>
    <w:rsid w:val="006B3418"/>
    <w:rsid w:val="006B3680"/>
    <w:rsid w:val="006B3888"/>
    <w:rsid w:val="006E00E2"/>
    <w:rsid w:val="006E652C"/>
    <w:rsid w:val="006F5127"/>
    <w:rsid w:val="006F656D"/>
    <w:rsid w:val="007461C7"/>
    <w:rsid w:val="00754D55"/>
    <w:rsid w:val="0076329F"/>
    <w:rsid w:val="00784F25"/>
    <w:rsid w:val="00786E0C"/>
    <w:rsid w:val="00792A4A"/>
    <w:rsid w:val="007A09D9"/>
    <w:rsid w:val="007B4C51"/>
    <w:rsid w:val="007C2553"/>
    <w:rsid w:val="007C64B0"/>
    <w:rsid w:val="007F3152"/>
    <w:rsid w:val="007F7A73"/>
    <w:rsid w:val="008043C0"/>
    <w:rsid w:val="00815305"/>
    <w:rsid w:val="008161B9"/>
    <w:rsid w:val="0081691A"/>
    <w:rsid w:val="0082192B"/>
    <w:rsid w:val="00827E34"/>
    <w:rsid w:val="00831C3D"/>
    <w:rsid w:val="0083567C"/>
    <w:rsid w:val="00837A3E"/>
    <w:rsid w:val="0084625E"/>
    <w:rsid w:val="00852A04"/>
    <w:rsid w:val="00857868"/>
    <w:rsid w:val="00873C3F"/>
    <w:rsid w:val="00897942"/>
    <w:rsid w:val="008C01BE"/>
    <w:rsid w:val="008C4F41"/>
    <w:rsid w:val="008E1326"/>
    <w:rsid w:val="008E3365"/>
    <w:rsid w:val="008E7422"/>
    <w:rsid w:val="00905D92"/>
    <w:rsid w:val="00921164"/>
    <w:rsid w:val="00946B54"/>
    <w:rsid w:val="00953EFA"/>
    <w:rsid w:val="00961EF8"/>
    <w:rsid w:val="009630C3"/>
    <w:rsid w:val="00975A01"/>
    <w:rsid w:val="00983D55"/>
    <w:rsid w:val="009957CD"/>
    <w:rsid w:val="009A61EC"/>
    <w:rsid w:val="009B41B0"/>
    <w:rsid w:val="009D555E"/>
    <w:rsid w:val="009E05EE"/>
    <w:rsid w:val="009E791F"/>
    <w:rsid w:val="00A00F7F"/>
    <w:rsid w:val="00A01045"/>
    <w:rsid w:val="00A020BC"/>
    <w:rsid w:val="00A24760"/>
    <w:rsid w:val="00A362BF"/>
    <w:rsid w:val="00A40411"/>
    <w:rsid w:val="00A42A47"/>
    <w:rsid w:val="00AA6549"/>
    <w:rsid w:val="00AB73E5"/>
    <w:rsid w:val="00AC14AD"/>
    <w:rsid w:val="00AD64F1"/>
    <w:rsid w:val="00AE32B0"/>
    <w:rsid w:val="00B21140"/>
    <w:rsid w:val="00B21D68"/>
    <w:rsid w:val="00B21E44"/>
    <w:rsid w:val="00B22E29"/>
    <w:rsid w:val="00B41774"/>
    <w:rsid w:val="00B663A7"/>
    <w:rsid w:val="00B8515B"/>
    <w:rsid w:val="00BB453F"/>
    <w:rsid w:val="00BD6DEC"/>
    <w:rsid w:val="00C033B7"/>
    <w:rsid w:val="00C1695E"/>
    <w:rsid w:val="00C3031A"/>
    <w:rsid w:val="00C57D59"/>
    <w:rsid w:val="00C72181"/>
    <w:rsid w:val="00C80CF6"/>
    <w:rsid w:val="00C907D9"/>
    <w:rsid w:val="00C91D23"/>
    <w:rsid w:val="00CB7EBE"/>
    <w:rsid w:val="00CD2F46"/>
    <w:rsid w:val="00CE459A"/>
    <w:rsid w:val="00CF3F4D"/>
    <w:rsid w:val="00D00F64"/>
    <w:rsid w:val="00D032DE"/>
    <w:rsid w:val="00D12FA9"/>
    <w:rsid w:val="00D34611"/>
    <w:rsid w:val="00D405C4"/>
    <w:rsid w:val="00D53838"/>
    <w:rsid w:val="00D676F9"/>
    <w:rsid w:val="00D67A22"/>
    <w:rsid w:val="00D808EF"/>
    <w:rsid w:val="00D842B7"/>
    <w:rsid w:val="00D91E44"/>
    <w:rsid w:val="00D93E2B"/>
    <w:rsid w:val="00E14F3B"/>
    <w:rsid w:val="00E23899"/>
    <w:rsid w:val="00E27DF6"/>
    <w:rsid w:val="00E30B5F"/>
    <w:rsid w:val="00E369DB"/>
    <w:rsid w:val="00E44551"/>
    <w:rsid w:val="00E50429"/>
    <w:rsid w:val="00E752BC"/>
    <w:rsid w:val="00E77AE0"/>
    <w:rsid w:val="00E77E15"/>
    <w:rsid w:val="00E87142"/>
    <w:rsid w:val="00E93002"/>
    <w:rsid w:val="00EA55E1"/>
    <w:rsid w:val="00ED6157"/>
    <w:rsid w:val="00EE1140"/>
    <w:rsid w:val="00EF0B0A"/>
    <w:rsid w:val="00EF2EB9"/>
    <w:rsid w:val="00F02566"/>
    <w:rsid w:val="00F04287"/>
    <w:rsid w:val="00F26668"/>
    <w:rsid w:val="00F26C53"/>
    <w:rsid w:val="00F500F9"/>
    <w:rsid w:val="00F513D3"/>
    <w:rsid w:val="00F6016E"/>
    <w:rsid w:val="00F73173"/>
    <w:rsid w:val="00F80B9D"/>
    <w:rsid w:val="00F85EC1"/>
    <w:rsid w:val="00F879D8"/>
    <w:rsid w:val="00F92CD8"/>
    <w:rsid w:val="00FB0CFF"/>
    <w:rsid w:val="00FB7B41"/>
    <w:rsid w:val="00FF0D00"/>
    <w:rsid w:val="00FF2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0928440"/>
  <w15:docId w15:val="{1741695D-D493-4F79-A794-2EB8FD6ED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39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3964"/>
    <w:rPr>
      <w:rFonts w:ascii="Tahoma" w:hAnsi="Tahoma" w:cs="Tahoma"/>
      <w:sz w:val="16"/>
      <w:szCs w:val="16"/>
    </w:rPr>
  </w:style>
  <w:style w:type="paragraph" w:styleId="NormalWeb">
    <w:name w:val="Normal (Web)"/>
    <w:basedOn w:val="Normal"/>
    <w:uiPriority w:val="99"/>
    <w:semiHidden/>
    <w:unhideWhenUsed/>
    <w:rsid w:val="002A3964"/>
    <w:pPr>
      <w:spacing w:before="100" w:beforeAutospacing="1" w:after="100" w:afterAutospacing="1" w:line="240" w:lineRule="auto"/>
    </w:pPr>
    <w:rPr>
      <w:rFonts w:ascii="Times New Roman" w:eastAsiaTheme="minorEastAsia" w:hAnsi="Times New Roman" w:cs="Times New Roman"/>
      <w:sz w:val="24"/>
      <w:szCs w:val="24"/>
    </w:rPr>
  </w:style>
  <w:style w:type="character" w:styleId="PlaceholderText">
    <w:name w:val="Placeholder Text"/>
    <w:basedOn w:val="DefaultParagraphFont"/>
    <w:uiPriority w:val="99"/>
    <w:semiHidden/>
    <w:rsid w:val="002852AF"/>
    <w:rPr>
      <w:color w:val="808080"/>
    </w:rPr>
  </w:style>
  <w:style w:type="table" w:styleId="TableGrid">
    <w:name w:val="Table Grid"/>
    <w:basedOn w:val="TableNormal"/>
    <w:uiPriority w:val="59"/>
    <w:rsid w:val="00285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79D8"/>
    <w:pPr>
      <w:ind w:left="720"/>
      <w:contextualSpacing/>
    </w:pPr>
  </w:style>
  <w:style w:type="character" w:styleId="CommentReference">
    <w:name w:val="annotation reference"/>
    <w:basedOn w:val="DefaultParagraphFont"/>
    <w:uiPriority w:val="99"/>
    <w:semiHidden/>
    <w:unhideWhenUsed/>
    <w:rsid w:val="00E23899"/>
    <w:rPr>
      <w:sz w:val="16"/>
      <w:szCs w:val="16"/>
    </w:rPr>
  </w:style>
  <w:style w:type="paragraph" w:styleId="CommentText">
    <w:name w:val="annotation text"/>
    <w:basedOn w:val="Normal"/>
    <w:link w:val="CommentTextChar"/>
    <w:uiPriority w:val="99"/>
    <w:unhideWhenUsed/>
    <w:rsid w:val="00E23899"/>
    <w:pPr>
      <w:spacing w:line="240" w:lineRule="auto"/>
    </w:pPr>
    <w:rPr>
      <w:sz w:val="20"/>
      <w:szCs w:val="20"/>
    </w:rPr>
  </w:style>
  <w:style w:type="character" w:customStyle="1" w:styleId="CommentTextChar">
    <w:name w:val="Comment Text Char"/>
    <w:basedOn w:val="DefaultParagraphFont"/>
    <w:link w:val="CommentText"/>
    <w:uiPriority w:val="99"/>
    <w:rsid w:val="00E23899"/>
    <w:rPr>
      <w:sz w:val="20"/>
      <w:szCs w:val="20"/>
    </w:rPr>
  </w:style>
  <w:style w:type="paragraph" w:styleId="Bibliography">
    <w:name w:val="Bibliography"/>
    <w:basedOn w:val="Normal"/>
    <w:next w:val="Normal"/>
    <w:uiPriority w:val="37"/>
    <w:unhideWhenUsed/>
    <w:rsid w:val="0084625E"/>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emf"/><Relationship Id="rId26" Type="http://schemas.openxmlformats.org/officeDocument/2006/relationships/image" Target="media/image22.jpeg"/><Relationship Id="rId3" Type="http://schemas.openxmlformats.org/officeDocument/2006/relationships/webSettings" Target="webSettings.xml"/><Relationship Id="rId21" Type="http://schemas.openxmlformats.org/officeDocument/2006/relationships/oleObject" Target="embeddings/oleObject1.bin"/><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5" Type="http://schemas.openxmlformats.org/officeDocument/2006/relationships/image" Target="media/image21.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24" Type="http://schemas.openxmlformats.org/officeDocument/2006/relationships/image" Target="media/image20.jpeg"/><Relationship Id="rId5" Type="http://schemas.openxmlformats.org/officeDocument/2006/relationships/image" Target="media/image2.jpeg"/><Relationship Id="rId15" Type="http://schemas.openxmlformats.org/officeDocument/2006/relationships/image" Target="media/image12.emf"/><Relationship Id="rId23" Type="http://schemas.openxmlformats.org/officeDocument/2006/relationships/image" Target="media/image19.tiff"/><Relationship Id="rId28" Type="http://schemas.openxmlformats.org/officeDocument/2006/relationships/theme" Target="theme/theme1.xml"/><Relationship Id="rId10" Type="http://schemas.openxmlformats.org/officeDocument/2006/relationships/image" Target="media/image7.tiff"/><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8.tif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5259</TotalTime>
  <Pages>8</Pages>
  <Words>927</Words>
  <Characters>5286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AbbVie Inc</Company>
  <LinksUpToDate>false</LinksUpToDate>
  <CharactersWithSpaces>6201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Liang</dc:creator>
  <cp:lastModifiedBy>Liang Zhang</cp:lastModifiedBy>
  <cp:revision>201</cp:revision>
  <dcterms:created xsi:type="dcterms:W3CDTF">2019-03-18T16:12:00Z</dcterms:created>
  <dcterms:modified xsi:type="dcterms:W3CDTF">2021-07-26T18:37:00Z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zotero-version="5.0.72"&gt;&lt;session id="3XvqNixv"/&gt;&lt;style id="http://www.zotero.org/styles/american-medical-association" hasBibliography="1" bibliographyStyleHasBeenSet="1"/&gt;&lt;prefs&gt;&lt;pref name="fieldType" value="Field"/&gt;&lt;/prefs&gt;&lt;/data&gt;</vt:lpwstr>
  </property>
</Properties>
</file>