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body>
    <w:p w14:paraId="16A2C91F" w14:textId="77777777" w:rsidR="00913A88" w:rsidRDefault="00913A88" w:rsidP="00913A88">
      <w:pPr>
        <w:spacing w:line="480" w:lineRule="auto"/>
        <w:rPr>
          <w:b/>
          <w:bCs/>
        </w:rPr>
      </w:pPr>
      <w:r>
        <w:rPr>
          <w:b/>
          <w:bCs/>
          <w:sz w:val="36"/>
          <w:szCs w:val="36"/>
        </w:rPr>
        <w:t>Supplemental Material</w:t>
      </w:r>
    </w:p>
    <w:p w14:paraId="7E0A563E" w14:textId="77777777" w:rsidR="00913A88" w:rsidRDefault="00913A88" w:rsidP="00913A88">
      <w:pPr>
        <w:spacing w:before="240" w:after="240" w:line="480" w:lineRule="auto"/>
        <w:rPr>
          <w:b/>
          <w:bCs/>
          <w:sz w:val="36"/>
          <w:szCs w:val="36"/>
        </w:rPr>
      </w:pPr>
      <w:r>
        <w:rPr>
          <w:b/>
          <w:bCs/>
        </w:rPr>
        <w:t>Supplemental Figure 1. Predictive performance on each internal validation dataset across model architectures.</w:t>
      </w:r>
    </w:p>
    <w:p w14:paraId="6D9B7A43" w14:textId="77777777" w:rsidR="00913A88" w:rsidRDefault="00913A88" w:rsidP="00913A88">
      <w:pPr>
        <w:spacing w:before="240" w:after="240" w:line="480" w:lineRule="auto"/>
        <w:rPr>
          <w:b/>
          <w:bCs/>
          <w:sz w:val="36"/>
          <w:szCs w:val="36"/>
        </w:rPr>
      </w:pPr>
      <w:sdt>
        <w:sdtPr>
          <w:tag w:val="goog_rdk_55"/>
          <w:id w:val="1423976353"/>
        </w:sdtPr>
        <w:sdtContent/>
      </w:sdt>
      <w:r>
        <w:rPr>
          <w:b/>
          <w:bCs/>
          <w:noProof/>
          <w:color w:val="000000"/>
          <w:sz w:val="36"/>
          <w:szCs w:val="36"/>
          <w:bdr w:val="none" w:sz="0" w:space="0" w:color="auto" w:frame="1"/>
        </w:rPr>
        <w:drawing>
          <wp:inline distT="0" distB="0" distL="0" distR="0" wp14:anchorId="2CD9710B" wp14:editId="2CD27529">
            <wp:extent cx="6449060" cy="3803015"/>
            <wp:effectExtent l="0" t="0" r="2540" b="0"/>
            <wp:docPr id="11812596" name="그림 9" descr="스크린샷, 텍스트, 다채로움, 평행이(가) 표시된 사진  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2596" name="그림 9" descr="스크린샷, 텍스트, 다채로움, 평행이(가) 표시된 사진  AI 생성 콘텐츠는 정확하지 않을 수 있습니다."/>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449060" cy="3803015"/>
                    </a:xfrm>
                    <a:prstGeom prst="rect">
                      <a:avLst/>
                    </a:prstGeom>
                    <a:noFill/>
                    <a:ln>
                      <a:noFill/>
                    </a:ln>
                  </pic:spPr>
                </pic:pic>
              </a:graphicData>
            </a:graphic>
          </wp:inline>
        </w:drawing>
      </w:r>
    </w:p>
    <w:p w14:paraId="00AE5235" w14:textId="77777777" w:rsidR="00913A88" w:rsidRDefault="00913A88" w:rsidP="00913A88">
      <w:pPr>
        <w:spacing w:before="240" w:after="240" w:line="480" w:lineRule="auto"/>
      </w:pPr>
      <w:r>
        <w:t>Bar charts summarise six performance metrics—AUROC, sensitivity, specificity, PPV, NPV, and F1 score—for three model architectures (ConvNeXt-Small, ViT-Small, and RETFound DINOv2) across four internal validation datasets, evaluated under two threshold strategies (internally tuned and each dataset-specific). Solid bars denote the internally tuned threshold, whereas hatched bars denote the dataset-specific threshold.</w:t>
      </w:r>
    </w:p>
    <w:p w14:paraId="3A946417" w14:textId="77777777" w:rsidR="00913A88" w:rsidRDefault="00913A88" w:rsidP="00913A88">
      <w:pPr>
        <w:spacing w:before="240" w:after="240" w:line="480" w:lineRule="auto"/>
      </w:pPr>
    </w:p>
    <w:p w14:paraId="69D09FF8" w14:textId="77777777" w:rsidR="00913A88" w:rsidRDefault="00913A88" w:rsidP="00913A88">
      <w:pPr>
        <w:spacing w:before="240" w:after="240" w:line="480" w:lineRule="auto"/>
      </w:pPr>
      <w:r>
        <w:rPr>
          <w:color w:val="000000"/>
        </w:rPr>
        <w:t>Abbreviations: AUROC, area under the receiver operating characteristic curve; NPV, negative predictive value; PPV, positive predictive value.</w:t>
      </w:r>
    </w:p>
    <w:p w14:paraId="0395DBB1" w14:textId="77777777" w:rsidR="00913A88" w:rsidRDefault="00913A88" w:rsidP="00913A88">
      <w:pPr>
        <w:spacing w:before="240" w:after="240" w:line="480" w:lineRule="auto"/>
      </w:pPr>
      <w:r>
        <w:br w:type="page"/>
      </w:r>
    </w:p>
    <w:p w14:paraId="2719CCAD" w14:textId="77777777" w:rsidR="00913A88" w:rsidRDefault="00913A88" w:rsidP="00913A88">
      <w:pPr>
        <w:spacing w:before="240" w:after="240" w:line="480" w:lineRule="auto"/>
        <w:rPr>
          <w:b/>
          <w:bCs/>
          <w:sz w:val="36"/>
          <w:szCs w:val="36"/>
        </w:rPr>
      </w:pPr>
      <w:r>
        <w:rPr>
          <w:b/>
          <w:bCs/>
        </w:rPr>
        <w:lastRenderedPageBreak/>
        <w:t>Supplemental Figure 2. Predictive performance on each external validation dataset across model architectures.</w:t>
      </w:r>
    </w:p>
    <w:p w14:paraId="23CDC53E" w14:textId="77777777" w:rsidR="00913A88" w:rsidRDefault="00913A88" w:rsidP="00913A88">
      <w:pPr>
        <w:spacing w:before="240" w:after="240" w:line="480" w:lineRule="auto"/>
        <w:rPr>
          <w:b/>
          <w:bCs/>
          <w:sz w:val="36"/>
          <w:szCs w:val="36"/>
        </w:rPr>
      </w:pPr>
      <w:sdt>
        <w:sdtPr>
          <w:tag w:val="goog_rdk_56"/>
          <w:id w:val="155608651"/>
        </w:sdtPr>
        <w:sdtContent/>
      </w:sdt>
      <w:r w:rsidRPr="007B7564">
        <w:rPr>
          <w:b/>
          <w:bCs/>
          <w:noProof/>
          <w:color w:val="000000"/>
          <w:sz w:val="36"/>
          <w:szCs w:val="36"/>
          <w:bdr w:val="none" w:sz="0" w:space="0" w:color="auto" w:frame="1"/>
        </w:rPr>
        <w:drawing>
          <wp:inline distT="0" distB="0" distL="0" distR="0" wp14:anchorId="20E56849" wp14:editId="1BDE6973">
            <wp:extent cx="6451600" cy="5590540"/>
            <wp:effectExtent l="0" t="0" r="0" b="0"/>
            <wp:docPr id="1041579964" name="그림 1" descr="스크린샷, 텍스트, 다채로움, 도표이(가) 표시된 사진  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579964" name="그림 1" descr="스크린샷, 텍스트, 다채로움, 도표이(가) 표시된 사진  AI 생성 콘텐츠는 정확하지 않을 수 있습니다."/>
                    <pic:cNvPicPr/>
                  </pic:nvPicPr>
                  <pic:blipFill>
                    <a:blip r:embed="rId10"/>
                    <a:stretch>
                      <a:fillRect/>
                    </a:stretch>
                  </pic:blipFill>
                  <pic:spPr>
                    <a:xfrm>
                      <a:off x="0" y="0"/>
                      <a:ext cx="6451600" cy="5590540"/>
                    </a:xfrm>
                    <a:prstGeom prst="rect">
                      <a:avLst/>
                    </a:prstGeom>
                  </pic:spPr>
                </pic:pic>
              </a:graphicData>
            </a:graphic>
          </wp:inline>
        </w:drawing>
      </w:r>
      <w:r w:rsidRPr="007B7564">
        <w:rPr>
          <w:b/>
          <w:bCs/>
          <w:noProof/>
          <w:color w:val="000000"/>
          <w:sz w:val="36"/>
          <w:szCs w:val="36"/>
          <w:bdr w:val="none" w:sz="0" w:space="0" w:color="auto" w:frame="1"/>
        </w:rPr>
        <w:t xml:space="preserve"> </w:t>
      </w:r>
    </w:p>
    <w:p w14:paraId="28149E70" w14:textId="77777777" w:rsidR="00913A88" w:rsidRDefault="00913A88" w:rsidP="00913A88">
      <w:pPr>
        <w:spacing w:line="480" w:lineRule="auto"/>
      </w:pPr>
      <w:r>
        <w:t>Bar charts summarise six performance metrics—AUROC, sensitivity, specificity, PPV, NPV, and F1 score—for three model architectures (ConvNeXt-Small, ViT-Small, and RETFound DINOv2) across six external validation datasets, evaluated using two threshold strategies (internally tuned and each dataset-specific). Solid bars denote the internally tuned threshold, whereas hatched bars denote the dataset-specific threshold.</w:t>
      </w:r>
    </w:p>
    <w:p w14:paraId="3A0EEA08" w14:textId="77777777" w:rsidR="00913A88" w:rsidRDefault="00913A88" w:rsidP="00913A88">
      <w:pPr>
        <w:spacing w:line="480" w:lineRule="auto"/>
        <w:rPr>
          <w:lang w:val="en-US"/>
        </w:rPr>
      </w:pPr>
    </w:p>
    <w:p w14:paraId="69350959" w14:textId="77777777" w:rsidR="00913A88" w:rsidRDefault="00913A88" w:rsidP="00913A88">
      <w:pPr>
        <w:spacing w:before="240" w:after="240" w:line="480" w:lineRule="auto"/>
      </w:pPr>
      <w:r>
        <w:rPr>
          <w:color w:val="000000"/>
        </w:rPr>
        <w:lastRenderedPageBreak/>
        <w:t>Abbreviations: AUROC, area under the receiver operating characteristic curve; NPV, negative predictive value; PPV, positive predictive value.</w:t>
      </w:r>
      <w:r>
        <w:rPr>
          <w:rFonts w:hint="eastAsia"/>
          <w:color w:val="000000"/>
        </w:rPr>
        <w:t xml:space="preserve"> </w:t>
      </w:r>
      <w:r>
        <w:t>BES, Beijing Eye Study; CIEMS, Central India Eye and Medical Study; UEMS, Ural Eye and Medical Study.</w:t>
      </w:r>
    </w:p>
    <w:p w14:paraId="32B4905F" w14:textId="77777777" w:rsidR="00913A88" w:rsidRDefault="00913A88" w:rsidP="00913A88">
      <w:r>
        <w:br w:type="page"/>
      </w:r>
    </w:p>
    <w:p w14:paraId="54135BB6" w14:textId="77777777" w:rsidR="00913A88" w:rsidRDefault="00913A88" w:rsidP="00913A88">
      <w:pPr>
        <w:spacing w:line="480" w:lineRule="auto"/>
        <w:rPr>
          <w:b/>
          <w:bCs/>
        </w:rPr>
      </w:pPr>
      <w:r>
        <w:rPr>
          <w:b/>
          <w:bCs/>
        </w:rPr>
        <w:lastRenderedPageBreak/>
        <w:t>Supplemental Figure 3. Calibration plots and calibration metrics for each external validation dataset.</w:t>
      </w:r>
    </w:p>
    <w:p w14:paraId="05B22EBC" w14:textId="77777777" w:rsidR="00913A88" w:rsidRDefault="00913A88" w:rsidP="00913A88">
      <w:pPr>
        <w:spacing w:before="240" w:after="240" w:line="480" w:lineRule="auto"/>
        <w:rPr>
          <w:b/>
          <w:bCs/>
          <w:sz w:val="36"/>
          <w:szCs w:val="36"/>
        </w:rPr>
      </w:pPr>
      <w:sdt>
        <w:sdtPr>
          <w:tag w:val="goog_rdk_57"/>
          <w:id w:val="1901568378"/>
        </w:sdtPr>
        <w:sdtContent/>
      </w:sdt>
      <w:r w:rsidRPr="007B7564">
        <w:rPr>
          <w:b/>
          <w:bCs/>
          <w:noProof/>
          <w:color w:val="000000"/>
          <w:sz w:val="36"/>
          <w:szCs w:val="36"/>
          <w:bdr w:val="none" w:sz="0" w:space="0" w:color="auto" w:frame="1"/>
        </w:rPr>
        <w:drawing>
          <wp:inline distT="0" distB="0" distL="0" distR="0" wp14:anchorId="3E802BB5" wp14:editId="56198ACE">
            <wp:extent cx="6451600" cy="6902450"/>
            <wp:effectExtent l="0" t="0" r="0" b="6350"/>
            <wp:docPr id="97900261" name="그림 1" descr="텍스트, 도표, 라인, 그래프이(가) 표시된 사진  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00261" name="그림 1" descr="텍스트, 도표, 라인, 그래프이(가) 표시된 사진  AI 생성 콘텐츠는 정확하지 않을 수 있습니다."/>
                    <pic:cNvPicPr/>
                  </pic:nvPicPr>
                  <pic:blipFill>
                    <a:blip r:embed="rId11"/>
                    <a:stretch>
                      <a:fillRect/>
                    </a:stretch>
                  </pic:blipFill>
                  <pic:spPr>
                    <a:xfrm>
                      <a:off x="0" y="0"/>
                      <a:ext cx="6451600" cy="6902450"/>
                    </a:xfrm>
                    <a:prstGeom prst="rect">
                      <a:avLst/>
                    </a:prstGeom>
                  </pic:spPr>
                </pic:pic>
              </a:graphicData>
            </a:graphic>
          </wp:inline>
        </w:drawing>
      </w:r>
    </w:p>
    <w:p w14:paraId="1FB79F11" w14:textId="77777777" w:rsidR="00913A88" w:rsidRDefault="00913A88" w:rsidP="00913A88">
      <w:pPr>
        <w:spacing w:before="240" w:after="240" w:line="480" w:lineRule="auto"/>
      </w:pPr>
      <w:r>
        <w:t xml:space="preserve">Reliability diagrams plot </w:t>
      </w:r>
      <w:proofErr w:type="gramStart"/>
      <w:r>
        <w:t>mean</w:t>
      </w:r>
      <w:proofErr w:type="gramEnd"/>
      <w:r>
        <w:t xml:space="preserve"> predicted probability against observed event frequency across 10 equal-frequency bins for each of the six external validation datasets (IDRiD, HMADR</w:t>
      </w:r>
      <w:r>
        <w:rPr>
          <w:rFonts w:hint="eastAsia"/>
        </w:rPr>
        <w:t>_</w:t>
      </w:r>
      <w:r>
        <w:t xml:space="preserve">Clinic, UEMS, HMADR_Screening, CIEMS, and BES). For all dataset, results are presented separately for the base predicted probabilities and for predictions after prevalence-based odds adjustment. The diagonal </w:t>
      </w:r>
      <w:r>
        <w:lastRenderedPageBreak/>
        <w:t>dashed line indicates perfect calibration. The bottom panels summarise the corresponding calibration metrics—ECE (left), Brier score (middle), and negative log-likelihood (right) with their 95% confidence intervals—comparing base predictions with prevalence-adjusted predictions across all six external datasets.</w:t>
      </w:r>
    </w:p>
    <w:p w14:paraId="625E0E90" w14:textId="77777777" w:rsidR="00913A88" w:rsidRDefault="00913A88" w:rsidP="00913A88">
      <w:pPr>
        <w:spacing w:before="240" w:after="240" w:line="480" w:lineRule="auto"/>
      </w:pPr>
    </w:p>
    <w:p w14:paraId="4D619DC7" w14:textId="77777777" w:rsidR="00913A88" w:rsidRDefault="00913A88" w:rsidP="00913A88">
      <w:pPr>
        <w:spacing w:before="240" w:after="240" w:line="480" w:lineRule="auto"/>
        <w:rPr>
          <w:b/>
          <w:bCs/>
          <w:sz w:val="36"/>
          <w:szCs w:val="36"/>
        </w:rPr>
      </w:pPr>
      <w:r>
        <w:t>Abbreviations: BES, Beijing Eye Study; CIEMS, Central India Eye and Medical Study; ECE, expected calibration error; NLL, negative log-likelihood; UEMS, Ural Eye and Medical Study.</w:t>
      </w:r>
    </w:p>
    <w:p w14:paraId="34EEB19D" w14:textId="77777777" w:rsidR="00913A88" w:rsidRDefault="00913A88" w:rsidP="00913A88">
      <w:pPr>
        <w:spacing w:before="240" w:after="240" w:line="480" w:lineRule="auto"/>
        <w:rPr>
          <w:b/>
          <w:bCs/>
          <w:sz w:val="36"/>
          <w:szCs w:val="36"/>
        </w:rPr>
      </w:pPr>
      <w:r>
        <w:br w:type="page"/>
      </w:r>
    </w:p>
    <w:p w14:paraId="4420911A" w14:textId="77777777" w:rsidR="00913A88" w:rsidRDefault="00913A88" w:rsidP="00913A88">
      <w:pPr>
        <w:spacing w:before="240" w:after="240" w:line="480" w:lineRule="auto"/>
      </w:pPr>
      <w:r>
        <w:rPr>
          <w:b/>
          <w:bCs/>
        </w:rPr>
        <w:lastRenderedPageBreak/>
        <w:t xml:space="preserve">Supplemental Figure 4. Alignment between model-derived and clinician-derived uncertainty across three model architectures and the </w:t>
      </w:r>
      <w:r w:rsidRPr="009B2CDB">
        <w:rPr>
          <w:b/>
          <w:bCs/>
        </w:rPr>
        <w:t xml:space="preserve">HMADR </w:t>
      </w:r>
      <w:r>
        <w:rPr>
          <w:b/>
          <w:bCs/>
        </w:rPr>
        <w:t xml:space="preserve">datasets, with model uncertainty quantified by Deep ensembles. </w:t>
      </w:r>
    </w:p>
    <w:p w14:paraId="306B6DB6" w14:textId="77777777" w:rsidR="00913A88" w:rsidRDefault="00913A88" w:rsidP="00913A88">
      <w:pPr>
        <w:spacing w:before="240" w:after="240" w:line="480" w:lineRule="auto"/>
      </w:pPr>
      <w:r w:rsidRPr="007B7564">
        <w:rPr>
          <w:noProof/>
        </w:rPr>
        <w:drawing>
          <wp:inline distT="0" distB="0" distL="0" distR="0" wp14:anchorId="2CEEE8B0" wp14:editId="64617855">
            <wp:extent cx="5710861" cy="7847937"/>
            <wp:effectExtent l="0" t="0" r="4445" b="1270"/>
            <wp:docPr id="423964277" name="그림 1" descr="텍스트, 도표, 스크린샷, 종이접기이(가) 표시된 사진  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964277" name="그림 1" descr="텍스트, 도표, 스크린샷, 종이접기이(가) 표시된 사진  AI 생성 콘텐츠는 정확하지 않을 수 있습니다."/>
                    <pic:cNvPicPr/>
                  </pic:nvPicPr>
                  <pic:blipFill>
                    <a:blip r:embed="rId12"/>
                    <a:stretch>
                      <a:fillRect/>
                    </a:stretch>
                  </pic:blipFill>
                  <pic:spPr>
                    <a:xfrm>
                      <a:off x="0" y="0"/>
                      <a:ext cx="5710861" cy="7847937"/>
                    </a:xfrm>
                    <a:prstGeom prst="rect">
                      <a:avLst/>
                    </a:prstGeom>
                  </pic:spPr>
                </pic:pic>
              </a:graphicData>
            </a:graphic>
          </wp:inline>
        </w:drawing>
      </w:r>
    </w:p>
    <w:p w14:paraId="245C9BBC" w14:textId="77777777" w:rsidR="00913A88" w:rsidRDefault="00913A88" w:rsidP="00913A88">
      <w:pPr>
        <w:spacing w:before="120" w:after="120" w:line="480" w:lineRule="auto"/>
      </w:pPr>
      <w:r>
        <w:lastRenderedPageBreak/>
        <w:t>Each row in the upper panels corresponds to one model architecture (ConvNeXt-Small, ViT-Small, and RETFound DINOv2), and each pair of columns corresponds to one dataset (HMADR_Clinic and HMADR_Screening). The violin plots show the distribution of model uncertainty, defined as the predictive standard deviation estimated via Deep Ensemble, stratified by clinician uncertainty quartiles (Q1–Q4). Clinician uncertainty was defined as the standard deviation of the binary labels from five ophthalmologists for each image. The bottom row summarises the Pearson, Spearman’s rank, and Kendall's tau correlation coefficients between clinician and model uncertainty for each model and dataset. Error bars indicate bootstrap 95% confidence intervals.</w:t>
      </w:r>
    </w:p>
    <w:p w14:paraId="0FCF531E" w14:textId="77777777" w:rsidR="00913A88" w:rsidRDefault="00913A88" w:rsidP="00913A88">
      <w:pPr>
        <w:spacing w:after="320" w:line="480" w:lineRule="auto"/>
      </w:pPr>
      <w:r>
        <w:br w:type="page"/>
      </w:r>
    </w:p>
    <w:p w14:paraId="1FB454E1" w14:textId="77777777" w:rsidR="00913A88" w:rsidRDefault="00913A88" w:rsidP="00913A88">
      <w:pPr>
        <w:spacing w:before="240" w:after="240" w:line="480" w:lineRule="auto"/>
        <w:rPr>
          <w:b/>
          <w:bCs/>
        </w:rPr>
      </w:pPr>
      <w:r>
        <w:rPr>
          <w:b/>
          <w:bCs/>
        </w:rPr>
        <w:lastRenderedPageBreak/>
        <w:t>Supplemental Figure 5. Sensitivity analysis of borderline cases for robustness to noise and cross-device variation in the AI-READI dataset.</w:t>
      </w:r>
    </w:p>
    <w:p w14:paraId="6429114E" w14:textId="77777777" w:rsidR="00913A88" w:rsidRDefault="00913A88" w:rsidP="00913A88">
      <w:pPr>
        <w:spacing w:before="240" w:after="240" w:line="480" w:lineRule="auto"/>
        <w:rPr>
          <w:b/>
          <w:bCs/>
        </w:rPr>
      </w:pPr>
      <w:sdt>
        <w:sdtPr>
          <w:tag w:val="goog_rdk_58"/>
          <w:id w:val="365087681"/>
        </w:sdtPr>
        <w:sdtContent/>
      </w:sdt>
      <w:r w:rsidRPr="008D5ACB">
        <w:rPr>
          <w:b/>
          <w:bCs/>
          <w:color w:val="000000"/>
          <w:bdr w:val="none" w:sz="0" w:space="0" w:color="auto" w:frame="1"/>
        </w:rPr>
        <w:t xml:space="preserve"> </w:t>
      </w:r>
      <w:r>
        <w:rPr>
          <w:b/>
          <w:bCs/>
          <w:noProof/>
          <w:color w:val="000000"/>
          <w:bdr w:val="none" w:sz="0" w:space="0" w:color="auto" w:frame="1"/>
        </w:rPr>
        <w:drawing>
          <wp:inline distT="0" distB="0" distL="0" distR="0" wp14:anchorId="0A525143" wp14:editId="13043EE6">
            <wp:extent cx="6449060" cy="3277235"/>
            <wp:effectExtent l="0" t="0" r="2540" b="0"/>
            <wp:docPr id="1190007581" name="그림 13" descr="도표, 라인, 그래프이(가) 표시된 사진  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007581" name="그림 13" descr="도표, 라인, 그래프이(가) 표시된 사진  AI 생성 콘텐츠는 정확하지 않을 수 있습니다."/>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449060" cy="3277235"/>
                    </a:xfrm>
                    <a:prstGeom prst="rect">
                      <a:avLst/>
                    </a:prstGeom>
                    <a:noFill/>
                    <a:ln>
                      <a:noFill/>
                    </a:ln>
                  </pic:spPr>
                </pic:pic>
              </a:graphicData>
            </a:graphic>
          </wp:inline>
        </w:drawing>
      </w:r>
    </w:p>
    <w:p w14:paraId="1689C7D0" w14:textId="77777777" w:rsidR="00913A88" w:rsidRDefault="00913A88" w:rsidP="00913A88">
      <w:pPr>
        <w:spacing w:before="240" w:after="240" w:line="480" w:lineRule="auto"/>
      </w:pPr>
      <w:r>
        <w:t>Line plots show how inter-prediction agreement varies as a function of the borderline fraction—defined as the proportion of predicted probabilities closest to the decision threshold on each side—swept from 10% to 90% in 10% increments. Results are shown for three model architectures (ConvNeXt-Small, ViT-Small, and RETFound DINOv2) across four comparison conditions: an intra-device pair for noise robustness (repeated Triton acquisitions from the AI-READI dataset) and three cross-device pairs (Triton vs Maestro2, Triton vs Eidon, and Maestro2 vs Eidon). The upper row shows the intraclass correlation coefficient (ICC) and the lower row shows Cohen's kappa, with shaded bands indicating 95% confidence intervals derived from bootstrap resampling.</w:t>
      </w:r>
    </w:p>
    <w:p w14:paraId="3EC32E4F" w14:textId="77777777" w:rsidR="00913A88" w:rsidRDefault="00913A88" w:rsidP="00913A88">
      <w:pPr>
        <w:spacing w:before="240" w:after="240" w:line="480" w:lineRule="auto"/>
      </w:pPr>
    </w:p>
    <w:p w14:paraId="60D46BEE" w14:textId="77777777" w:rsidR="00913A88" w:rsidRPr="00C71C53" w:rsidRDefault="00913A88" w:rsidP="00913A88">
      <w:pPr>
        <w:spacing w:before="240" w:after="240" w:line="480" w:lineRule="auto"/>
      </w:pPr>
    </w:p>
    <w:p w14:paraId="503D847E" w14:textId="77777777" w:rsidR="00913A88" w:rsidRDefault="00913A88" w:rsidP="00913A88">
      <w:pPr>
        <w:spacing w:before="240" w:after="240" w:line="480" w:lineRule="auto"/>
        <w:rPr>
          <w:b/>
          <w:bCs/>
        </w:rPr>
      </w:pPr>
      <w:r>
        <w:br w:type="page"/>
      </w:r>
    </w:p>
    <w:p w14:paraId="6310B95A" w14:textId="77777777" w:rsidR="00913A88" w:rsidRDefault="00913A88" w:rsidP="00913A88">
      <w:pPr>
        <w:spacing w:before="240" w:after="240" w:line="480" w:lineRule="auto"/>
        <w:rPr>
          <w:b/>
          <w:bCs/>
        </w:rPr>
      </w:pPr>
      <w:r>
        <w:rPr>
          <w:b/>
          <w:bCs/>
        </w:rPr>
        <w:lastRenderedPageBreak/>
        <w:t>Supplemental Figure 6. Inter-version agreement and decision-threshold stability across seven model updates of three model architectures, evaluated on each of six external validation datasets.</w:t>
      </w:r>
    </w:p>
    <w:p w14:paraId="13A39AE6" w14:textId="77777777" w:rsidR="00913A88" w:rsidRDefault="00913A88" w:rsidP="00913A88">
      <w:pPr>
        <w:spacing w:after="320" w:line="480" w:lineRule="auto"/>
      </w:pPr>
      <w:r w:rsidRPr="00614E1D">
        <w:rPr>
          <w:noProof/>
        </w:rPr>
        <w:drawing>
          <wp:inline distT="0" distB="0" distL="0" distR="0" wp14:anchorId="24EDC2F1" wp14:editId="505C52AB">
            <wp:extent cx="6451600" cy="5273675"/>
            <wp:effectExtent l="0" t="0" r="0" b="0"/>
            <wp:docPr id="1088510128" name="그림 1" descr="텍스트, 도표, 스크린샷, 라인이(가) 표시된 사진  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510128" name="그림 1" descr="텍스트, 도표, 스크린샷, 라인이(가) 표시된 사진  AI 생성 콘텐츠는 정확하지 않을 수 있습니다."/>
                    <pic:cNvPicPr/>
                  </pic:nvPicPr>
                  <pic:blipFill>
                    <a:blip r:embed="rId14"/>
                    <a:stretch>
                      <a:fillRect/>
                    </a:stretch>
                  </pic:blipFill>
                  <pic:spPr>
                    <a:xfrm>
                      <a:off x="0" y="0"/>
                      <a:ext cx="6451600" cy="5273675"/>
                    </a:xfrm>
                    <a:prstGeom prst="rect">
                      <a:avLst/>
                    </a:prstGeom>
                  </pic:spPr>
                </pic:pic>
              </a:graphicData>
            </a:graphic>
          </wp:inline>
        </w:drawing>
      </w:r>
    </w:p>
    <w:p w14:paraId="067A1DEF" w14:textId="77777777" w:rsidR="00913A88" w:rsidRPr="00601885" w:rsidRDefault="00913A88" w:rsidP="00913A88">
      <w:pPr>
        <w:spacing w:before="240" w:after="240" w:line="480" w:lineRule="auto"/>
        <w:rPr>
          <w:color w:val="000000"/>
        </w:rPr>
      </w:pPr>
      <w:r w:rsidRPr="00F62471">
        <w:rPr>
          <w:rFonts w:eastAsia="굴림"/>
          <w:color w:val="000000"/>
          <w:lang w:val="en-US"/>
        </w:rPr>
        <w:t>Bar charts and line plots summarise discriminative performance (AUROC), inter-update agreement, and the stability of the Youden-optimal threshold across seven model versions (v1–v7) for three model architectures (ConvNeXt-Small, ViT-Small, and RETFound DINOv2),</w:t>
      </w:r>
      <w:r>
        <w:rPr>
          <w:rFonts w:eastAsia="굴림"/>
          <w:color w:val="000000"/>
          <w:lang w:val="en-US"/>
        </w:rPr>
        <w:t xml:space="preserve"> </w:t>
      </w:r>
      <w:r>
        <w:rPr>
          <w:color w:val="000000"/>
        </w:rPr>
        <w:t xml:space="preserve">evaluated on each six external validation datasets (IDRiD, </w:t>
      </w:r>
      <w:r>
        <w:t>HMADR</w:t>
      </w:r>
      <w:r>
        <w:rPr>
          <w:color w:val="000000"/>
        </w:rPr>
        <w:t>_Clinic, UEMS, HMADR_Screening, CIEMS, and BES).</w:t>
      </w:r>
      <w:r>
        <w:rPr>
          <w:color w:val="000000"/>
          <w:lang w:val="en-US"/>
        </w:rPr>
        <w:t xml:space="preserve"> </w:t>
      </w:r>
      <w:r w:rsidRPr="00F62471">
        <w:rPr>
          <w:rFonts w:eastAsia="굴림"/>
          <w:color w:val="000000"/>
          <w:lang w:val="en-US"/>
        </w:rPr>
        <w:t>The top row shows AUROC across model versions with 95% bootstrap confidence intervals, plotted as separate lines for each architecture</w:t>
      </w:r>
      <w:r>
        <w:rPr>
          <w:rFonts w:eastAsia="굴림"/>
          <w:color w:val="000000"/>
          <w:lang w:val="en-US"/>
        </w:rPr>
        <w:t xml:space="preserve"> and each dataset</w:t>
      </w:r>
      <w:r w:rsidRPr="00F62471">
        <w:rPr>
          <w:rFonts w:eastAsia="굴림"/>
          <w:color w:val="000000"/>
          <w:lang w:val="en-US"/>
        </w:rPr>
        <w:t xml:space="preserve">. The second and third rows show the average ICC and Cohen's kappa, respectively, between consecutive model versions (v1→v2 through v6→v7); solid bars represent the overall dataset, while hatched bars represent the borderline subset (cases within the </w:t>
      </w:r>
      <w:r w:rsidRPr="00F62471">
        <w:rPr>
          <w:rFonts w:eastAsia="굴림"/>
          <w:color w:val="000000"/>
          <w:lang w:val="en-US"/>
        </w:rPr>
        <w:lastRenderedPageBreak/>
        <w:t>upper or lower 10% of the decision threshold). The bottom row shows the group-specific Youden-optimal threshold plotted across model versions, with separate lines for each architecture.</w:t>
      </w:r>
    </w:p>
    <w:p w14:paraId="15DB0C07" w14:textId="77777777" w:rsidR="00913A88" w:rsidRPr="0004148D" w:rsidRDefault="00913A88" w:rsidP="00913A88">
      <w:pPr>
        <w:spacing w:before="240" w:after="240" w:line="480" w:lineRule="auto"/>
      </w:pPr>
    </w:p>
    <w:p w14:paraId="0F6936D9" w14:textId="77777777" w:rsidR="00913A88" w:rsidRPr="00F62471" w:rsidRDefault="00913A88" w:rsidP="00913A88">
      <w:pPr>
        <w:spacing w:after="160" w:line="480" w:lineRule="auto"/>
        <w:rPr>
          <w:rFonts w:ascii="굴림" w:eastAsia="굴림" w:hAnsi="굴림" w:cs="굴림"/>
          <w:sz w:val="24"/>
          <w:szCs w:val="24"/>
          <w:lang w:val="en-US"/>
        </w:rPr>
      </w:pPr>
      <w:r w:rsidRPr="00F62471">
        <w:rPr>
          <w:rFonts w:eastAsia="굴림"/>
          <w:color w:val="000000"/>
          <w:lang w:val="en-US"/>
        </w:rPr>
        <w:t>Abbreviations: AUROC, area under the receiver operating characteristic curve; BES, Beijing Eye Study; CIEMS, Central India Eye and Medical Study; ICC, intraclass correlation coefficient; UEMS, Ural Eye and Medical Study.</w:t>
      </w:r>
    </w:p>
    <w:p w14:paraId="5269CF30" w14:textId="77777777" w:rsidR="00913A88" w:rsidRDefault="00913A88" w:rsidP="00913A88">
      <w:pPr>
        <w:spacing w:before="240" w:after="240" w:line="480" w:lineRule="auto"/>
      </w:pPr>
      <w:r>
        <w:br w:type="page"/>
      </w:r>
    </w:p>
    <w:p w14:paraId="403E52A8" w14:textId="77777777" w:rsidR="00913A88" w:rsidRDefault="00913A88" w:rsidP="00913A88">
      <w:pPr>
        <w:spacing w:before="240" w:after="240" w:line="480" w:lineRule="auto"/>
        <w:rPr>
          <w:b/>
          <w:bCs/>
        </w:rPr>
      </w:pPr>
      <w:r>
        <w:rPr>
          <w:b/>
          <w:bCs/>
        </w:rPr>
        <w:lastRenderedPageBreak/>
        <w:t>Supplemental Figure 7. Sensitivity Analysis of Borderline Cases Across Model Update Scenarios</w:t>
      </w:r>
    </w:p>
    <w:p w14:paraId="31F5D84A" w14:textId="77777777" w:rsidR="00913A88" w:rsidRDefault="00913A88" w:rsidP="00913A88">
      <w:pPr>
        <w:spacing w:before="240" w:after="240" w:line="480" w:lineRule="auto"/>
        <w:rPr>
          <w:b/>
          <w:bCs/>
        </w:rPr>
      </w:pPr>
      <w:r w:rsidRPr="00E42D72">
        <w:rPr>
          <w:b/>
          <w:bCs/>
          <w:noProof/>
        </w:rPr>
        <w:drawing>
          <wp:inline distT="0" distB="0" distL="0" distR="0" wp14:anchorId="00DC5007" wp14:editId="1EF6D138">
            <wp:extent cx="6451600" cy="6312535"/>
            <wp:effectExtent l="0" t="0" r="0" b="0"/>
            <wp:docPr id="1675853892" name="그림 1" descr="도표, 라인, 텍스트, 그래프이(가) 표시된 사진  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853892" name="그림 1" descr="도표, 라인, 텍스트, 그래프이(가) 표시된 사진  AI 생성 콘텐츠는 정확하지 않을 수 있습니다."/>
                    <pic:cNvPicPr/>
                  </pic:nvPicPr>
                  <pic:blipFill>
                    <a:blip r:embed="rId15"/>
                    <a:stretch>
                      <a:fillRect/>
                    </a:stretch>
                  </pic:blipFill>
                  <pic:spPr>
                    <a:xfrm>
                      <a:off x="0" y="0"/>
                      <a:ext cx="6451600" cy="6312535"/>
                    </a:xfrm>
                    <a:prstGeom prst="rect">
                      <a:avLst/>
                    </a:prstGeom>
                  </pic:spPr>
                </pic:pic>
              </a:graphicData>
            </a:graphic>
          </wp:inline>
        </w:drawing>
      </w:r>
    </w:p>
    <w:p w14:paraId="3F775FE1" w14:textId="77777777" w:rsidR="00913A88" w:rsidRDefault="00913A88" w:rsidP="00913A88">
      <w:pPr>
        <w:spacing w:before="240" w:after="240" w:line="480" w:lineRule="auto"/>
        <w:rPr>
          <w:color w:val="000000"/>
        </w:rPr>
      </w:pPr>
      <w:r>
        <w:rPr>
          <w:color w:val="000000"/>
        </w:rPr>
        <w:t xml:space="preserve">Line plots show how inter-version agreement varies as a function of the borderline fraction — defined as the proportion of predicted probabilities closest to the decision threshold on each side — swept from 10% to 90% in 10% increments. Each panel represents the mean agreement across six consecutive model-version pairs (v1→v2 through v6→v7), evaluated on three external dataset groupings: </w:t>
      </w:r>
      <w:r w:rsidRPr="008C6153">
        <w:t>all-datasets</w:t>
      </w:r>
      <w:r>
        <w:rPr>
          <w:color w:val="000000"/>
        </w:rPr>
        <w:t xml:space="preserve"> (left column), clinic-based (middle column), and population-based (right column). Results are shown for three model architectures (ConvNeXt-Small, ViT-Small, and RETFound DINOv2), with shaded bands indicating 95% confidence intervals derived from 1,000 bootstrap resamples. The upper two rows use the internally tuned decision threshold, while the lower two rows use a group-specific </w:t>
      </w:r>
      <w:r>
        <w:rPr>
          <w:color w:val="000000"/>
        </w:rPr>
        <w:lastRenderedPageBreak/>
        <w:t>threshold. Within each threshold strategy, the intraclass correlation coefficient (ICC; first and third rows) and Cohen's kappa (second and fourth rows) are reported.</w:t>
      </w:r>
    </w:p>
    <w:p w14:paraId="61A62223" w14:textId="77777777" w:rsidR="00913A88" w:rsidRDefault="00913A88" w:rsidP="00913A88">
      <w:pPr>
        <w:spacing w:before="240" w:after="240" w:line="480" w:lineRule="auto"/>
        <w:rPr>
          <w:color w:val="000000"/>
        </w:rPr>
      </w:pPr>
    </w:p>
    <w:p w14:paraId="3D788C08" w14:textId="77777777" w:rsidR="00913A88" w:rsidRDefault="00913A88" w:rsidP="00913A88">
      <w:pPr>
        <w:spacing w:before="240" w:after="240" w:line="480" w:lineRule="auto"/>
      </w:pPr>
      <w:r w:rsidRPr="007E2110">
        <w:t>Abbreviations</w:t>
      </w:r>
      <w:r>
        <w:t>: ICC, intraclass correlation coefficient.</w:t>
      </w:r>
    </w:p>
    <w:p w14:paraId="54A0D749" w14:textId="77777777" w:rsidR="00913A88" w:rsidRPr="0004148D" w:rsidRDefault="00913A88" w:rsidP="00913A88">
      <w:pPr>
        <w:spacing w:line="480" w:lineRule="auto"/>
        <w:rPr>
          <w:b/>
          <w:bCs/>
          <w:lang w:val="en-US"/>
        </w:rPr>
      </w:pPr>
      <w:r>
        <w:rPr>
          <w:b/>
          <w:bCs/>
        </w:rPr>
        <w:br w:type="page"/>
      </w:r>
    </w:p>
    <w:p w14:paraId="396FF731" w14:textId="77777777" w:rsidR="00913A88" w:rsidRDefault="00913A88" w:rsidP="00913A88">
      <w:pPr>
        <w:spacing w:before="240" w:after="240" w:line="480" w:lineRule="auto"/>
        <w:rPr>
          <w:b/>
          <w:bCs/>
        </w:rPr>
      </w:pPr>
      <w:r>
        <w:rPr>
          <w:b/>
          <w:bCs/>
        </w:rPr>
        <w:lastRenderedPageBreak/>
        <w:t>Supplemental Figure 8. Inter-update agreement across randomised dataset update orderings.</w:t>
      </w:r>
    </w:p>
    <w:p w14:paraId="176AED51" w14:textId="77777777" w:rsidR="00913A88" w:rsidRDefault="00913A88" w:rsidP="00913A88">
      <w:pPr>
        <w:spacing w:before="240" w:after="240" w:line="480" w:lineRule="auto"/>
      </w:pPr>
      <w:r w:rsidRPr="00794A26">
        <w:rPr>
          <w:noProof/>
        </w:rPr>
        <w:drawing>
          <wp:inline distT="0" distB="0" distL="0" distR="0" wp14:anchorId="7DC51F6B" wp14:editId="0E533B8E">
            <wp:extent cx="6451600" cy="6031865"/>
            <wp:effectExtent l="0" t="0" r="0" b="635"/>
            <wp:docPr id="721582000" name="그림 1" descr="텍스트, 도표, 스크린샷, 그래프이(가) 표시된 사진  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582000" name="그림 1" descr="텍스트, 도표, 스크린샷, 그래프이(가) 표시된 사진  AI 생성 콘텐츠는 정확하지 않을 수 있습니다."/>
                    <pic:cNvPicPr/>
                  </pic:nvPicPr>
                  <pic:blipFill>
                    <a:blip r:embed="rId16"/>
                    <a:stretch>
                      <a:fillRect/>
                    </a:stretch>
                  </pic:blipFill>
                  <pic:spPr>
                    <a:xfrm>
                      <a:off x="0" y="0"/>
                      <a:ext cx="6451600" cy="6031865"/>
                    </a:xfrm>
                    <a:prstGeom prst="rect">
                      <a:avLst/>
                    </a:prstGeom>
                  </pic:spPr>
                </pic:pic>
              </a:graphicData>
            </a:graphic>
          </wp:inline>
        </w:drawing>
      </w:r>
    </w:p>
    <w:p w14:paraId="7C1F0015" w14:textId="77777777" w:rsidR="00913A88" w:rsidRDefault="00913A88" w:rsidP="00913A88">
      <w:pPr>
        <w:spacing w:before="240" w:after="240" w:line="480" w:lineRule="auto"/>
      </w:pPr>
      <w:r>
        <w:t>To confirm the robustness of the main findings, models were retrained with five random orderings of dataset updates. Bar charts summarise inter-update agreement (Cohen's kappa and ICC, with 95% confidence intervals) for three model architectures (ConvNeXt-Small, ViT-Small, and RETFound DINOv2) across three external dataset groupings (</w:t>
      </w:r>
      <w:r w:rsidRPr="008C6153">
        <w:t>all-datasets, clinic-based,</w:t>
      </w:r>
      <w:r>
        <w:rPr>
          <w:rFonts w:hint="eastAsia"/>
        </w:rPr>
        <w:t xml:space="preserve"> </w:t>
      </w:r>
      <w:r>
        <w:rPr>
          <w:lang w:val="en-US"/>
        </w:rPr>
        <w:t>and</w:t>
      </w:r>
      <w:r w:rsidRPr="008C6153">
        <w:t xml:space="preserve"> population-based</w:t>
      </w:r>
      <w:r>
        <w:t xml:space="preserve">). </w:t>
      </w:r>
      <w:r w:rsidRPr="00776857">
        <w:t>All other details are identical to those of Figure 6.</w:t>
      </w:r>
    </w:p>
    <w:p w14:paraId="4C5326A8" w14:textId="77777777" w:rsidR="00913A88" w:rsidRPr="00794A26" w:rsidRDefault="00913A88" w:rsidP="00913A88">
      <w:pPr>
        <w:spacing w:before="240" w:after="240" w:line="480" w:lineRule="auto"/>
        <w:rPr>
          <w:lang w:val="en-US"/>
        </w:rPr>
      </w:pPr>
    </w:p>
    <w:p w14:paraId="2CFECCA1" w14:textId="77777777" w:rsidR="00913A88" w:rsidRDefault="00913A88" w:rsidP="00913A88">
      <w:pPr>
        <w:spacing w:before="240" w:after="240" w:line="480" w:lineRule="auto"/>
      </w:pPr>
      <w:r w:rsidRPr="007E2110">
        <w:t>Abbreviations</w:t>
      </w:r>
      <w:r>
        <w:t>: ICC, intraclass correlation coefficient.</w:t>
      </w:r>
    </w:p>
    <w:p w14:paraId="45FD0EE9" w14:textId="77777777" w:rsidR="00913A88" w:rsidRPr="003E1525" w:rsidRDefault="00913A88" w:rsidP="00913A88">
      <w:pPr>
        <w:spacing w:after="120" w:line="480" w:lineRule="auto"/>
        <w:rPr>
          <w:b/>
          <w:bCs/>
          <w:lang w:val="en-US"/>
        </w:rPr>
        <w:sectPr w:rsidR="00913A88" w:rsidRPr="003E1525" w:rsidSect="00913A88">
          <w:pgSz w:w="11906" w:h="16838"/>
          <w:pgMar w:top="873" w:right="873" w:bottom="873" w:left="873" w:header="720" w:footer="566" w:gutter="0"/>
          <w:cols w:space="720"/>
        </w:sectPr>
      </w:pPr>
    </w:p>
    <w:p w14:paraId="1831D2FE" w14:textId="77777777" w:rsidR="00913A88" w:rsidRDefault="00913A88" w:rsidP="00913A88">
      <w:pPr>
        <w:spacing w:after="120" w:line="480" w:lineRule="auto"/>
        <w:rPr>
          <w:b/>
          <w:bCs/>
        </w:rPr>
      </w:pPr>
      <w:r>
        <w:rPr>
          <w:b/>
          <w:bCs/>
        </w:rPr>
        <w:lastRenderedPageBreak/>
        <w:t>Supplemental Table 1. Predictive performance of three model architectures for referable DR detection across external validation groups, under two threshold strategies.</w:t>
      </w:r>
    </w:p>
    <w:tbl>
      <w:tblPr>
        <w:tblW w:w="15030" w:type="dxa"/>
        <w:jc w:val="center"/>
        <w:tblBorders>
          <w:top w:val="nil"/>
          <w:left w:val="nil"/>
          <w:bottom w:val="nil"/>
          <w:right w:val="nil"/>
          <w:insideH w:val="nil"/>
          <w:insideV w:val="nil"/>
        </w:tblBorders>
        <w:tblLayout w:type="fixed"/>
        <w:tblLook w:val="0600" w:firstRow="0" w:lastRow="0" w:firstColumn="0" w:lastColumn="0" w:noHBand="1" w:noVBand="1"/>
      </w:tblPr>
      <w:tblGrid>
        <w:gridCol w:w="1276"/>
        <w:gridCol w:w="1701"/>
        <w:gridCol w:w="1843"/>
        <w:gridCol w:w="1701"/>
        <w:gridCol w:w="1701"/>
        <w:gridCol w:w="1701"/>
        <w:gridCol w:w="1701"/>
        <w:gridCol w:w="1701"/>
        <w:gridCol w:w="1705"/>
      </w:tblGrid>
      <w:tr w:rsidR="00913A88" w:rsidRPr="0072415B" w14:paraId="290AE578" w14:textId="77777777" w:rsidTr="00E9349A">
        <w:trPr>
          <w:trHeight w:val="630"/>
          <w:jc w:val="center"/>
        </w:trPr>
        <w:tc>
          <w:tcPr>
            <w:tcW w:w="1276" w:type="dxa"/>
            <w:tcBorders>
              <w:top w:val="single" w:sz="6" w:space="0" w:color="000000"/>
              <w:left w:val="nil"/>
              <w:bottom w:val="single" w:sz="6" w:space="0" w:color="000000"/>
              <w:right w:val="nil"/>
            </w:tcBorders>
            <w:tcMar>
              <w:top w:w="100" w:type="dxa"/>
              <w:left w:w="120" w:type="dxa"/>
              <w:bottom w:w="100" w:type="dxa"/>
              <w:right w:w="120" w:type="dxa"/>
            </w:tcMar>
            <w:vAlign w:val="center"/>
          </w:tcPr>
          <w:p w14:paraId="4A7825A7" w14:textId="77777777" w:rsidR="00913A88" w:rsidRPr="0072415B" w:rsidRDefault="00913A88" w:rsidP="00E9349A">
            <w:pPr>
              <w:spacing w:line="480" w:lineRule="auto"/>
              <w:rPr>
                <w:b/>
                <w:bCs/>
                <w:sz w:val="20"/>
                <w:szCs w:val="20"/>
              </w:rPr>
            </w:pPr>
            <w:r w:rsidRPr="0072415B">
              <w:rPr>
                <w:b/>
                <w:bCs/>
                <w:sz w:val="20"/>
                <w:szCs w:val="20"/>
              </w:rPr>
              <w:t>Threshold strategy</w:t>
            </w:r>
          </w:p>
        </w:tc>
        <w:tc>
          <w:tcPr>
            <w:tcW w:w="1701" w:type="dxa"/>
            <w:tcBorders>
              <w:top w:val="single" w:sz="6" w:space="0" w:color="000000"/>
              <w:left w:val="nil"/>
              <w:bottom w:val="single" w:sz="6" w:space="0" w:color="000000"/>
              <w:right w:val="nil"/>
            </w:tcBorders>
            <w:tcMar>
              <w:top w:w="100" w:type="dxa"/>
              <w:left w:w="120" w:type="dxa"/>
              <w:bottom w:w="100" w:type="dxa"/>
              <w:right w:w="120" w:type="dxa"/>
            </w:tcMar>
            <w:vAlign w:val="center"/>
          </w:tcPr>
          <w:p w14:paraId="7E49472A" w14:textId="77777777" w:rsidR="00913A88" w:rsidRPr="0072415B" w:rsidRDefault="00913A88" w:rsidP="00E9349A">
            <w:pPr>
              <w:spacing w:line="480" w:lineRule="auto"/>
              <w:rPr>
                <w:b/>
                <w:bCs/>
                <w:sz w:val="20"/>
                <w:szCs w:val="20"/>
              </w:rPr>
            </w:pPr>
            <w:r w:rsidRPr="0072415B">
              <w:rPr>
                <w:b/>
                <w:bCs/>
                <w:sz w:val="20"/>
                <w:szCs w:val="20"/>
              </w:rPr>
              <w:t>Group</w:t>
            </w:r>
          </w:p>
        </w:tc>
        <w:tc>
          <w:tcPr>
            <w:tcW w:w="1843" w:type="dxa"/>
            <w:tcBorders>
              <w:top w:val="single" w:sz="6" w:space="0" w:color="000000"/>
              <w:left w:val="nil"/>
              <w:bottom w:val="single" w:sz="6" w:space="0" w:color="000000"/>
              <w:right w:val="nil"/>
            </w:tcBorders>
            <w:tcMar>
              <w:top w:w="100" w:type="dxa"/>
              <w:left w:w="120" w:type="dxa"/>
              <w:bottom w:w="100" w:type="dxa"/>
              <w:right w:w="120" w:type="dxa"/>
            </w:tcMar>
            <w:vAlign w:val="center"/>
          </w:tcPr>
          <w:p w14:paraId="5C3C0BBE" w14:textId="77777777" w:rsidR="00913A88" w:rsidRPr="0072415B" w:rsidRDefault="00913A88" w:rsidP="00E9349A">
            <w:pPr>
              <w:spacing w:line="480" w:lineRule="auto"/>
              <w:rPr>
                <w:b/>
                <w:bCs/>
                <w:sz w:val="20"/>
                <w:szCs w:val="20"/>
              </w:rPr>
            </w:pPr>
            <w:r w:rsidRPr="0072415B">
              <w:rPr>
                <w:b/>
                <w:bCs/>
                <w:sz w:val="20"/>
                <w:szCs w:val="20"/>
              </w:rPr>
              <w:t>Model</w:t>
            </w:r>
          </w:p>
        </w:tc>
        <w:tc>
          <w:tcPr>
            <w:tcW w:w="1701" w:type="dxa"/>
            <w:tcBorders>
              <w:top w:val="single" w:sz="6" w:space="0" w:color="000000"/>
              <w:left w:val="nil"/>
              <w:bottom w:val="single" w:sz="6" w:space="0" w:color="000000"/>
              <w:right w:val="nil"/>
            </w:tcBorders>
            <w:tcMar>
              <w:top w:w="100" w:type="dxa"/>
              <w:left w:w="120" w:type="dxa"/>
              <w:bottom w:w="100" w:type="dxa"/>
              <w:right w:w="120" w:type="dxa"/>
            </w:tcMar>
            <w:vAlign w:val="center"/>
          </w:tcPr>
          <w:p w14:paraId="069B7109" w14:textId="77777777" w:rsidR="00913A88" w:rsidRPr="0072415B" w:rsidRDefault="00913A88" w:rsidP="00E9349A">
            <w:pPr>
              <w:spacing w:line="480" w:lineRule="auto"/>
              <w:rPr>
                <w:b/>
                <w:bCs/>
                <w:sz w:val="20"/>
                <w:szCs w:val="20"/>
              </w:rPr>
            </w:pPr>
            <w:r w:rsidRPr="0072415B">
              <w:rPr>
                <w:b/>
                <w:bCs/>
                <w:sz w:val="20"/>
                <w:szCs w:val="20"/>
              </w:rPr>
              <w:t>AUROC</w:t>
            </w:r>
          </w:p>
        </w:tc>
        <w:tc>
          <w:tcPr>
            <w:tcW w:w="1701" w:type="dxa"/>
            <w:tcBorders>
              <w:top w:val="single" w:sz="6" w:space="0" w:color="000000"/>
              <w:left w:val="nil"/>
              <w:bottom w:val="single" w:sz="6" w:space="0" w:color="000000"/>
              <w:right w:val="nil"/>
            </w:tcBorders>
            <w:tcMar>
              <w:top w:w="100" w:type="dxa"/>
              <w:left w:w="120" w:type="dxa"/>
              <w:bottom w:w="100" w:type="dxa"/>
              <w:right w:w="120" w:type="dxa"/>
            </w:tcMar>
            <w:vAlign w:val="center"/>
          </w:tcPr>
          <w:p w14:paraId="144C2729" w14:textId="77777777" w:rsidR="00913A88" w:rsidRPr="0072415B" w:rsidRDefault="00913A88" w:rsidP="00E9349A">
            <w:pPr>
              <w:spacing w:line="480" w:lineRule="auto"/>
              <w:rPr>
                <w:b/>
                <w:bCs/>
                <w:sz w:val="20"/>
                <w:szCs w:val="20"/>
              </w:rPr>
            </w:pPr>
            <w:r w:rsidRPr="0072415B">
              <w:rPr>
                <w:b/>
                <w:bCs/>
                <w:sz w:val="20"/>
                <w:szCs w:val="20"/>
              </w:rPr>
              <w:t>Sensitivity</w:t>
            </w:r>
          </w:p>
        </w:tc>
        <w:tc>
          <w:tcPr>
            <w:tcW w:w="1701" w:type="dxa"/>
            <w:tcBorders>
              <w:top w:val="single" w:sz="6" w:space="0" w:color="000000"/>
              <w:left w:val="nil"/>
              <w:bottom w:val="single" w:sz="6" w:space="0" w:color="000000"/>
              <w:right w:val="nil"/>
            </w:tcBorders>
            <w:tcMar>
              <w:top w:w="100" w:type="dxa"/>
              <w:left w:w="120" w:type="dxa"/>
              <w:bottom w:w="100" w:type="dxa"/>
              <w:right w:w="120" w:type="dxa"/>
            </w:tcMar>
            <w:vAlign w:val="center"/>
          </w:tcPr>
          <w:p w14:paraId="48870EE9" w14:textId="77777777" w:rsidR="00913A88" w:rsidRPr="0072415B" w:rsidRDefault="00913A88" w:rsidP="00E9349A">
            <w:pPr>
              <w:spacing w:line="480" w:lineRule="auto"/>
              <w:rPr>
                <w:b/>
                <w:bCs/>
                <w:sz w:val="20"/>
                <w:szCs w:val="20"/>
              </w:rPr>
            </w:pPr>
            <w:r w:rsidRPr="0072415B">
              <w:rPr>
                <w:b/>
                <w:bCs/>
                <w:sz w:val="20"/>
                <w:szCs w:val="20"/>
              </w:rPr>
              <w:t>Specificity</w:t>
            </w:r>
          </w:p>
        </w:tc>
        <w:tc>
          <w:tcPr>
            <w:tcW w:w="1701" w:type="dxa"/>
            <w:tcBorders>
              <w:top w:val="single" w:sz="6" w:space="0" w:color="000000"/>
              <w:left w:val="nil"/>
              <w:bottom w:val="single" w:sz="6" w:space="0" w:color="000000"/>
              <w:right w:val="nil"/>
            </w:tcBorders>
            <w:tcMar>
              <w:top w:w="100" w:type="dxa"/>
              <w:left w:w="120" w:type="dxa"/>
              <w:bottom w:w="100" w:type="dxa"/>
              <w:right w:w="120" w:type="dxa"/>
            </w:tcMar>
            <w:vAlign w:val="center"/>
          </w:tcPr>
          <w:p w14:paraId="0053D146" w14:textId="77777777" w:rsidR="00913A88" w:rsidRPr="0072415B" w:rsidRDefault="00913A88" w:rsidP="00E9349A">
            <w:pPr>
              <w:spacing w:line="480" w:lineRule="auto"/>
              <w:rPr>
                <w:b/>
                <w:bCs/>
                <w:sz w:val="20"/>
                <w:szCs w:val="20"/>
              </w:rPr>
            </w:pPr>
            <w:r w:rsidRPr="0072415B">
              <w:rPr>
                <w:b/>
                <w:bCs/>
                <w:sz w:val="20"/>
                <w:szCs w:val="20"/>
              </w:rPr>
              <w:t>PPV</w:t>
            </w:r>
          </w:p>
        </w:tc>
        <w:tc>
          <w:tcPr>
            <w:tcW w:w="1701" w:type="dxa"/>
            <w:tcBorders>
              <w:top w:val="single" w:sz="6" w:space="0" w:color="000000"/>
              <w:left w:val="nil"/>
              <w:bottom w:val="single" w:sz="6" w:space="0" w:color="000000"/>
              <w:right w:val="nil"/>
            </w:tcBorders>
            <w:tcMar>
              <w:top w:w="100" w:type="dxa"/>
              <w:left w:w="120" w:type="dxa"/>
              <w:bottom w:w="100" w:type="dxa"/>
              <w:right w:w="120" w:type="dxa"/>
            </w:tcMar>
            <w:vAlign w:val="center"/>
          </w:tcPr>
          <w:p w14:paraId="2A9008A1" w14:textId="77777777" w:rsidR="00913A88" w:rsidRPr="0072415B" w:rsidRDefault="00913A88" w:rsidP="00E9349A">
            <w:pPr>
              <w:spacing w:line="480" w:lineRule="auto"/>
              <w:rPr>
                <w:b/>
                <w:bCs/>
                <w:sz w:val="20"/>
                <w:szCs w:val="20"/>
              </w:rPr>
            </w:pPr>
            <w:r w:rsidRPr="0072415B">
              <w:rPr>
                <w:b/>
                <w:bCs/>
                <w:sz w:val="20"/>
                <w:szCs w:val="20"/>
              </w:rPr>
              <w:t>NPV</w:t>
            </w:r>
          </w:p>
        </w:tc>
        <w:tc>
          <w:tcPr>
            <w:tcW w:w="1705" w:type="dxa"/>
            <w:tcBorders>
              <w:top w:val="single" w:sz="6" w:space="0" w:color="000000"/>
              <w:left w:val="nil"/>
              <w:bottom w:val="single" w:sz="6" w:space="0" w:color="000000"/>
              <w:right w:val="nil"/>
            </w:tcBorders>
            <w:tcMar>
              <w:top w:w="100" w:type="dxa"/>
              <w:left w:w="120" w:type="dxa"/>
              <w:bottom w:w="100" w:type="dxa"/>
              <w:right w:w="120" w:type="dxa"/>
            </w:tcMar>
            <w:vAlign w:val="center"/>
          </w:tcPr>
          <w:p w14:paraId="72A7C3AE" w14:textId="77777777" w:rsidR="00913A88" w:rsidRPr="0072415B" w:rsidRDefault="00913A88" w:rsidP="00E9349A">
            <w:pPr>
              <w:spacing w:line="480" w:lineRule="auto"/>
              <w:rPr>
                <w:b/>
                <w:bCs/>
                <w:sz w:val="20"/>
                <w:szCs w:val="20"/>
              </w:rPr>
            </w:pPr>
            <w:r w:rsidRPr="0072415B">
              <w:rPr>
                <w:b/>
                <w:bCs/>
                <w:sz w:val="20"/>
                <w:szCs w:val="20"/>
              </w:rPr>
              <w:t>F1 score</w:t>
            </w:r>
          </w:p>
        </w:tc>
      </w:tr>
      <w:tr w:rsidR="00913A88" w:rsidRPr="0072415B" w14:paraId="0C2EE863" w14:textId="77777777" w:rsidTr="00E9349A">
        <w:trPr>
          <w:trHeight w:val="630"/>
          <w:jc w:val="center"/>
        </w:trPr>
        <w:tc>
          <w:tcPr>
            <w:tcW w:w="1276" w:type="dxa"/>
            <w:tcBorders>
              <w:top w:val="nil"/>
              <w:left w:val="nil"/>
              <w:bottom w:val="nil"/>
              <w:right w:val="nil"/>
            </w:tcBorders>
            <w:tcMar>
              <w:top w:w="100" w:type="dxa"/>
              <w:left w:w="120" w:type="dxa"/>
              <w:bottom w:w="100" w:type="dxa"/>
              <w:right w:w="120" w:type="dxa"/>
            </w:tcMar>
            <w:vAlign w:val="center"/>
          </w:tcPr>
          <w:p w14:paraId="2211FECB" w14:textId="77777777" w:rsidR="00913A88" w:rsidRPr="004B6B4B" w:rsidRDefault="00913A88" w:rsidP="00E9349A">
            <w:pPr>
              <w:spacing w:line="480" w:lineRule="auto"/>
              <w:rPr>
                <w:sz w:val="16"/>
                <w:szCs w:val="16"/>
              </w:rPr>
            </w:pPr>
            <w:proofErr w:type="gramStart"/>
            <w:r w:rsidRPr="0072415B">
              <w:rPr>
                <w:color w:val="000000"/>
                <w:sz w:val="16"/>
                <w:szCs w:val="16"/>
              </w:rPr>
              <w:t>Internal-tuned</w:t>
            </w:r>
            <w:proofErr w:type="gramEnd"/>
          </w:p>
        </w:tc>
        <w:tc>
          <w:tcPr>
            <w:tcW w:w="1701" w:type="dxa"/>
            <w:tcBorders>
              <w:top w:val="nil"/>
              <w:left w:val="nil"/>
              <w:bottom w:val="nil"/>
              <w:right w:val="nil"/>
            </w:tcBorders>
            <w:tcMar>
              <w:top w:w="100" w:type="dxa"/>
              <w:left w:w="120" w:type="dxa"/>
              <w:bottom w:w="100" w:type="dxa"/>
              <w:right w:w="120" w:type="dxa"/>
            </w:tcMar>
            <w:vAlign w:val="center"/>
          </w:tcPr>
          <w:p w14:paraId="27686F30" w14:textId="77777777" w:rsidR="00913A88" w:rsidRPr="004B6B4B" w:rsidRDefault="00913A88" w:rsidP="00E9349A">
            <w:pPr>
              <w:spacing w:line="480" w:lineRule="auto"/>
              <w:rPr>
                <w:sz w:val="16"/>
                <w:szCs w:val="16"/>
              </w:rPr>
            </w:pPr>
            <w:r w:rsidRPr="0072415B">
              <w:rPr>
                <w:color w:val="000000"/>
                <w:sz w:val="16"/>
                <w:szCs w:val="16"/>
              </w:rPr>
              <w:t>All-datasets</w:t>
            </w:r>
          </w:p>
        </w:tc>
        <w:tc>
          <w:tcPr>
            <w:tcW w:w="1843" w:type="dxa"/>
            <w:tcBorders>
              <w:top w:val="nil"/>
              <w:left w:val="nil"/>
              <w:bottom w:val="nil"/>
              <w:right w:val="nil"/>
            </w:tcBorders>
            <w:tcMar>
              <w:top w:w="100" w:type="dxa"/>
              <w:left w:w="120" w:type="dxa"/>
              <w:bottom w:w="100" w:type="dxa"/>
              <w:right w:w="120" w:type="dxa"/>
            </w:tcMar>
            <w:vAlign w:val="center"/>
          </w:tcPr>
          <w:p w14:paraId="6C7E5C2D" w14:textId="77777777" w:rsidR="00913A88" w:rsidRPr="004B6B4B" w:rsidRDefault="00913A88" w:rsidP="00E9349A">
            <w:pPr>
              <w:spacing w:line="480" w:lineRule="auto"/>
              <w:rPr>
                <w:sz w:val="16"/>
                <w:szCs w:val="16"/>
              </w:rPr>
            </w:pPr>
            <w:r w:rsidRPr="0072415B">
              <w:rPr>
                <w:color w:val="000000"/>
                <w:sz w:val="16"/>
                <w:szCs w:val="16"/>
              </w:rPr>
              <w:t>ConvNeXt-Small</w:t>
            </w:r>
          </w:p>
        </w:tc>
        <w:tc>
          <w:tcPr>
            <w:tcW w:w="1701" w:type="dxa"/>
            <w:tcBorders>
              <w:top w:val="nil"/>
              <w:left w:val="nil"/>
              <w:bottom w:val="nil"/>
              <w:right w:val="nil"/>
            </w:tcBorders>
            <w:tcMar>
              <w:top w:w="100" w:type="dxa"/>
              <w:left w:w="120" w:type="dxa"/>
              <w:bottom w:w="100" w:type="dxa"/>
              <w:right w:w="120" w:type="dxa"/>
            </w:tcMar>
            <w:vAlign w:val="center"/>
          </w:tcPr>
          <w:p w14:paraId="46A31F16" w14:textId="77777777" w:rsidR="00913A88" w:rsidRPr="004B6B4B" w:rsidRDefault="00913A88" w:rsidP="00E9349A">
            <w:pPr>
              <w:spacing w:line="480" w:lineRule="auto"/>
              <w:rPr>
                <w:sz w:val="16"/>
                <w:szCs w:val="16"/>
              </w:rPr>
            </w:pPr>
            <w:r w:rsidRPr="0072415B">
              <w:rPr>
                <w:color w:val="000000"/>
                <w:sz w:val="16"/>
                <w:szCs w:val="16"/>
              </w:rPr>
              <w:t>0.966 (0.960–0.971)</w:t>
            </w:r>
          </w:p>
        </w:tc>
        <w:tc>
          <w:tcPr>
            <w:tcW w:w="1701" w:type="dxa"/>
            <w:tcBorders>
              <w:top w:val="nil"/>
              <w:left w:val="nil"/>
              <w:bottom w:val="nil"/>
              <w:right w:val="nil"/>
            </w:tcBorders>
            <w:tcMar>
              <w:top w:w="100" w:type="dxa"/>
              <w:left w:w="120" w:type="dxa"/>
              <w:bottom w:w="100" w:type="dxa"/>
              <w:right w:w="120" w:type="dxa"/>
            </w:tcMar>
            <w:vAlign w:val="center"/>
          </w:tcPr>
          <w:p w14:paraId="7AEC68AE" w14:textId="77777777" w:rsidR="00913A88" w:rsidRPr="004B6B4B" w:rsidRDefault="00913A88" w:rsidP="00E9349A">
            <w:pPr>
              <w:spacing w:line="480" w:lineRule="auto"/>
              <w:rPr>
                <w:sz w:val="16"/>
                <w:szCs w:val="16"/>
              </w:rPr>
            </w:pPr>
            <w:r w:rsidRPr="0072415B">
              <w:rPr>
                <w:color w:val="000000"/>
                <w:sz w:val="16"/>
                <w:szCs w:val="16"/>
              </w:rPr>
              <w:t>0.980 (0.970–0.989)</w:t>
            </w:r>
          </w:p>
        </w:tc>
        <w:tc>
          <w:tcPr>
            <w:tcW w:w="1701" w:type="dxa"/>
            <w:tcBorders>
              <w:top w:val="nil"/>
              <w:left w:val="nil"/>
              <w:bottom w:val="nil"/>
              <w:right w:val="nil"/>
            </w:tcBorders>
            <w:tcMar>
              <w:top w:w="100" w:type="dxa"/>
              <w:left w:w="120" w:type="dxa"/>
              <w:bottom w:w="100" w:type="dxa"/>
              <w:right w:w="120" w:type="dxa"/>
            </w:tcMar>
            <w:vAlign w:val="center"/>
          </w:tcPr>
          <w:p w14:paraId="5A78C54F" w14:textId="77777777" w:rsidR="00913A88" w:rsidRPr="004B6B4B" w:rsidRDefault="00913A88" w:rsidP="00E9349A">
            <w:pPr>
              <w:spacing w:line="480" w:lineRule="auto"/>
              <w:rPr>
                <w:sz w:val="16"/>
                <w:szCs w:val="16"/>
              </w:rPr>
            </w:pPr>
            <w:r w:rsidRPr="0072415B">
              <w:rPr>
                <w:color w:val="000000"/>
                <w:sz w:val="16"/>
                <w:szCs w:val="16"/>
              </w:rPr>
              <w:t>0.841 (0.830–0.852)</w:t>
            </w:r>
          </w:p>
        </w:tc>
        <w:tc>
          <w:tcPr>
            <w:tcW w:w="1701" w:type="dxa"/>
            <w:tcBorders>
              <w:top w:val="nil"/>
              <w:left w:val="nil"/>
              <w:bottom w:val="nil"/>
              <w:right w:val="nil"/>
            </w:tcBorders>
            <w:tcMar>
              <w:top w:w="100" w:type="dxa"/>
              <w:left w:w="120" w:type="dxa"/>
              <w:bottom w:w="100" w:type="dxa"/>
              <w:right w:w="120" w:type="dxa"/>
            </w:tcMar>
            <w:vAlign w:val="center"/>
          </w:tcPr>
          <w:p w14:paraId="66364954" w14:textId="77777777" w:rsidR="00913A88" w:rsidRPr="004B6B4B" w:rsidRDefault="00913A88" w:rsidP="00E9349A">
            <w:pPr>
              <w:spacing w:line="480" w:lineRule="auto"/>
              <w:rPr>
                <w:sz w:val="16"/>
                <w:szCs w:val="16"/>
              </w:rPr>
            </w:pPr>
            <w:r w:rsidRPr="0072415B">
              <w:rPr>
                <w:color w:val="000000"/>
                <w:sz w:val="16"/>
                <w:szCs w:val="16"/>
              </w:rPr>
              <w:t>0.527 (0.503–0.552)</w:t>
            </w:r>
          </w:p>
        </w:tc>
        <w:tc>
          <w:tcPr>
            <w:tcW w:w="1701" w:type="dxa"/>
            <w:tcBorders>
              <w:top w:val="nil"/>
              <w:left w:val="nil"/>
              <w:bottom w:val="nil"/>
              <w:right w:val="nil"/>
            </w:tcBorders>
            <w:tcMar>
              <w:top w:w="100" w:type="dxa"/>
              <w:left w:w="120" w:type="dxa"/>
              <w:bottom w:w="100" w:type="dxa"/>
              <w:right w:w="120" w:type="dxa"/>
            </w:tcMar>
            <w:vAlign w:val="center"/>
          </w:tcPr>
          <w:p w14:paraId="4BA80F5B" w14:textId="77777777" w:rsidR="00913A88" w:rsidRPr="004B6B4B" w:rsidRDefault="00913A88" w:rsidP="00E9349A">
            <w:pPr>
              <w:spacing w:line="480" w:lineRule="auto"/>
              <w:rPr>
                <w:sz w:val="16"/>
                <w:szCs w:val="16"/>
              </w:rPr>
            </w:pPr>
            <w:r w:rsidRPr="0072415B">
              <w:rPr>
                <w:color w:val="000000"/>
                <w:sz w:val="16"/>
                <w:szCs w:val="16"/>
              </w:rPr>
              <w:t>0.996 (0.994–0.998)</w:t>
            </w:r>
          </w:p>
        </w:tc>
        <w:tc>
          <w:tcPr>
            <w:tcW w:w="1705" w:type="dxa"/>
            <w:tcBorders>
              <w:top w:val="nil"/>
              <w:left w:val="nil"/>
              <w:bottom w:val="nil"/>
              <w:right w:val="nil"/>
            </w:tcBorders>
            <w:tcMar>
              <w:top w:w="100" w:type="dxa"/>
              <w:left w:w="120" w:type="dxa"/>
              <w:bottom w:w="100" w:type="dxa"/>
              <w:right w:w="120" w:type="dxa"/>
            </w:tcMar>
            <w:vAlign w:val="center"/>
          </w:tcPr>
          <w:p w14:paraId="0961E8DC" w14:textId="77777777" w:rsidR="00913A88" w:rsidRPr="004B6B4B" w:rsidRDefault="00913A88" w:rsidP="00E9349A">
            <w:pPr>
              <w:spacing w:line="480" w:lineRule="auto"/>
              <w:rPr>
                <w:sz w:val="16"/>
                <w:szCs w:val="16"/>
              </w:rPr>
            </w:pPr>
            <w:r w:rsidRPr="0072415B">
              <w:rPr>
                <w:color w:val="000000"/>
                <w:sz w:val="16"/>
                <w:szCs w:val="16"/>
              </w:rPr>
              <w:t>0.685 (0.664–0.706)</w:t>
            </w:r>
          </w:p>
        </w:tc>
      </w:tr>
      <w:tr w:rsidR="00913A88" w:rsidRPr="0072415B" w14:paraId="5902D5C5" w14:textId="77777777" w:rsidTr="00E9349A">
        <w:trPr>
          <w:trHeight w:val="615"/>
          <w:jc w:val="center"/>
        </w:trPr>
        <w:tc>
          <w:tcPr>
            <w:tcW w:w="1276" w:type="dxa"/>
            <w:tcBorders>
              <w:top w:val="nil"/>
              <w:left w:val="nil"/>
              <w:bottom w:val="nil"/>
              <w:right w:val="nil"/>
            </w:tcBorders>
            <w:tcMar>
              <w:top w:w="100" w:type="dxa"/>
              <w:left w:w="120" w:type="dxa"/>
              <w:bottom w:w="100" w:type="dxa"/>
              <w:right w:w="120" w:type="dxa"/>
            </w:tcMar>
            <w:vAlign w:val="center"/>
          </w:tcPr>
          <w:p w14:paraId="7E95D4BC" w14:textId="77777777" w:rsidR="00913A88" w:rsidRPr="004B6B4B" w:rsidRDefault="00913A88" w:rsidP="00E9349A">
            <w:pPr>
              <w:spacing w:line="480" w:lineRule="auto"/>
              <w:rPr>
                <w:sz w:val="16"/>
                <w:szCs w:val="16"/>
              </w:rPr>
            </w:pPr>
            <w:r w:rsidRPr="004B6B4B">
              <w:rPr>
                <w:color w:val="000000"/>
                <w:sz w:val="16"/>
                <w:szCs w:val="16"/>
              </w:rPr>
              <w:t> </w:t>
            </w:r>
          </w:p>
        </w:tc>
        <w:tc>
          <w:tcPr>
            <w:tcW w:w="1701" w:type="dxa"/>
            <w:tcBorders>
              <w:top w:val="nil"/>
              <w:left w:val="nil"/>
              <w:bottom w:val="nil"/>
              <w:right w:val="nil"/>
            </w:tcBorders>
            <w:tcMar>
              <w:top w:w="100" w:type="dxa"/>
              <w:left w:w="120" w:type="dxa"/>
              <w:bottom w:w="100" w:type="dxa"/>
              <w:right w:w="120" w:type="dxa"/>
            </w:tcMar>
            <w:vAlign w:val="center"/>
          </w:tcPr>
          <w:p w14:paraId="550F2808" w14:textId="77777777" w:rsidR="00913A88" w:rsidRPr="004B6B4B" w:rsidRDefault="00913A88" w:rsidP="00E9349A">
            <w:pPr>
              <w:spacing w:line="480" w:lineRule="auto"/>
              <w:rPr>
                <w:sz w:val="16"/>
                <w:szCs w:val="16"/>
              </w:rPr>
            </w:pPr>
            <w:r w:rsidRPr="004B6B4B">
              <w:rPr>
                <w:color w:val="000000"/>
                <w:sz w:val="16"/>
                <w:szCs w:val="16"/>
              </w:rPr>
              <w:t> </w:t>
            </w:r>
          </w:p>
        </w:tc>
        <w:tc>
          <w:tcPr>
            <w:tcW w:w="1843" w:type="dxa"/>
            <w:tcBorders>
              <w:top w:val="nil"/>
              <w:left w:val="nil"/>
              <w:bottom w:val="nil"/>
              <w:right w:val="nil"/>
            </w:tcBorders>
            <w:tcMar>
              <w:top w:w="100" w:type="dxa"/>
              <w:left w:w="120" w:type="dxa"/>
              <w:bottom w:w="100" w:type="dxa"/>
              <w:right w:w="120" w:type="dxa"/>
            </w:tcMar>
            <w:vAlign w:val="center"/>
          </w:tcPr>
          <w:p w14:paraId="417F9EC9" w14:textId="77777777" w:rsidR="00913A88" w:rsidRPr="004B6B4B" w:rsidRDefault="00913A88" w:rsidP="00E9349A">
            <w:pPr>
              <w:spacing w:line="480" w:lineRule="auto"/>
              <w:rPr>
                <w:sz w:val="16"/>
                <w:szCs w:val="16"/>
              </w:rPr>
            </w:pPr>
            <w:r w:rsidRPr="0072415B">
              <w:rPr>
                <w:color w:val="000000"/>
                <w:sz w:val="16"/>
                <w:szCs w:val="16"/>
              </w:rPr>
              <w:t>ViT-Small</w:t>
            </w:r>
          </w:p>
        </w:tc>
        <w:tc>
          <w:tcPr>
            <w:tcW w:w="1701" w:type="dxa"/>
            <w:tcBorders>
              <w:top w:val="nil"/>
              <w:left w:val="nil"/>
              <w:bottom w:val="nil"/>
              <w:right w:val="nil"/>
            </w:tcBorders>
            <w:tcMar>
              <w:top w:w="100" w:type="dxa"/>
              <w:left w:w="120" w:type="dxa"/>
              <w:bottom w:w="100" w:type="dxa"/>
              <w:right w:w="120" w:type="dxa"/>
            </w:tcMar>
            <w:vAlign w:val="center"/>
          </w:tcPr>
          <w:p w14:paraId="57FB63BA" w14:textId="77777777" w:rsidR="00913A88" w:rsidRPr="004B6B4B" w:rsidRDefault="00913A88" w:rsidP="00E9349A">
            <w:pPr>
              <w:spacing w:line="480" w:lineRule="auto"/>
              <w:rPr>
                <w:sz w:val="16"/>
                <w:szCs w:val="16"/>
              </w:rPr>
            </w:pPr>
            <w:r w:rsidRPr="0072415B">
              <w:rPr>
                <w:color w:val="000000"/>
                <w:sz w:val="16"/>
                <w:szCs w:val="16"/>
              </w:rPr>
              <w:t>0.971 (0.965–0.976)</w:t>
            </w:r>
          </w:p>
        </w:tc>
        <w:tc>
          <w:tcPr>
            <w:tcW w:w="1701" w:type="dxa"/>
            <w:tcBorders>
              <w:top w:val="nil"/>
              <w:left w:val="nil"/>
              <w:bottom w:val="nil"/>
              <w:right w:val="nil"/>
            </w:tcBorders>
            <w:tcMar>
              <w:top w:w="100" w:type="dxa"/>
              <w:left w:w="120" w:type="dxa"/>
              <w:bottom w:w="100" w:type="dxa"/>
              <w:right w:w="120" w:type="dxa"/>
            </w:tcMar>
            <w:vAlign w:val="center"/>
          </w:tcPr>
          <w:p w14:paraId="622DC730" w14:textId="77777777" w:rsidR="00913A88" w:rsidRPr="004B6B4B" w:rsidRDefault="00913A88" w:rsidP="00E9349A">
            <w:pPr>
              <w:spacing w:line="480" w:lineRule="auto"/>
              <w:rPr>
                <w:sz w:val="16"/>
                <w:szCs w:val="16"/>
              </w:rPr>
            </w:pPr>
            <w:r w:rsidRPr="0072415B">
              <w:rPr>
                <w:color w:val="000000"/>
                <w:sz w:val="16"/>
                <w:szCs w:val="16"/>
              </w:rPr>
              <w:t>0.980 (0.970–0.989)</w:t>
            </w:r>
          </w:p>
        </w:tc>
        <w:tc>
          <w:tcPr>
            <w:tcW w:w="1701" w:type="dxa"/>
            <w:tcBorders>
              <w:top w:val="nil"/>
              <w:left w:val="nil"/>
              <w:bottom w:val="nil"/>
              <w:right w:val="nil"/>
            </w:tcBorders>
            <w:tcMar>
              <w:top w:w="100" w:type="dxa"/>
              <w:left w:w="120" w:type="dxa"/>
              <w:bottom w:w="100" w:type="dxa"/>
              <w:right w:w="120" w:type="dxa"/>
            </w:tcMar>
            <w:vAlign w:val="center"/>
          </w:tcPr>
          <w:p w14:paraId="113F5681" w14:textId="77777777" w:rsidR="00913A88" w:rsidRPr="004B6B4B" w:rsidRDefault="00913A88" w:rsidP="00E9349A">
            <w:pPr>
              <w:spacing w:line="480" w:lineRule="auto"/>
              <w:rPr>
                <w:sz w:val="16"/>
                <w:szCs w:val="16"/>
              </w:rPr>
            </w:pPr>
            <w:r w:rsidRPr="0072415B">
              <w:rPr>
                <w:color w:val="000000"/>
                <w:sz w:val="16"/>
                <w:szCs w:val="16"/>
              </w:rPr>
              <w:t>0.775 (0.762–0.786)</w:t>
            </w:r>
          </w:p>
        </w:tc>
        <w:tc>
          <w:tcPr>
            <w:tcW w:w="1701" w:type="dxa"/>
            <w:tcBorders>
              <w:top w:val="nil"/>
              <w:left w:val="nil"/>
              <w:bottom w:val="nil"/>
              <w:right w:val="nil"/>
            </w:tcBorders>
            <w:tcMar>
              <w:top w:w="100" w:type="dxa"/>
              <w:left w:w="120" w:type="dxa"/>
              <w:bottom w:w="100" w:type="dxa"/>
              <w:right w:w="120" w:type="dxa"/>
            </w:tcMar>
            <w:vAlign w:val="center"/>
          </w:tcPr>
          <w:p w14:paraId="45E65314" w14:textId="77777777" w:rsidR="00913A88" w:rsidRPr="004B6B4B" w:rsidRDefault="00913A88" w:rsidP="00E9349A">
            <w:pPr>
              <w:spacing w:line="480" w:lineRule="auto"/>
              <w:rPr>
                <w:sz w:val="16"/>
                <w:szCs w:val="16"/>
              </w:rPr>
            </w:pPr>
            <w:r w:rsidRPr="0072415B">
              <w:rPr>
                <w:color w:val="000000"/>
                <w:sz w:val="16"/>
                <w:szCs w:val="16"/>
              </w:rPr>
              <w:t>0.439 (0.416–0.461)</w:t>
            </w:r>
          </w:p>
        </w:tc>
        <w:tc>
          <w:tcPr>
            <w:tcW w:w="1701" w:type="dxa"/>
            <w:tcBorders>
              <w:top w:val="nil"/>
              <w:left w:val="nil"/>
              <w:bottom w:val="nil"/>
              <w:right w:val="nil"/>
            </w:tcBorders>
            <w:tcMar>
              <w:top w:w="100" w:type="dxa"/>
              <w:left w:w="120" w:type="dxa"/>
              <w:bottom w:w="100" w:type="dxa"/>
              <w:right w:w="120" w:type="dxa"/>
            </w:tcMar>
            <w:vAlign w:val="center"/>
          </w:tcPr>
          <w:p w14:paraId="300DF34B" w14:textId="77777777" w:rsidR="00913A88" w:rsidRPr="004B6B4B" w:rsidRDefault="00913A88" w:rsidP="00E9349A">
            <w:pPr>
              <w:spacing w:line="480" w:lineRule="auto"/>
              <w:rPr>
                <w:sz w:val="16"/>
                <w:szCs w:val="16"/>
              </w:rPr>
            </w:pPr>
            <w:r w:rsidRPr="0072415B">
              <w:rPr>
                <w:color w:val="000000"/>
                <w:sz w:val="16"/>
                <w:szCs w:val="16"/>
              </w:rPr>
              <w:t>0.995 (0.993–0.997)</w:t>
            </w:r>
          </w:p>
        </w:tc>
        <w:tc>
          <w:tcPr>
            <w:tcW w:w="1705" w:type="dxa"/>
            <w:tcBorders>
              <w:top w:val="nil"/>
              <w:left w:val="nil"/>
              <w:bottom w:val="nil"/>
              <w:right w:val="nil"/>
            </w:tcBorders>
            <w:tcMar>
              <w:top w:w="100" w:type="dxa"/>
              <w:left w:w="120" w:type="dxa"/>
              <w:bottom w:w="100" w:type="dxa"/>
              <w:right w:w="120" w:type="dxa"/>
            </w:tcMar>
            <w:vAlign w:val="center"/>
          </w:tcPr>
          <w:p w14:paraId="223B5399" w14:textId="77777777" w:rsidR="00913A88" w:rsidRPr="004B6B4B" w:rsidRDefault="00913A88" w:rsidP="00E9349A">
            <w:pPr>
              <w:spacing w:line="480" w:lineRule="auto"/>
              <w:rPr>
                <w:sz w:val="16"/>
                <w:szCs w:val="16"/>
              </w:rPr>
            </w:pPr>
            <w:r w:rsidRPr="0072415B">
              <w:rPr>
                <w:color w:val="000000"/>
                <w:sz w:val="16"/>
                <w:szCs w:val="16"/>
              </w:rPr>
              <w:t>0.607 (0.585–0.627)</w:t>
            </w:r>
          </w:p>
        </w:tc>
      </w:tr>
      <w:tr w:rsidR="00913A88" w:rsidRPr="0072415B" w14:paraId="7890A000" w14:textId="77777777" w:rsidTr="00E9349A">
        <w:trPr>
          <w:trHeight w:val="615"/>
          <w:jc w:val="center"/>
        </w:trPr>
        <w:tc>
          <w:tcPr>
            <w:tcW w:w="1276" w:type="dxa"/>
            <w:tcBorders>
              <w:top w:val="nil"/>
              <w:left w:val="nil"/>
              <w:bottom w:val="nil"/>
              <w:right w:val="nil"/>
            </w:tcBorders>
            <w:tcMar>
              <w:top w:w="100" w:type="dxa"/>
              <w:left w:w="120" w:type="dxa"/>
              <w:bottom w:w="100" w:type="dxa"/>
              <w:right w:w="120" w:type="dxa"/>
            </w:tcMar>
            <w:vAlign w:val="center"/>
          </w:tcPr>
          <w:p w14:paraId="5CCFC174" w14:textId="77777777" w:rsidR="00913A88" w:rsidRPr="004B6B4B" w:rsidRDefault="00913A88" w:rsidP="00E9349A">
            <w:pPr>
              <w:spacing w:line="480" w:lineRule="auto"/>
              <w:rPr>
                <w:sz w:val="16"/>
                <w:szCs w:val="16"/>
              </w:rPr>
            </w:pPr>
            <w:r w:rsidRPr="004B6B4B">
              <w:rPr>
                <w:color w:val="000000"/>
                <w:sz w:val="16"/>
                <w:szCs w:val="16"/>
              </w:rPr>
              <w:t> </w:t>
            </w:r>
          </w:p>
        </w:tc>
        <w:tc>
          <w:tcPr>
            <w:tcW w:w="1701" w:type="dxa"/>
            <w:tcBorders>
              <w:top w:val="nil"/>
              <w:left w:val="nil"/>
              <w:bottom w:val="nil"/>
              <w:right w:val="nil"/>
            </w:tcBorders>
            <w:tcMar>
              <w:top w:w="100" w:type="dxa"/>
              <w:left w:w="120" w:type="dxa"/>
              <w:bottom w:w="100" w:type="dxa"/>
              <w:right w:w="120" w:type="dxa"/>
            </w:tcMar>
            <w:vAlign w:val="center"/>
          </w:tcPr>
          <w:p w14:paraId="293D65A5" w14:textId="77777777" w:rsidR="00913A88" w:rsidRPr="004B6B4B" w:rsidRDefault="00913A88" w:rsidP="00E9349A">
            <w:pPr>
              <w:spacing w:line="480" w:lineRule="auto"/>
              <w:rPr>
                <w:sz w:val="16"/>
                <w:szCs w:val="16"/>
              </w:rPr>
            </w:pPr>
            <w:r w:rsidRPr="004B6B4B">
              <w:rPr>
                <w:color w:val="000000"/>
                <w:sz w:val="16"/>
                <w:szCs w:val="16"/>
              </w:rPr>
              <w:t> </w:t>
            </w:r>
          </w:p>
        </w:tc>
        <w:tc>
          <w:tcPr>
            <w:tcW w:w="1843" w:type="dxa"/>
            <w:tcBorders>
              <w:top w:val="nil"/>
              <w:left w:val="nil"/>
              <w:bottom w:val="nil"/>
              <w:right w:val="nil"/>
            </w:tcBorders>
            <w:tcMar>
              <w:top w:w="100" w:type="dxa"/>
              <w:left w:w="120" w:type="dxa"/>
              <w:bottom w:w="100" w:type="dxa"/>
              <w:right w:w="120" w:type="dxa"/>
            </w:tcMar>
            <w:vAlign w:val="center"/>
          </w:tcPr>
          <w:p w14:paraId="33713100" w14:textId="77777777" w:rsidR="00913A88" w:rsidRPr="004B6B4B" w:rsidRDefault="00913A88" w:rsidP="00E9349A">
            <w:pPr>
              <w:spacing w:line="480" w:lineRule="auto"/>
              <w:rPr>
                <w:sz w:val="16"/>
                <w:szCs w:val="16"/>
              </w:rPr>
            </w:pPr>
            <w:r w:rsidRPr="0072415B">
              <w:rPr>
                <w:color w:val="000000"/>
                <w:sz w:val="16"/>
                <w:szCs w:val="16"/>
              </w:rPr>
              <w:t>RETFound DINOv2</w:t>
            </w:r>
          </w:p>
        </w:tc>
        <w:tc>
          <w:tcPr>
            <w:tcW w:w="1701" w:type="dxa"/>
            <w:tcBorders>
              <w:top w:val="nil"/>
              <w:left w:val="nil"/>
              <w:bottom w:val="nil"/>
              <w:right w:val="nil"/>
            </w:tcBorders>
            <w:tcMar>
              <w:top w:w="100" w:type="dxa"/>
              <w:left w:w="120" w:type="dxa"/>
              <w:bottom w:w="100" w:type="dxa"/>
              <w:right w:w="120" w:type="dxa"/>
            </w:tcMar>
            <w:vAlign w:val="center"/>
          </w:tcPr>
          <w:p w14:paraId="1871A079" w14:textId="77777777" w:rsidR="00913A88" w:rsidRPr="004B6B4B" w:rsidRDefault="00913A88" w:rsidP="00E9349A">
            <w:pPr>
              <w:spacing w:line="480" w:lineRule="auto"/>
              <w:rPr>
                <w:sz w:val="16"/>
                <w:szCs w:val="16"/>
              </w:rPr>
            </w:pPr>
            <w:r w:rsidRPr="0072415B">
              <w:rPr>
                <w:color w:val="000000"/>
                <w:sz w:val="16"/>
                <w:szCs w:val="16"/>
              </w:rPr>
              <w:t>0.972 (0.966–0.977)</w:t>
            </w:r>
          </w:p>
        </w:tc>
        <w:tc>
          <w:tcPr>
            <w:tcW w:w="1701" w:type="dxa"/>
            <w:tcBorders>
              <w:top w:val="nil"/>
              <w:left w:val="nil"/>
              <w:bottom w:val="nil"/>
              <w:right w:val="nil"/>
            </w:tcBorders>
            <w:tcMar>
              <w:top w:w="100" w:type="dxa"/>
              <w:left w:w="120" w:type="dxa"/>
              <w:bottom w:w="100" w:type="dxa"/>
              <w:right w:w="120" w:type="dxa"/>
            </w:tcMar>
            <w:vAlign w:val="center"/>
          </w:tcPr>
          <w:p w14:paraId="5A2602C5" w14:textId="77777777" w:rsidR="00913A88" w:rsidRPr="004B6B4B" w:rsidRDefault="00913A88" w:rsidP="00E9349A">
            <w:pPr>
              <w:spacing w:line="480" w:lineRule="auto"/>
              <w:rPr>
                <w:sz w:val="16"/>
                <w:szCs w:val="16"/>
              </w:rPr>
            </w:pPr>
            <w:r w:rsidRPr="0072415B">
              <w:rPr>
                <w:color w:val="000000"/>
                <w:sz w:val="16"/>
                <w:szCs w:val="16"/>
              </w:rPr>
              <w:t>0.979 (0.969–0.988)</w:t>
            </w:r>
          </w:p>
        </w:tc>
        <w:tc>
          <w:tcPr>
            <w:tcW w:w="1701" w:type="dxa"/>
            <w:tcBorders>
              <w:top w:val="nil"/>
              <w:left w:val="nil"/>
              <w:bottom w:val="nil"/>
              <w:right w:val="nil"/>
            </w:tcBorders>
            <w:tcMar>
              <w:top w:w="100" w:type="dxa"/>
              <w:left w:w="120" w:type="dxa"/>
              <w:bottom w:w="100" w:type="dxa"/>
              <w:right w:w="120" w:type="dxa"/>
            </w:tcMar>
            <w:vAlign w:val="center"/>
          </w:tcPr>
          <w:p w14:paraId="7F451DF9" w14:textId="77777777" w:rsidR="00913A88" w:rsidRPr="004B6B4B" w:rsidRDefault="00913A88" w:rsidP="00E9349A">
            <w:pPr>
              <w:spacing w:line="480" w:lineRule="auto"/>
              <w:rPr>
                <w:sz w:val="16"/>
                <w:szCs w:val="16"/>
              </w:rPr>
            </w:pPr>
            <w:r w:rsidRPr="0072415B">
              <w:rPr>
                <w:color w:val="000000"/>
                <w:sz w:val="16"/>
                <w:szCs w:val="16"/>
              </w:rPr>
              <w:t>0.777 (0.765–0.790)</w:t>
            </w:r>
          </w:p>
        </w:tc>
        <w:tc>
          <w:tcPr>
            <w:tcW w:w="1701" w:type="dxa"/>
            <w:tcBorders>
              <w:top w:val="nil"/>
              <w:left w:val="nil"/>
              <w:bottom w:val="nil"/>
              <w:right w:val="nil"/>
            </w:tcBorders>
            <w:tcMar>
              <w:top w:w="100" w:type="dxa"/>
              <w:left w:w="120" w:type="dxa"/>
              <w:bottom w:w="100" w:type="dxa"/>
              <w:right w:w="120" w:type="dxa"/>
            </w:tcMar>
            <w:vAlign w:val="center"/>
          </w:tcPr>
          <w:p w14:paraId="199BD491" w14:textId="77777777" w:rsidR="00913A88" w:rsidRPr="004B6B4B" w:rsidRDefault="00913A88" w:rsidP="00E9349A">
            <w:pPr>
              <w:spacing w:line="480" w:lineRule="auto"/>
              <w:rPr>
                <w:sz w:val="16"/>
                <w:szCs w:val="16"/>
              </w:rPr>
            </w:pPr>
            <w:r w:rsidRPr="0072415B">
              <w:rPr>
                <w:color w:val="000000"/>
                <w:sz w:val="16"/>
                <w:szCs w:val="16"/>
              </w:rPr>
              <w:t>0.442 (0.420–0.464)</w:t>
            </w:r>
          </w:p>
        </w:tc>
        <w:tc>
          <w:tcPr>
            <w:tcW w:w="1701" w:type="dxa"/>
            <w:tcBorders>
              <w:top w:val="nil"/>
              <w:left w:val="nil"/>
              <w:bottom w:val="nil"/>
              <w:right w:val="nil"/>
            </w:tcBorders>
            <w:tcMar>
              <w:top w:w="100" w:type="dxa"/>
              <w:left w:w="120" w:type="dxa"/>
              <w:bottom w:w="100" w:type="dxa"/>
              <w:right w:w="120" w:type="dxa"/>
            </w:tcMar>
            <w:vAlign w:val="center"/>
          </w:tcPr>
          <w:p w14:paraId="0A3682F0" w14:textId="77777777" w:rsidR="00913A88" w:rsidRPr="004B6B4B" w:rsidRDefault="00913A88" w:rsidP="00E9349A">
            <w:pPr>
              <w:spacing w:line="480" w:lineRule="auto"/>
              <w:rPr>
                <w:sz w:val="16"/>
                <w:szCs w:val="16"/>
              </w:rPr>
            </w:pPr>
            <w:r w:rsidRPr="0072415B">
              <w:rPr>
                <w:color w:val="000000"/>
                <w:sz w:val="16"/>
                <w:szCs w:val="16"/>
              </w:rPr>
              <w:t>0.995 (0.993–0.997)</w:t>
            </w:r>
          </w:p>
        </w:tc>
        <w:tc>
          <w:tcPr>
            <w:tcW w:w="1705" w:type="dxa"/>
            <w:tcBorders>
              <w:top w:val="nil"/>
              <w:left w:val="nil"/>
              <w:bottom w:val="nil"/>
              <w:right w:val="nil"/>
            </w:tcBorders>
            <w:tcMar>
              <w:top w:w="100" w:type="dxa"/>
              <w:left w:w="120" w:type="dxa"/>
              <w:bottom w:w="100" w:type="dxa"/>
              <w:right w:w="120" w:type="dxa"/>
            </w:tcMar>
            <w:vAlign w:val="center"/>
          </w:tcPr>
          <w:p w14:paraId="6849F6DE" w14:textId="77777777" w:rsidR="00913A88" w:rsidRPr="004B6B4B" w:rsidRDefault="00913A88" w:rsidP="00E9349A">
            <w:pPr>
              <w:spacing w:line="480" w:lineRule="auto"/>
              <w:rPr>
                <w:sz w:val="16"/>
                <w:szCs w:val="16"/>
              </w:rPr>
            </w:pPr>
            <w:r w:rsidRPr="0072415B">
              <w:rPr>
                <w:color w:val="000000"/>
                <w:sz w:val="16"/>
                <w:szCs w:val="16"/>
              </w:rPr>
              <w:t>0.609 (0.588–0.630)</w:t>
            </w:r>
          </w:p>
        </w:tc>
      </w:tr>
      <w:tr w:rsidR="00913A88" w:rsidRPr="0072415B" w14:paraId="53A81E38" w14:textId="77777777" w:rsidTr="00E9349A">
        <w:trPr>
          <w:trHeight w:val="615"/>
          <w:jc w:val="center"/>
        </w:trPr>
        <w:tc>
          <w:tcPr>
            <w:tcW w:w="1276" w:type="dxa"/>
            <w:tcBorders>
              <w:top w:val="nil"/>
              <w:left w:val="nil"/>
              <w:bottom w:val="nil"/>
              <w:right w:val="nil"/>
            </w:tcBorders>
            <w:tcMar>
              <w:top w:w="100" w:type="dxa"/>
              <w:left w:w="120" w:type="dxa"/>
              <w:bottom w:w="100" w:type="dxa"/>
              <w:right w:w="120" w:type="dxa"/>
            </w:tcMar>
            <w:vAlign w:val="center"/>
          </w:tcPr>
          <w:p w14:paraId="5F571BC8" w14:textId="77777777" w:rsidR="00913A88" w:rsidRPr="004B6B4B" w:rsidRDefault="00913A88" w:rsidP="00E9349A">
            <w:pPr>
              <w:spacing w:line="480" w:lineRule="auto"/>
              <w:rPr>
                <w:sz w:val="16"/>
                <w:szCs w:val="16"/>
              </w:rPr>
            </w:pPr>
            <w:r w:rsidRPr="004B6B4B">
              <w:rPr>
                <w:color w:val="000000"/>
                <w:sz w:val="16"/>
                <w:szCs w:val="16"/>
              </w:rPr>
              <w:t> </w:t>
            </w:r>
          </w:p>
        </w:tc>
        <w:tc>
          <w:tcPr>
            <w:tcW w:w="1701" w:type="dxa"/>
            <w:tcBorders>
              <w:top w:val="nil"/>
              <w:left w:val="nil"/>
              <w:bottom w:val="nil"/>
              <w:right w:val="nil"/>
            </w:tcBorders>
            <w:tcMar>
              <w:top w:w="100" w:type="dxa"/>
              <w:left w:w="120" w:type="dxa"/>
              <w:bottom w:w="100" w:type="dxa"/>
              <w:right w:w="120" w:type="dxa"/>
            </w:tcMar>
            <w:vAlign w:val="center"/>
          </w:tcPr>
          <w:p w14:paraId="2BD1A432" w14:textId="77777777" w:rsidR="00913A88" w:rsidRPr="004B6B4B" w:rsidRDefault="00913A88" w:rsidP="00E9349A">
            <w:pPr>
              <w:spacing w:line="480" w:lineRule="auto"/>
              <w:rPr>
                <w:sz w:val="16"/>
                <w:szCs w:val="16"/>
              </w:rPr>
            </w:pPr>
            <w:r w:rsidRPr="0072415B">
              <w:rPr>
                <w:color w:val="000000"/>
                <w:sz w:val="16"/>
                <w:szCs w:val="16"/>
              </w:rPr>
              <w:t>Clinic-based</w:t>
            </w:r>
          </w:p>
        </w:tc>
        <w:tc>
          <w:tcPr>
            <w:tcW w:w="1843" w:type="dxa"/>
            <w:tcBorders>
              <w:top w:val="nil"/>
              <w:left w:val="nil"/>
              <w:bottom w:val="nil"/>
              <w:right w:val="nil"/>
            </w:tcBorders>
            <w:tcMar>
              <w:top w:w="100" w:type="dxa"/>
              <w:left w:w="120" w:type="dxa"/>
              <w:bottom w:w="100" w:type="dxa"/>
              <w:right w:w="120" w:type="dxa"/>
            </w:tcMar>
            <w:vAlign w:val="center"/>
          </w:tcPr>
          <w:p w14:paraId="2494D228" w14:textId="77777777" w:rsidR="00913A88" w:rsidRPr="004B6B4B" w:rsidRDefault="00913A88" w:rsidP="00E9349A">
            <w:pPr>
              <w:spacing w:line="480" w:lineRule="auto"/>
              <w:rPr>
                <w:sz w:val="16"/>
                <w:szCs w:val="16"/>
              </w:rPr>
            </w:pPr>
            <w:r w:rsidRPr="0072415B">
              <w:rPr>
                <w:color w:val="000000"/>
                <w:sz w:val="16"/>
                <w:szCs w:val="16"/>
              </w:rPr>
              <w:t>ConvNeXt-Small</w:t>
            </w:r>
          </w:p>
        </w:tc>
        <w:tc>
          <w:tcPr>
            <w:tcW w:w="1701" w:type="dxa"/>
            <w:tcBorders>
              <w:top w:val="nil"/>
              <w:left w:val="nil"/>
              <w:bottom w:val="nil"/>
              <w:right w:val="nil"/>
            </w:tcBorders>
            <w:tcMar>
              <w:top w:w="100" w:type="dxa"/>
              <w:left w:w="120" w:type="dxa"/>
              <w:bottom w:w="100" w:type="dxa"/>
              <w:right w:w="120" w:type="dxa"/>
            </w:tcMar>
            <w:vAlign w:val="center"/>
          </w:tcPr>
          <w:p w14:paraId="7C4F00A6" w14:textId="77777777" w:rsidR="00913A88" w:rsidRPr="004B6B4B" w:rsidRDefault="00913A88" w:rsidP="00E9349A">
            <w:pPr>
              <w:spacing w:line="480" w:lineRule="auto"/>
              <w:rPr>
                <w:sz w:val="16"/>
                <w:szCs w:val="16"/>
              </w:rPr>
            </w:pPr>
            <w:r w:rsidRPr="0072415B">
              <w:rPr>
                <w:color w:val="000000"/>
                <w:sz w:val="16"/>
                <w:szCs w:val="16"/>
              </w:rPr>
              <w:t>0.971 (0.963–0.978)</w:t>
            </w:r>
          </w:p>
        </w:tc>
        <w:tc>
          <w:tcPr>
            <w:tcW w:w="1701" w:type="dxa"/>
            <w:tcBorders>
              <w:top w:val="nil"/>
              <w:left w:val="nil"/>
              <w:bottom w:val="nil"/>
              <w:right w:val="nil"/>
            </w:tcBorders>
            <w:tcMar>
              <w:top w:w="100" w:type="dxa"/>
              <w:left w:w="120" w:type="dxa"/>
              <w:bottom w:w="100" w:type="dxa"/>
              <w:right w:w="120" w:type="dxa"/>
            </w:tcMar>
            <w:vAlign w:val="center"/>
          </w:tcPr>
          <w:p w14:paraId="7DD8E260" w14:textId="77777777" w:rsidR="00913A88" w:rsidRPr="004B6B4B" w:rsidRDefault="00913A88" w:rsidP="00E9349A">
            <w:pPr>
              <w:spacing w:line="480" w:lineRule="auto"/>
              <w:rPr>
                <w:sz w:val="16"/>
                <w:szCs w:val="16"/>
              </w:rPr>
            </w:pPr>
            <w:r w:rsidRPr="0072415B">
              <w:rPr>
                <w:color w:val="000000"/>
                <w:sz w:val="16"/>
                <w:szCs w:val="16"/>
              </w:rPr>
              <w:t>0.985 (0.974–0.995)</w:t>
            </w:r>
          </w:p>
        </w:tc>
        <w:tc>
          <w:tcPr>
            <w:tcW w:w="1701" w:type="dxa"/>
            <w:tcBorders>
              <w:top w:val="nil"/>
              <w:left w:val="nil"/>
              <w:bottom w:val="nil"/>
              <w:right w:val="nil"/>
            </w:tcBorders>
            <w:tcMar>
              <w:top w:w="100" w:type="dxa"/>
              <w:left w:w="120" w:type="dxa"/>
              <w:bottom w:w="100" w:type="dxa"/>
              <w:right w:w="120" w:type="dxa"/>
            </w:tcMar>
            <w:vAlign w:val="center"/>
          </w:tcPr>
          <w:p w14:paraId="047189AB" w14:textId="77777777" w:rsidR="00913A88" w:rsidRPr="004B6B4B" w:rsidRDefault="00913A88" w:rsidP="00E9349A">
            <w:pPr>
              <w:spacing w:line="480" w:lineRule="auto"/>
              <w:rPr>
                <w:sz w:val="16"/>
                <w:szCs w:val="16"/>
              </w:rPr>
            </w:pPr>
            <w:r w:rsidRPr="0072415B">
              <w:rPr>
                <w:color w:val="000000"/>
                <w:sz w:val="16"/>
                <w:szCs w:val="16"/>
              </w:rPr>
              <w:t>0.699 (0.665–0.732)</w:t>
            </w:r>
          </w:p>
        </w:tc>
        <w:tc>
          <w:tcPr>
            <w:tcW w:w="1701" w:type="dxa"/>
            <w:tcBorders>
              <w:top w:val="nil"/>
              <w:left w:val="nil"/>
              <w:bottom w:val="nil"/>
              <w:right w:val="nil"/>
            </w:tcBorders>
            <w:tcMar>
              <w:top w:w="100" w:type="dxa"/>
              <w:left w:w="120" w:type="dxa"/>
              <w:bottom w:w="100" w:type="dxa"/>
              <w:right w:w="120" w:type="dxa"/>
            </w:tcMar>
            <w:vAlign w:val="center"/>
          </w:tcPr>
          <w:p w14:paraId="12BB244A" w14:textId="77777777" w:rsidR="00913A88" w:rsidRPr="004B6B4B" w:rsidRDefault="00913A88" w:rsidP="00E9349A">
            <w:pPr>
              <w:spacing w:line="480" w:lineRule="auto"/>
              <w:rPr>
                <w:sz w:val="16"/>
                <w:szCs w:val="16"/>
              </w:rPr>
            </w:pPr>
            <w:r w:rsidRPr="0072415B">
              <w:rPr>
                <w:color w:val="000000"/>
                <w:sz w:val="16"/>
                <w:szCs w:val="16"/>
              </w:rPr>
              <w:t>0.715 (0.684–0.748)</w:t>
            </w:r>
          </w:p>
        </w:tc>
        <w:tc>
          <w:tcPr>
            <w:tcW w:w="1701" w:type="dxa"/>
            <w:tcBorders>
              <w:top w:val="nil"/>
              <w:left w:val="nil"/>
              <w:bottom w:val="nil"/>
              <w:right w:val="nil"/>
            </w:tcBorders>
            <w:tcMar>
              <w:top w:w="100" w:type="dxa"/>
              <w:left w:w="120" w:type="dxa"/>
              <w:bottom w:w="100" w:type="dxa"/>
              <w:right w:w="120" w:type="dxa"/>
            </w:tcMar>
            <w:vAlign w:val="center"/>
          </w:tcPr>
          <w:p w14:paraId="306BE315" w14:textId="77777777" w:rsidR="00913A88" w:rsidRPr="004B6B4B" w:rsidRDefault="00913A88" w:rsidP="00E9349A">
            <w:pPr>
              <w:spacing w:line="480" w:lineRule="auto"/>
              <w:rPr>
                <w:sz w:val="16"/>
                <w:szCs w:val="16"/>
              </w:rPr>
            </w:pPr>
            <w:r w:rsidRPr="0072415B">
              <w:rPr>
                <w:color w:val="000000"/>
                <w:sz w:val="16"/>
                <w:szCs w:val="16"/>
              </w:rPr>
              <w:t>0.984 (0.972–0.994)</w:t>
            </w:r>
          </w:p>
        </w:tc>
        <w:tc>
          <w:tcPr>
            <w:tcW w:w="1705" w:type="dxa"/>
            <w:tcBorders>
              <w:top w:val="nil"/>
              <w:left w:val="nil"/>
              <w:bottom w:val="nil"/>
              <w:right w:val="nil"/>
            </w:tcBorders>
            <w:tcMar>
              <w:top w:w="100" w:type="dxa"/>
              <w:left w:w="120" w:type="dxa"/>
              <w:bottom w:w="100" w:type="dxa"/>
              <w:right w:w="120" w:type="dxa"/>
            </w:tcMar>
            <w:vAlign w:val="center"/>
          </w:tcPr>
          <w:p w14:paraId="35F358F2" w14:textId="77777777" w:rsidR="00913A88" w:rsidRPr="004B6B4B" w:rsidRDefault="00913A88" w:rsidP="00E9349A">
            <w:pPr>
              <w:spacing w:line="480" w:lineRule="auto"/>
              <w:rPr>
                <w:sz w:val="16"/>
                <w:szCs w:val="16"/>
              </w:rPr>
            </w:pPr>
            <w:r w:rsidRPr="0072415B">
              <w:rPr>
                <w:color w:val="000000"/>
                <w:sz w:val="16"/>
                <w:szCs w:val="16"/>
              </w:rPr>
              <w:t>0.829 (0.807–0.850)</w:t>
            </w:r>
          </w:p>
        </w:tc>
      </w:tr>
      <w:tr w:rsidR="00913A88" w:rsidRPr="0072415B" w14:paraId="687CBF31" w14:textId="77777777" w:rsidTr="00E9349A">
        <w:trPr>
          <w:trHeight w:val="615"/>
          <w:jc w:val="center"/>
        </w:trPr>
        <w:tc>
          <w:tcPr>
            <w:tcW w:w="1276" w:type="dxa"/>
            <w:tcBorders>
              <w:top w:val="nil"/>
              <w:left w:val="nil"/>
              <w:bottom w:val="nil"/>
              <w:right w:val="nil"/>
            </w:tcBorders>
            <w:tcMar>
              <w:top w:w="100" w:type="dxa"/>
              <w:left w:w="120" w:type="dxa"/>
              <w:bottom w:w="100" w:type="dxa"/>
              <w:right w:w="120" w:type="dxa"/>
            </w:tcMar>
            <w:vAlign w:val="center"/>
          </w:tcPr>
          <w:p w14:paraId="739C302B" w14:textId="77777777" w:rsidR="00913A88" w:rsidRPr="004B6B4B" w:rsidRDefault="00913A88" w:rsidP="00E9349A">
            <w:pPr>
              <w:spacing w:line="480" w:lineRule="auto"/>
              <w:rPr>
                <w:sz w:val="16"/>
                <w:szCs w:val="16"/>
              </w:rPr>
            </w:pPr>
            <w:r w:rsidRPr="004B6B4B">
              <w:rPr>
                <w:color w:val="000000"/>
                <w:sz w:val="16"/>
                <w:szCs w:val="16"/>
              </w:rPr>
              <w:t> </w:t>
            </w:r>
          </w:p>
        </w:tc>
        <w:tc>
          <w:tcPr>
            <w:tcW w:w="1701" w:type="dxa"/>
            <w:tcBorders>
              <w:top w:val="nil"/>
              <w:left w:val="nil"/>
              <w:bottom w:val="nil"/>
              <w:right w:val="nil"/>
            </w:tcBorders>
            <w:tcMar>
              <w:top w:w="100" w:type="dxa"/>
              <w:left w:w="120" w:type="dxa"/>
              <w:bottom w:w="100" w:type="dxa"/>
              <w:right w:w="120" w:type="dxa"/>
            </w:tcMar>
            <w:vAlign w:val="center"/>
          </w:tcPr>
          <w:p w14:paraId="49F0DC0E" w14:textId="77777777" w:rsidR="00913A88" w:rsidRPr="004B6B4B" w:rsidRDefault="00913A88" w:rsidP="00E9349A">
            <w:pPr>
              <w:spacing w:line="480" w:lineRule="auto"/>
              <w:rPr>
                <w:sz w:val="16"/>
                <w:szCs w:val="16"/>
              </w:rPr>
            </w:pPr>
            <w:r w:rsidRPr="004B6B4B">
              <w:rPr>
                <w:color w:val="000000"/>
                <w:sz w:val="16"/>
                <w:szCs w:val="16"/>
              </w:rPr>
              <w:t> </w:t>
            </w:r>
          </w:p>
        </w:tc>
        <w:tc>
          <w:tcPr>
            <w:tcW w:w="1843" w:type="dxa"/>
            <w:tcBorders>
              <w:top w:val="nil"/>
              <w:left w:val="nil"/>
              <w:bottom w:val="nil"/>
              <w:right w:val="nil"/>
            </w:tcBorders>
            <w:tcMar>
              <w:top w:w="100" w:type="dxa"/>
              <w:left w:w="120" w:type="dxa"/>
              <w:bottom w:w="100" w:type="dxa"/>
              <w:right w:w="120" w:type="dxa"/>
            </w:tcMar>
            <w:vAlign w:val="center"/>
          </w:tcPr>
          <w:p w14:paraId="3836D748" w14:textId="77777777" w:rsidR="00913A88" w:rsidRPr="004B6B4B" w:rsidRDefault="00913A88" w:rsidP="00E9349A">
            <w:pPr>
              <w:spacing w:line="480" w:lineRule="auto"/>
              <w:rPr>
                <w:sz w:val="16"/>
                <w:szCs w:val="16"/>
              </w:rPr>
            </w:pPr>
            <w:r w:rsidRPr="0072415B">
              <w:rPr>
                <w:color w:val="000000"/>
                <w:sz w:val="16"/>
                <w:szCs w:val="16"/>
              </w:rPr>
              <w:t>ViT-Small</w:t>
            </w:r>
          </w:p>
        </w:tc>
        <w:tc>
          <w:tcPr>
            <w:tcW w:w="1701" w:type="dxa"/>
            <w:tcBorders>
              <w:top w:val="nil"/>
              <w:left w:val="nil"/>
              <w:bottom w:val="nil"/>
              <w:right w:val="nil"/>
            </w:tcBorders>
            <w:tcMar>
              <w:top w:w="100" w:type="dxa"/>
              <w:left w:w="120" w:type="dxa"/>
              <w:bottom w:w="100" w:type="dxa"/>
              <w:right w:w="120" w:type="dxa"/>
            </w:tcMar>
            <w:vAlign w:val="center"/>
          </w:tcPr>
          <w:p w14:paraId="2AEDC8F6" w14:textId="77777777" w:rsidR="00913A88" w:rsidRPr="004B6B4B" w:rsidRDefault="00913A88" w:rsidP="00E9349A">
            <w:pPr>
              <w:spacing w:line="480" w:lineRule="auto"/>
              <w:rPr>
                <w:sz w:val="16"/>
                <w:szCs w:val="16"/>
              </w:rPr>
            </w:pPr>
            <w:r w:rsidRPr="0072415B">
              <w:rPr>
                <w:color w:val="000000"/>
                <w:sz w:val="16"/>
                <w:szCs w:val="16"/>
              </w:rPr>
              <w:t>0.971 (0.963–0.979)</w:t>
            </w:r>
          </w:p>
        </w:tc>
        <w:tc>
          <w:tcPr>
            <w:tcW w:w="1701" w:type="dxa"/>
            <w:tcBorders>
              <w:top w:val="nil"/>
              <w:left w:val="nil"/>
              <w:bottom w:val="nil"/>
              <w:right w:val="nil"/>
            </w:tcBorders>
            <w:tcMar>
              <w:top w:w="100" w:type="dxa"/>
              <w:left w:w="120" w:type="dxa"/>
              <w:bottom w:w="100" w:type="dxa"/>
              <w:right w:w="120" w:type="dxa"/>
            </w:tcMar>
            <w:vAlign w:val="center"/>
          </w:tcPr>
          <w:p w14:paraId="7F435D1B" w14:textId="77777777" w:rsidR="00913A88" w:rsidRPr="004B6B4B" w:rsidRDefault="00913A88" w:rsidP="00E9349A">
            <w:pPr>
              <w:spacing w:line="480" w:lineRule="auto"/>
              <w:rPr>
                <w:sz w:val="16"/>
                <w:szCs w:val="16"/>
              </w:rPr>
            </w:pPr>
            <w:r w:rsidRPr="0072415B">
              <w:rPr>
                <w:color w:val="000000"/>
                <w:sz w:val="16"/>
                <w:szCs w:val="16"/>
              </w:rPr>
              <w:t>0.983 (0.972–0.993)</w:t>
            </w:r>
          </w:p>
        </w:tc>
        <w:tc>
          <w:tcPr>
            <w:tcW w:w="1701" w:type="dxa"/>
            <w:tcBorders>
              <w:top w:val="nil"/>
              <w:left w:val="nil"/>
              <w:bottom w:val="nil"/>
              <w:right w:val="nil"/>
            </w:tcBorders>
            <w:tcMar>
              <w:top w:w="100" w:type="dxa"/>
              <w:left w:w="120" w:type="dxa"/>
              <w:bottom w:w="100" w:type="dxa"/>
              <w:right w:w="120" w:type="dxa"/>
            </w:tcMar>
            <w:vAlign w:val="center"/>
          </w:tcPr>
          <w:p w14:paraId="5657C98C" w14:textId="77777777" w:rsidR="00913A88" w:rsidRPr="004B6B4B" w:rsidRDefault="00913A88" w:rsidP="00E9349A">
            <w:pPr>
              <w:spacing w:line="480" w:lineRule="auto"/>
              <w:rPr>
                <w:sz w:val="16"/>
                <w:szCs w:val="16"/>
              </w:rPr>
            </w:pPr>
            <w:r w:rsidRPr="0072415B">
              <w:rPr>
                <w:color w:val="000000"/>
                <w:sz w:val="16"/>
                <w:szCs w:val="16"/>
              </w:rPr>
              <w:t>0.731 (0.698–0.766)</w:t>
            </w:r>
          </w:p>
        </w:tc>
        <w:tc>
          <w:tcPr>
            <w:tcW w:w="1701" w:type="dxa"/>
            <w:tcBorders>
              <w:top w:val="nil"/>
              <w:left w:val="nil"/>
              <w:bottom w:val="nil"/>
              <w:right w:val="nil"/>
            </w:tcBorders>
            <w:tcMar>
              <w:top w:w="100" w:type="dxa"/>
              <w:left w:w="120" w:type="dxa"/>
              <w:bottom w:w="100" w:type="dxa"/>
              <w:right w:w="120" w:type="dxa"/>
            </w:tcMar>
            <w:vAlign w:val="center"/>
          </w:tcPr>
          <w:p w14:paraId="00DBD98D" w14:textId="77777777" w:rsidR="00913A88" w:rsidRPr="004B6B4B" w:rsidRDefault="00913A88" w:rsidP="00E9349A">
            <w:pPr>
              <w:spacing w:line="480" w:lineRule="auto"/>
              <w:rPr>
                <w:sz w:val="16"/>
                <w:szCs w:val="16"/>
              </w:rPr>
            </w:pPr>
            <w:r w:rsidRPr="0072415B">
              <w:rPr>
                <w:color w:val="000000"/>
                <w:sz w:val="16"/>
                <w:szCs w:val="16"/>
              </w:rPr>
              <w:t>0.737 (0.705–0.770)</w:t>
            </w:r>
          </w:p>
        </w:tc>
        <w:tc>
          <w:tcPr>
            <w:tcW w:w="1701" w:type="dxa"/>
            <w:tcBorders>
              <w:top w:val="nil"/>
              <w:left w:val="nil"/>
              <w:bottom w:val="nil"/>
              <w:right w:val="nil"/>
            </w:tcBorders>
            <w:tcMar>
              <w:top w:w="100" w:type="dxa"/>
              <w:left w:w="120" w:type="dxa"/>
              <w:bottom w:w="100" w:type="dxa"/>
              <w:right w:w="120" w:type="dxa"/>
            </w:tcMar>
            <w:vAlign w:val="center"/>
          </w:tcPr>
          <w:p w14:paraId="0D35B9F6" w14:textId="77777777" w:rsidR="00913A88" w:rsidRPr="004B6B4B" w:rsidRDefault="00913A88" w:rsidP="00E9349A">
            <w:pPr>
              <w:spacing w:line="480" w:lineRule="auto"/>
              <w:rPr>
                <w:sz w:val="16"/>
                <w:szCs w:val="16"/>
              </w:rPr>
            </w:pPr>
            <w:r w:rsidRPr="0072415B">
              <w:rPr>
                <w:color w:val="000000"/>
                <w:sz w:val="16"/>
                <w:szCs w:val="16"/>
              </w:rPr>
              <w:t>0.983 (0.971–0.993)</w:t>
            </w:r>
          </w:p>
        </w:tc>
        <w:tc>
          <w:tcPr>
            <w:tcW w:w="1705" w:type="dxa"/>
            <w:tcBorders>
              <w:top w:val="nil"/>
              <w:left w:val="nil"/>
              <w:bottom w:val="nil"/>
              <w:right w:val="nil"/>
            </w:tcBorders>
            <w:tcMar>
              <w:top w:w="100" w:type="dxa"/>
              <w:left w:w="120" w:type="dxa"/>
              <w:bottom w:w="100" w:type="dxa"/>
              <w:right w:w="120" w:type="dxa"/>
            </w:tcMar>
            <w:vAlign w:val="center"/>
          </w:tcPr>
          <w:p w14:paraId="612BCDA3" w14:textId="77777777" w:rsidR="00913A88" w:rsidRPr="004B6B4B" w:rsidRDefault="00913A88" w:rsidP="00E9349A">
            <w:pPr>
              <w:spacing w:line="480" w:lineRule="auto"/>
              <w:rPr>
                <w:sz w:val="16"/>
                <w:szCs w:val="16"/>
              </w:rPr>
            </w:pPr>
            <w:r w:rsidRPr="0072415B">
              <w:rPr>
                <w:color w:val="000000"/>
                <w:sz w:val="16"/>
                <w:szCs w:val="16"/>
              </w:rPr>
              <w:t>0.843 (0.821–0.866)</w:t>
            </w:r>
          </w:p>
        </w:tc>
      </w:tr>
      <w:tr w:rsidR="00913A88" w:rsidRPr="0072415B" w14:paraId="422B989D" w14:textId="77777777" w:rsidTr="00E9349A">
        <w:trPr>
          <w:trHeight w:val="615"/>
          <w:jc w:val="center"/>
        </w:trPr>
        <w:tc>
          <w:tcPr>
            <w:tcW w:w="1276" w:type="dxa"/>
            <w:tcBorders>
              <w:top w:val="nil"/>
              <w:left w:val="nil"/>
              <w:bottom w:val="nil"/>
              <w:right w:val="nil"/>
            </w:tcBorders>
            <w:tcMar>
              <w:top w:w="100" w:type="dxa"/>
              <w:left w:w="120" w:type="dxa"/>
              <w:bottom w:w="100" w:type="dxa"/>
              <w:right w:w="120" w:type="dxa"/>
            </w:tcMar>
            <w:vAlign w:val="center"/>
          </w:tcPr>
          <w:p w14:paraId="14BF9C49" w14:textId="77777777" w:rsidR="00913A88" w:rsidRPr="004B6B4B" w:rsidRDefault="00913A88" w:rsidP="00E9349A">
            <w:pPr>
              <w:spacing w:line="480" w:lineRule="auto"/>
              <w:rPr>
                <w:sz w:val="16"/>
                <w:szCs w:val="16"/>
              </w:rPr>
            </w:pPr>
            <w:r w:rsidRPr="004B6B4B">
              <w:rPr>
                <w:color w:val="000000"/>
                <w:sz w:val="16"/>
                <w:szCs w:val="16"/>
              </w:rPr>
              <w:t> </w:t>
            </w:r>
          </w:p>
        </w:tc>
        <w:tc>
          <w:tcPr>
            <w:tcW w:w="1701" w:type="dxa"/>
            <w:tcBorders>
              <w:top w:val="nil"/>
              <w:left w:val="nil"/>
              <w:bottom w:val="nil"/>
              <w:right w:val="nil"/>
            </w:tcBorders>
            <w:tcMar>
              <w:top w:w="100" w:type="dxa"/>
              <w:left w:w="120" w:type="dxa"/>
              <w:bottom w:w="100" w:type="dxa"/>
              <w:right w:w="120" w:type="dxa"/>
            </w:tcMar>
            <w:vAlign w:val="center"/>
          </w:tcPr>
          <w:p w14:paraId="15DB5C10" w14:textId="77777777" w:rsidR="00913A88" w:rsidRPr="004B6B4B" w:rsidRDefault="00913A88" w:rsidP="00E9349A">
            <w:pPr>
              <w:spacing w:line="480" w:lineRule="auto"/>
              <w:rPr>
                <w:sz w:val="16"/>
                <w:szCs w:val="16"/>
              </w:rPr>
            </w:pPr>
            <w:r w:rsidRPr="004B6B4B">
              <w:rPr>
                <w:color w:val="000000"/>
                <w:sz w:val="16"/>
                <w:szCs w:val="16"/>
              </w:rPr>
              <w:t> </w:t>
            </w:r>
          </w:p>
        </w:tc>
        <w:tc>
          <w:tcPr>
            <w:tcW w:w="1843" w:type="dxa"/>
            <w:tcBorders>
              <w:top w:val="nil"/>
              <w:left w:val="nil"/>
              <w:bottom w:val="nil"/>
              <w:right w:val="nil"/>
            </w:tcBorders>
            <w:tcMar>
              <w:top w:w="100" w:type="dxa"/>
              <w:left w:w="120" w:type="dxa"/>
              <w:bottom w:w="100" w:type="dxa"/>
              <w:right w:w="120" w:type="dxa"/>
            </w:tcMar>
            <w:vAlign w:val="center"/>
          </w:tcPr>
          <w:p w14:paraId="1B67867D" w14:textId="77777777" w:rsidR="00913A88" w:rsidRPr="004B6B4B" w:rsidRDefault="00913A88" w:rsidP="00E9349A">
            <w:pPr>
              <w:spacing w:line="480" w:lineRule="auto"/>
              <w:rPr>
                <w:sz w:val="16"/>
                <w:szCs w:val="16"/>
              </w:rPr>
            </w:pPr>
            <w:r w:rsidRPr="0072415B">
              <w:rPr>
                <w:color w:val="000000"/>
                <w:sz w:val="16"/>
                <w:szCs w:val="16"/>
              </w:rPr>
              <w:t>RETFound DINOv2</w:t>
            </w:r>
          </w:p>
        </w:tc>
        <w:tc>
          <w:tcPr>
            <w:tcW w:w="1701" w:type="dxa"/>
            <w:tcBorders>
              <w:top w:val="nil"/>
              <w:left w:val="nil"/>
              <w:bottom w:val="nil"/>
              <w:right w:val="nil"/>
            </w:tcBorders>
            <w:tcMar>
              <w:top w:w="100" w:type="dxa"/>
              <w:left w:w="120" w:type="dxa"/>
              <w:bottom w:w="100" w:type="dxa"/>
              <w:right w:w="120" w:type="dxa"/>
            </w:tcMar>
            <w:vAlign w:val="center"/>
          </w:tcPr>
          <w:p w14:paraId="6D9F377C" w14:textId="77777777" w:rsidR="00913A88" w:rsidRPr="004B6B4B" w:rsidRDefault="00913A88" w:rsidP="00E9349A">
            <w:pPr>
              <w:spacing w:line="480" w:lineRule="auto"/>
              <w:rPr>
                <w:sz w:val="16"/>
                <w:szCs w:val="16"/>
              </w:rPr>
            </w:pPr>
            <w:r w:rsidRPr="0072415B">
              <w:rPr>
                <w:color w:val="000000"/>
                <w:sz w:val="16"/>
                <w:szCs w:val="16"/>
              </w:rPr>
              <w:t>0.974 (0.966–0.981)</w:t>
            </w:r>
          </w:p>
        </w:tc>
        <w:tc>
          <w:tcPr>
            <w:tcW w:w="1701" w:type="dxa"/>
            <w:tcBorders>
              <w:top w:val="nil"/>
              <w:left w:val="nil"/>
              <w:bottom w:val="nil"/>
              <w:right w:val="nil"/>
            </w:tcBorders>
            <w:tcMar>
              <w:top w:w="100" w:type="dxa"/>
              <w:left w:w="120" w:type="dxa"/>
              <w:bottom w:w="100" w:type="dxa"/>
              <w:right w:w="120" w:type="dxa"/>
            </w:tcMar>
            <w:vAlign w:val="center"/>
          </w:tcPr>
          <w:p w14:paraId="1020743B" w14:textId="77777777" w:rsidR="00913A88" w:rsidRPr="004B6B4B" w:rsidRDefault="00913A88" w:rsidP="00E9349A">
            <w:pPr>
              <w:spacing w:line="480" w:lineRule="auto"/>
              <w:rPr>
                <w:sz w:val="16"/>
                <w:szCs w:val="16"/>
              </w:rPr>
            </w:pPr>
            <w:r w:rsidRPr="0072415B">
              <w:rPr>
                <w:color w:val="000000"/>
                <w:sz w:val="16"/>
                <w:szCs w:val="16"/>
              </w:rPr>
              <w:t>0.982 (0.970–0.992)</w:t>
            </w:r>
          </w:p>
        </w:tc>
        <w:tc>
          <w:tcPr>
            <w:tcW w:w="1701" w:type="dxa"/>
            <w:tcBorders>
              <w:top w:val="nil"/>
              <w:left w:val="nil"/>
              <w:bottom w:val="nil"/>
              <w:right w:val="nil"/>
            </w:tcBorders>
            <w:tcMar>
              <w:top w:w="100" w:type="dxa"/>
              <w:left w:w="120" w:type="dxa"/>
              <w:bottom w:w="100" w:type="dxa"/>
              <w:right w:w="120" w:type="dxa"/>
            </w:tcMar>
            <w:vAlign w:val="center"/>
          </w:tcPr>
          <w:p w14:paraId="4817A95D" w14:textId="77777777" w:rsidR="00913A88" w:rsidRPr="004B6B4B" w:rsidRDefault="00913A88" w:rsidP="00E9349A">
            <w:pPr>
              <w:spacing w:line="480" w:lineRule="auto"/>
              <w:rPr>
                <w:sz w:val="16"/>
                <w:szCs w:val="16"/>
              </w:rPr>
            </w:pPr>
            <w:r w:rsidRPr="0072415B">
              <w:rPr>
                <w:color w:val="000000"/>
                <w:sz w:val="16"/>
                <w:szCs w:val="16"/>
              </w:rPr>
              <w:t>0.720 (0.689–0.752)</w:t>
            </w:r>
          </w:p>
        </w:tc>
        <w:tc>
          <w:tcPr>
            <w:tcW w:w="1701" w:type="dxa"/>
            <w:tcBorders>
              <w:top w:val="nil"/>
              <w:left w:val="nil"/>
              <w:bottom w:val="nil"/>
              <w:right w:val="nil"/>
            </w:tcBorders>
            <w:tcMar>
              <w:top w:w="100" w:type="dxa"/>
              <w:left w:w="120" w:type="dxa"/>
              <w:bottom w:w="100" w:type="dxa"/>
              <w:right w:w="120" w:type="dxa"/>
            </w:tcMar>
            <w:vAlign w:val="center"/>
          </w:tcPr>
          <w:p w14:paraId="4EC93BE3" w14:textId="77777777" w:rsidR="00913A88" w:rsidRPr="004B6B4B" w:rsidRDefault="00913A88" w:rsidP="00E9349A">
            <w:pPr>
              <w:spacing w:line="480" w:lineRule="auto"/>
              <w:rPr>
                <w:sz w:val="16"/>
                <w:szCs w:val="16"/>
              </w:rPr>
            </w:pPr>
            <w:r w:rsidRPr="0072415B">
              <w:rPr>
                <w:color w:val="000000"/>
                <w:sz w:val="16"/>
                <w:szCs w:val="16"/>
              </w:rPr>
              <w:t>0.729 (0.696–0.758)</w:t>
            </w:r>
          </w:p>
        </w:tc>
        <w:tc>
          <w:tcPr>
            <w:tcW w:w="1701" w:type="dxa"/>
            <w:tcBorders>
              <w:top w:val="nil"/>
              <w:left w:val="nil"/>
              <w:bottom w:val="nil"/>
              <w:right w:val="nil"/>
            </w:tcBorders>
            <w:tcMar>
              <w:top w:w="100" w:type="dxa"/>
              <w:left w:w="120" w:type="dxa"/>
              <w:bottom w:w="100" w:type="dxa"/>
              <w:right w:w="120" w:type="dxa"/>
            </w:tcMar>
            <w:vAlign w:val="center"/>
          </w:tcPr>
          <w:p w14:paraId="190B4AE9" w14:textId="77777777" w:rsidR="00913A88" w:rsidRPr="004B6B4B" w:rsidRDefault="00913A88" w:rsidP="00E9349A">
            <w:pPr>
              <w:spacing w:line="480" w:lineRule="auto"/>
              <w:rPr>
                <w:sz w:val="16"/>
                <w:szCs w:val="16"/>
              </w:rPr>
            </w:pPr>
            <w:r w:rsidRPr="0072415B">
              <w:rPr>
                <w:color w:val="000000"/>
                <w:sz w:val="16"/>
                <w:szCs w:val="16"/>
              </w:rPr>
              <w:t>0.981 (0.969–0.992)</w:t>
            </w:r>
          </w:p>
        </w:tc>
        <w:tc>
          <w:tcPr>
            <w:tcW w:w="1705" w:type="dxa"/>
            <w:tcBorders>
              <w:top w:val="nil"/>
              <w:left w:val="nil"/>
              <w:bottom w:val="nil"/>
              <w:right w:val="nil"/>
            </w:tcBorders>
            <w:tcMar>
              <w:top w:w="100" w:type="dxa"/>
              <w:left w:w="120" w:type="dxa"/>
              <w:bottom w:w="100" w:type="dxa"/>
              <w:right w:w="120" w:type="dxa"/>
            </w:tcMar>
            <w:vAlign w:val="center"/>
          </w:tcPr>
          <w:p w14:paraId="61457F25" w14:textId="77777777" w:rsidR="00913A88" w:rsidRPr="004B6B4B" w:rsidRDefault="00913A88" w:rsidP="00E9349A">
            <w:pPr>
              <w:spacing w:line="480" w:lineRule="auto"/>
              <w:rPr>
                <w:sz w:val="16"/>
                <w:szCs w:val="16"/>
              </w:rPr>
            </w:pPr>
            <w:r w:rsidRPr="0072415B">
              <w:rPr>
                <w:color w:val="000000"/>
                <w:sz w:val="16"/>
                <w:szCs w:val="16"/>
              </w:rPr>
              <w:t>0.837 (0.814–0.857)</w:t>
            </w:r>
          </w:p>
        </w:tc>
      </w:tr>
      <w:tr w:rsidR="00913A88" w:rsidRPr="0072415B" w14:paraId="175453B6" w14:textId="77777777" w:rsidTr="00E9349A">
        <w:trPr>
          <w:trHeight w:val="615"/>
          <w:jc w:val="center"/>
        </w:trPr>
        <w:tc>
          <w:tcPr>
            <w:tcW w:w="1276" w:type="dxa"/>
            <w:tcBorders>
              <w:top w:val="nil"/>
              <w:left w:val="nil"/>
              <w:bottom w:val="nil"/>
              <w:right w:val="nil"/>
            </w:tcBorders>
            <w:tcMar>
              <w:top w:w="100" w:type="dxa"/>
              <w:left w:w="120" w:type="dxa"/>
              <w:bottom w:w="100" w:type="dxa"/>
              <w:right w:w="120" w:type="dxa"/>
            </w:tcMar>
            <w:vAlign w:val="center"/>
          </w:tcPr>
          <w:p w14:paraId="1D8AA7A3" w14:textId="77777777" w:rsidR="00913A88" w:rsidRPr="004B6B4B" w:rsidRDefault="00913A88" w:rsidP="00E9349A">
            <w:pPr>
              <w:spacing w:line="480" w:lineRule="auto"/>
              <w:rPr>
                <w:sz w:val="16"/>
                <w:szCs w:val="16"/>
              </w:rPr>
            </w:pPr>
            <w:r w:rsidRPr="004B6B4B">
              <w:rPr>
                <w:color w:val="000000"/>
                <w:sz w:val="16"/>
                <w:szCs w:val="16"/>
              </w:rPr>
              <w:t> </w:t>
            </w:r>
          </w:p>
        </w:tc>
        <w:tc>
          <w:tcPr>
            <w:tcW w:w="1701" w:type="dxa"/>
            <w:tcBorders>
              <w:top w:val="nil"/>
              <w:left w:val="nil"/>
              <w:bottom w:val="nil"/>
              <w:right w:val="nil"/>
            </w:tcBorders>
            <w:tcMar>
              <w:top w:w="100" w:type="dxa"/>
              <w:left w:w="120" w:type="dxa"/>
              <w:bottom w:w="100" w:type="dxa"/>
              <w:right w:w="120" w:type="dxa"/>
            </w:tcMar>
            <w:vAlign w:val="center"/>
          </w:tcPr>
          <w:p w14:paraId="6B4DE191" w14:textId="77777777" w:rsidR="00913A88" w:rsidRPr="004B6B4B" w:rsidRDefault="00913A88" w:rsidP="00E9349A">
            <w:pPr>
              <w:spacing w:line="480" w:lineRule="auto"/>
              <w:rPr>
                <w:sz w:val="16"/>
                <w:szCs w:val="16"/>
              </w:rPr>
            </w:pPr>
            <w:r w:rsidRPr="0072415B">
              <w:rPr>
                <w:color w:val="000000"/>
                <w:sz w:val="16"/>
                <w:szCs w:val="16"/>
              </w:rPr>
              <w:t>Population-based</w:t>
            </w:r>
          </w:p>
        </w:tc>
        <w:tc>
          <w:tcPr>
            <w:tcW w:w="1843" w:type="dxa"/>
            <w:tcBorders>
              <w:top w:val="nil"/>
              <w:left w:val="nil"/>
              <w:bottom w:val="nil"/>
              <w:right w:val="nil"/>
            </w:tcBorders>
            <w:tcMar>
              <w:top w:w="100" w:type="dxa"/>
              <w:left w:w="120" w:type="dxa"/>
              <w:bottom w:w="100" w:type="dxa"/>
              <w:right w:w="120" w:type="dxa"/>
            </w:tcMar>
            <w:vAlign w:val="center"/>
          </w:tcPr>
          <w:p w14:paraId="25D37136" w14:textId="77777777" w:rsidR="00913A88" w:rsidRPr="004B6B4B" w:rsidRDefault="00913A88" w:rsidP="00E9349A">
            <w:pPr>
              <w:spacing w:line="480" w:lineRule="auto"/>
              <w:rPr>
                <w:sz w:val="16"/>
                <w:szCs w:val="16"/>
              </w:rPr>
            </w:pPr>
            <w:r w:rsidRPr="0072415B">
              <w:rPr>
                <w:color w:val="000000"/>
                <w:sz w:val="16"/>
                <w:szCs w:val="16"/>
              </w:rPr>
              <w:t>ConvNeXt-Small</w:t>
            </w:r>
          </w:p>
        </w:tc>
        <w:tc>
          <w:tcPr>
            <w:tcW w:w="1701" w:type="dxa"/>
            <w:tcBorders>
              <w:top w:val="nil"/>
              <w:left w:val="nil"/>
              <w:bottom w:val="nil"/>
              <w:right w:val="nil"/>
            </w:tcBorders>
            <w:tcMar>
              <w:top w:w="100" w:type="dxa"/>
              <w:left w:w="120" w:type="dxa"/>
              <w:bottom w:w="100" w:type="dxa"/>
              <w:right w:w="120" w:type="dxa"/>
            </w:tcMar>
            <w:vAlign w:val="center"/>
          </w:tcPr>
          <w:p w14:paraId="3BAAEFEC" w14:textId="77777777" w:rsidR="00913A88" w:rsidRPr="004B6B4B" w:rsidRDefault="00913A88" w:rsidP="00E9349A">
            <w:pPr>
              <w:spacing w:line="480" w:lineRule="auto"/>
              <w:rPr>
                <w:sz w:val="16"/>
                <w:szCs w:val="16"/>
              </w:rPr>
            </w:pPr>
            <w:r w:rsidRPr="0072415B">
              <w:rPr>
                <w:color w:val="000000"/>
                <w:sz w:val="16"/>
                <w:szCs w:val="16"/>
              </w:rPr>
              <w:t>0.960 (0.947–0.969)</w:t>
            </w:r>
          </w:p>
        </w:tc>
        <w:tc>
          <w:tcPr>
            <w:tcW w:w="1701" w:type="dxa"/>
            <w:tcBorders>
              <w:top w:val="nil"/>
              <w:left w:val="nil"/>
              <w:bottom w:val="nil"/>
              <w:right w:val="nil"/>
            </w:tcBorders>
            <w:tcMar>
              <w:top w:w="100" w:type="dxa"/>
              <w:left w:w="120" w:type="dxa"/>
              <w:bottom w:w="100" w:type="dxa"/>
              <w:right w:w="120" w:type="dxa"/>
            </w:tcMar>
            <w:vAlign w:val="center"/>
          </w:tcPr>
          <w:p w14:paraId="27C2F944" w14:textId="77777777" w:rsidR="00913A88" w:rsidRPr="004B6B4B" w:rsidRDefault="00913A88" w:rsidP="00E9349A">
            <w:pPr>
              <w:spacing w:line="480" w:lineRule="auto"/>
              <w:rPr>
                <w:sz w:val="16"/>
                <w:szCs w:val="16"/>
              </w:rPr>
            </w:pPr>
            <w:r w:rsidRPr="0072415B">
              <w:rPr>
                <w:color w:val="000000"/>
                <w:sz w:val="16"/>
                <w:szCs w:val="16"/>
              </w:rPr>
              <w:t>0.968 (0.944–0.988)</w:t>
            </w:r>
          </w:p>
        </w:tc>
        <w:tc>
          <w:tcPr>
            <w:tcW w:w="1701" w:type="dxa"/>
            <w:tcBorders>
              <w:top w:val="nil"/>
              <w:left w:val="nil"/>
              <w:bottom w:val="nil"/>
              <w:right w:val="nil"/>
            </w:tcBorders>
            <w:tcMar>
              <w:top w:w="100" w:type="dxa"/>
              <w:left w:w="120" w:type="dxa"/>
              <w:bottom w:w="100" w:type="dxa"/>
              <w:right w:w="120" w:type="dxa"/>
            </w:tcMar>
            <w:vAlign w:val="center"/>
          </w:tcPr>
          <w:p w14:paraId="7DE178F2" w14:textId="77777777" w:rsidR="00913A88" w:rsidRPr="004B6B4B" w:rsidRDefault="00913A88" w:rsidP="00E9349A">
            <w:pPr>
              <w:spacing w:line="480" w:lineRule="auto"/>
              <w:rPr>
                <w:sz w:val="16"/>
                <w:szCs w:val="16"/>
              </w:rPr>
            </w:pPr>
            <w:r w:rsidRPr="0072415B">
              <w:rPr>
                <w:color w:val="000000"/>
                <w:sz w:val="16"/>
                <w:szCs w:val="16"/>
              </w:rPr>
              <w:t>0.869 (0.858–0.879)</w:t>
            </w:r>
          </w:p>
        </w:tc>
        <w:tc>
          <w:tcPr>
            <w:tcW w:w="1701" w:type="dxa"/>
            <w:tcBorders>
              <w:top w:val="nil"/>
              <w:left w:val="nil"/>
              <w:bottom w:val="nil"/>
              <w:right w:val="nil"/>
            </w:tcBorders>
            <w:tcMar>
              <w:top w:w="100" w:type="dxa"/>
              <w:left w:w="120" w:type="dxa"/>
              <w:bottom w:w="100" w:type="dxa"/>
              <w:right w:w="120" w:type="dxa"/>
            </w:tcMar>
            <w:vAlign w:val="center"/>
          </w:tcPr>
          <w:p w14:paraId="4DE9D48C" w14:textId="77777777" w:rsidR="00913A88" w:rsidRPr="004B6B4B" w:rsidRDefault="00913A88" w:rsidP="00E9349A">
            <w:pPr>
              <w:spacing w:line="480" w:lineRule="auto"/>
              <w:rPr>
                <w:sz w:val="16"/>
                <w:szCs w:val="16"/>
              </w:rPr>
            </w:pPr>
            <w:r w:rsidRPr="0072415B">
              <w:rPr>
                <w:color w:val="000000"/>
                <w:sz w:val="16"/>
                <w:szCs w:val="16"/>
              </w:rPr>
              <w:t>0.333 (0.300–0.367)</w:t>
            </w:r>
          </w:p>
        </w:tc>
        <w:tc>
          <w:tcPr>
            <w:tcW w:w="1701" w:type="dxa"/>
            <w:tcBorders>
              <w:top w:val="nil"/>
              <w:left w:val="nil"/>
              <w:bottom w:val="nil"/>
              <w:right w:val="nil"/>
            </w:tcBorders>
            <w:tcMar>
              <w:top w:w="100" w:type="dxa"/>
              <w:left w:w="120" w:type="dxa"/>
              <w:bottom w:w="100" w:type="dxa"/>
              <w:right w:w="120" w:type="dxa"/>
            </w:tcMar>
            <w:vAlign w:val="center"/>
          </w:tcPr>
          <w:p w14:paraId="1E8BE9A2" w14:textId="77777777" w:rsidR="00913A88" w:rsidRPr="004B6B4B" w:rsidRDefault="00913A88" w:rsidP="00E9349A">
            <w:pPr>
              <w:spacing w:line="480" w:lineRule="auto"/>
              <w:rPr>
                <w:sz w:val="16"/>
                <w:szCs w:val="16"/>
              </w:rPr>
            </w:pPr>
            <w:r w:rsidRPr="0072415B">
              <w:rPr>
                <w:color w:val="000000"/>
                <w:sz w:val="16"/>
                <w:szCs w:val="16"/>
              </w:rPr>
              <w:t>0.998 (0.996–0.999)</w:t>
            </w:r>
          </w:p>
        </w:tc>
        <w:tc>
          <w:tcPr>
            <w:tcW w:w="1705" w:type="dxa"/>
            <w:tcBorders>
              <w:top w:val="nil"/>
              <w:left w:val="nil"/>
              <w:bottom w:val="nil"/>
              <w:right w:val="nil"/>
            </w:tcBorders>
            <w:tcMar>
              <w:top w:w="100" w:type="dxa"/>
              <w:left w:w="120" w:type="dxa"/>
              <w:bottom w:w="100" w:type="dxa"/>
              <w:right w:w="120" w:type="dxa"/>
            </w:tcMar>
            <w:vAlign w:val="center"/>
          </w:tcPr>
          <w:p w14:paraId="788EBF78" w14:textId="77777777" w:rsidR="00913A88" w:rsidRPr="004B6B4B" w:rsidRDefault="00913A88" w:rsidP="00E9349A">
            <w:pPr>
              <w:spacing w:line="480" w:lineRule="auto"/>
              <w:rPr>
                <w:sz w:val="16"/>
                <w:szCs w:val="16"/>
              </w:rPr>
            </w:pPr>
            <w:r w:rsidRPr="0072415B">
              <w:rPr>
                <w:color w:val="000000"/>
                <w:sz w:val="16"/>
                <w:szCs w:val="16"/>
              </w:rPr>
              <w:t>0.495 (0.456–0.533)</w:t>
            </w:r>
          </w:p>
        </w:tc>
      </w:tr>
      <w:tr w:rsidR="00913A88" w:rsidRPr="0072415B" w14:paraId="09CF71D7" w14:textId="77777777" w:rsidTr="00E9349A">
        <w:trPr>
          <w:trHeight w:val="615"/>
          <w:jc w:val="center"/>
        </w:trPr>
        <w:tc>
          <w:tcPr>
            <w:tcW w:w="1276" w:type="dxa"/>
            <w:tcBorders>
              <w:top w:val="nil"/>
              <w:left w:val="nil"/>
              <w:bottom w:val="nil"/>
              <w:right w:val="nil"/>
            </w:tcBorders>
            <w:tcMar>
              <w:top w:w="100" w:type="dxa"/>
              <w:left w:w="120" w:type="dxa"/>
              <w:bottom w:w="100" w:type="dxa"/>
              <w:right w:w="120" w:type="dxa"/>
            </w:tcMar>
            <w:vAlign w:val="center"/>
          </w:tcPr>
          <w:p w14:paraId="191C1D00" w14:textId="77777777" w:rsidR="00913A88" w:rsidRPr="004B6B4B" w:rsidRDefault="00913A88" w:rsidP="00E9349A">
            <w:pPr>
              <w:spacing w:line="480" w:lineRule="auto"/>
              <w:rPr>
                <w:sz w:val="16"/>
                <w:szCs w:val="16"/>
              </w:rPr>
            </w:pPr>
            <w:r w:rsidRPr="004B6B4B">
              <w:rPr>
                <w:color w:val="000000"/>
                <w:sz w:val="16"/>
                <w:szCs w:val="16"/>
              </w:rPr>
              <w:t> </w:t>
            </w:r>
          </w:p>
        </w:tc>
        <w:tc>
          <w:tcPr>
            <w:tcW w:w="1701" w:type="dxa"/>
            <w:tcBorders>
              <w:top w:val="nil"/>
              <w:left w:val="nil"/>
              <w:bottom w:val="nil"/>
              <w:right w:val="nil"/>
            </w:tcBorders>
            <w:tcMar>
              <w:top w:w="100" w:type="dxa"/>
              <w:left w:w="120" w:type="dxa"/>
              <w:bottom w:w="100" w:type="dxa"/>
              <w:right w:w="120" w:type="dxa"/>
            </w:tcMar>
            <w:vAlign w:val="center"/>
          </w:tcPr>
          <w:p w14:paraId="66913F19" w14:textId="77777777" w:rsidR="00913A88" w:rsidRPr="004B6B4B" w:rsidRDefault="00913A88" w:rsidP="00E9349A">
            <w:pPr>
              <w:spacing w:line="480" w:lineRule="auto"/>
              <w:rPr>
                <w:sz w:val="16"/>
                <w:szCs w:val="16"/>
              </w:rPr>
            </w:pPr>
            <w:r w:rsidRPr="004B6B4B">
              <w:rPr>
                <w:color w:val="000000"/>
                <w:sz w:val="16"/>
                <w:szCs w:val="16"/>
              </w:rPr>
              <w:t> </w:t>
            </w:r>
          </w:p>
        </w:tc>
        <w:tc>
          <w:tcPr>
            <w:tcW w:w="1843" w:type="dxa"/>
            <w:tcBorders>
              <w:top w:val="nil"/>
              <w:left w:val="nil"/>
              <w:bottom w:val="nil"/>
              <w:right w:val="nil"/>
            </w:tcBorders>
            <w:tcMar>
              <w:top w:w="100" w:type="dxa"/>
              <w:left w:w="120" w:type="dxa"/>
              <w:bottom w:w="100" w:type="dxa"/>
              <w:right w:w="120" w:type="dxa"/>
            </w:tcMar>
            <w:vAlign w:val="center"/>
          </w:tcPr>
          <w:p w14:paraId="6D2E8177" w14:textId="77777777" w:rsidR="00913A88" w:rsidRPr="004B6B4B" w:rsidRDefault="00913A88" w:rsidP="00E9349A">
            <w:pPr>
              <w:spacing w:line="480" w:lineRule="auto"/>
              <w:rPr>
                <w:sz w:val="16"/>
                <w:szCs w:val="16"/>
              </w:rPr>
            </w:pPr>
            <w:r w:rsidRPr="0072415B">
              <w:rPr>
                <w:color w:val="000000"/>
                <w:sz w:val="16"/>
                <w:szCs w:val="16"/>
              </w:rPr>
              <w:t>ViT-Small</w:t>
            </w:r>
          </w:p>
        </w:tc>
        <w:tc>
          <w:tcPr>
            <w:tcW w:w="1701" w:type="dxa"/>
            <w:tcBorders>
              <w:top w:val="nil"/>
              <w:left w:val="nil"/>
              <w:bottom w:val="nil"/>
              <w:right w:val="nil"/>
            </w:tcBorders>
            <w:tcMar>
              <w:top w:w="100" w:type="dxa"/>
              <w:left w:w="120" w:type="dxa"/>
              <w:bottom w:w="100" w:type="dxa"/>
              <w:right w:w="120" w:type="dxa"/>
            </w:tcMar>
            <w:vAlign w:val="center"/>
          </w:tcPr>
          <w:p w14:paraId="2C2994D6" w14:textId="77777777" w:rsidR="00913A88" w:rsidRPr="004B6B4B" w:rsidRDefault="00913A88" w:rsidP="00E9349A">
            <w:pPr>
              <w:spacing w:line="480" w:lineRule="auto"/>
              <w:rPr>
                <w:sz w:val="16"/>
                <w:szCs w:val="16"/>
              </w:rPr>
            </w:pPr>
            <w:r w:rsidRPr="0072415B">
              <w:rPr>
                <w:color w:val="000000"/>
                <w:sz w:val="16"/>
                <w:szCs w:val="16"/>
              </w:rPr>
              <w:t>0.965 (0.954–0.974)</w:t>
            </w:r>
          </w:p>
        </w:tc>
        <w:tc>
          <w:tcPr>
            <w:tcW w:w="1701" w:type="dxa"/>
            <w:tcBorders>
              <w:top w:val="nil"/>
              <w:left w:val="nil"/>
              <w:bottom w:val="nil"/>
              <w:right w:val="nil"/>
            </w:tcBorders>
            <w:tcMar>
              <w:top w:w="100" w:type="dxa"/>
              <w:left w:w="120" w:type="dxa"/>
              <w:bottom w:w="100" w:type="dxa"/>
              <w:right w:w="120" w:type="dxa"/>
            </w:tcMar>
            <w:vAlign w:val="center"/>
          </w:tcPr>
          <w:p w14:paraId="523FB114" w14:textId="77777777" w:rsidR="00913A88" w:rsidRPr="004B6B4B" w:rsidRDefault="00913A88" w:rsidP="00E9349A">
            <w:pPr>
              <w:spacing w:line="480" w:lineRule="auto"/>
              <w:rPr>
                <w:sz w:val="16"/>
                <w:szCs w:val="16"/>
              </w:rPr>
            </w:pPr>
            <w:r w:rsidRPr="0072415B">
              <w:rPr>
                <w:color w:val="000000"/>
                <w:sz w:val="16"/>
                <w:szCs w:val="16"/>
              </w:rPr>
              <w:t>0.972 (0.950–0.991)</w:t>
            </w:r>
          </w:p>
        </w:tc>
        <w:tc>
          <w:tcPr>
            <w:tcW w:w="1701" w:type="dxa"/>
            <w:tcBorders>
              <w:top w:val="nil"/>
              <w:left w:val="nil"/>
              <w:bottom w:val="nil"/>
              <w:right w:val="nil"/>
            </w:tcBorders>
            <w:tcMar>
              <w:top w:w="100" w:type="dxa"/>
              <w:left w:w="120" w:type="dxa"/>
              <w:bottom w:w="100" w:type="dxa"/>
              <w:right w:w="120" w:type="dxa"/>
            </w:tcMar>
            <w:vAlign w:val="center"/>
          </w:tcPr>
          <w:p w14:paraId="70793636" w14:textId="77777777" w:rsidR="00913A88" w:rsidRPr="004B6B4B" w:rsidRDefault="00913A88" w:rsidP="00E9349A">
            <w:pPr>
              <w:spacing w:line="480" w:lineRule="auto"/>
              <w:rPr>
                <w:sz w:val="16"/>
                <w:szCs w:val="16"/>
              </w:rPr>
            </w:pPr>
            <w:r w:rsidRPr="0072415B">
              <w:rPr>
                <w:color w:val="000000"/>
                <w:sz w:val="16"/>
                <w:szCs w:val="16"/>
              </w:rPr>
              <w:t>0.783 (0.769–0.796)</w:t>
            </w:r>
          </w:p>
        </w:tc>
        <w:tc>
          <w:tcPr>
            <w:tcW w:w="1701" w:type="dxa"/>
            <w:tcBorders>
              <w:top w:val="nil"/>
              <w:left w:val="nil"/>
              <w:bottom w:val="nil"/>
              <w:right w:val="nil"/>
            </w:tcBorders>
            <w:tcMar>
              <w:top w:w="100" w:type="dxa"/>
              <w:left w:w="120" w:type="dxa"/>
              <w:bottom w:w="100" w:type="dxa"/>
              <w:right w:w="120" w:type="dxa"/>
            </w:tcMar>
            <w:vAlign w:val="center"/>
          </w:tcPr>
          <w:p w14:paraId="7521AFAC" w14:textId="77777777" w:rsidR="00913A88" w:rsidRPr="004B6B4B" w:rsidRDefault="00913A88" w:rsidP="00E9349A">
            <w:pPr>
              <w:spacing w:line="480" w:lineRule="auto"/>
              <w:rPr>
                <w:sz w:val="16"/>
                <w:szCs w:val="16"/>
              </w:rPr>
            </w:pPr>
            <w:r w:rsidRPr="0072415B">
              <w:rPr>
                <w:color w:val="000000"/>
                <w:sz w:val="16"/>
                <w:szCs w:val="16"/>
              </w:rPr>
              <w:t>0.233 (0.206–0.260)</w:t>
            </w:r>
          </w:p>
        </w:tc>
        <w:tc>
          <w:tcPr>
            <w:tcW w:w="1701" w:type="dxa"/>
            <w:tcBorders>
              <w:top w:val="nil"/>
              <w:left w:val="nil"/>
              <w:bottom w:val="nil"/>
              <w:right w:val="nil"/>
            </w:tcBorders>
            <w:tcMar>
              <w:top w:w="100" w:type="dxa"/>
              <w:left w:w="120" w:type="dxa"/>
              <w:bottom w:w="100" w:type="dxa"/>
              <w:right w:w="120" w:type="dxa"/>
            </w:tcMar>
            <w:vAlign w:val="center"/>
          </w:tcPr>
          <w:p w14:paraId="285D55A4" w14:textId="77777777" w:rsidR="00913A88" w:rsidRPr="004B6B4B" w:rsidRDefault="00913A88" w:rsidP="00E9349A">
            <w:pPr>
              <w:spacing w:line="480" w:lineRule="auto"/>
              <w:rPr>
                <w:sz w:val="16"/>
                <w:szCs w:val="16"/>
              </w:rPr>
            </w:pPr>
            <w:r w:rsidRPr="0072415B">
              <w:rPr>
                <w:color w:val="000000"/>
                <w:sz w:val="16"/>
                <w:szCs w:val="16"/>
              </w:rPr>
              <w:t>0.998 (0.996–0.999)</w:t>
            </w:r>
          </w:p>
        </w:tc>
        <w:tc>
          <w:tcPr>
            <w:tcW w:w="1705" w:type="dxa"/>
            <w:tcBorders>
              <w:top w:val="nil"/>
              <w:left w:val="nil"/>
              <w:bottom w:val="nil"/>
              <w:right w:val="nil"/>
            </w:tcBorders>
            <w:tcMar>
              <w:top w:w="100" w:type="dxa"/>
              <w:left w:w="120" w:type="dxa"/>
              <w:bottom w:w="100" w:type="dxa"/>
              <w:right w:w="120" w:type="dxa"/>
            </w:tcMar>
            <w:vAlign w:val="center"/>
          </w:tcPr>
          <w:p w14:paraId="1FAB4DAC" w14:textId="77777777" w:rsidR="00913A88" w:rsidRPr="004B6B4B" w:rsidRDefault="00913A88" w:rsidP="00E9349A">
            <w:pPr>
              <w:spacing w:line="480" w:lineRule="auto"/>
              <w:rPr>
                <w:sz w:val="16"/>
                <w:szCs w:val="16"/>
              </w:rPr>
            </w:pPr>
            <w:r w:rsidRPr="0072415B">
              <w:rPr>
                <w:color w:val="000000"/>
                <w:sz w:val="16"/>
                <w:szCs w:val="16"/>
              </w:rPr>
              <w:t>0.375 (0.340–0.411)</w:t>
            </w:r>
          </w:p>
        </w:tc>
      </w:tr>
      <w:tr w:rsidR="00913A88" w:rsidRPr="0072415B" w14:paraId="1CE6BCB8" w14:textId="77777777" w:rsidTr="00E9349A">
        <w:trPr>
          <w:trHeight w:val="615"/>
          <w:jc w:val="center"/>
        </w:trPr>
        <w:tc>
          <w:tcPr>
            <w:tcW w:w="1276" w:type="dxa"/>
            <w:tcBorders>
              <w:top w:val="nil"/>
              <w:left w:val="nil"/>
              <w:bottom w:val="nil"/>
              <w:right w:val="nil"/>
            </w:tcBorders>
            <w:tcMar>
              <w:top w:w="100" w:type="dxa"/>
              <w:left w:w="120" w:type="dxa"/>
              <w:bottom w:w="100" w:type="dxa"/>
              <w:right w:w="120" w:type="dxa"/>
            </w:tcMar>
            <w:vAlign w:val="center"/>
          </w:tcPr>
          <w:p w14:paraId="764EFAFA" w14:textId="77777777" w:rsidR="00913A88" w:rsidRPr="004B6B4B" w:rsidRDefault="00913A88" w:rsidP="00E9349A">
            <w:pPr>
              <w:spacing w:line="480" w:lineRule="auto"/>
              <w:rPr>
                <w:sz w:val="16"/>
                <w:szCs w:val="16"/>
              </w:rPr>
            </w:pPr>
            <w:r w:rsidRPr="004B6B4B">
              <w:rPr>
                <w:color w:val="000000"/>
                <w:sz w:val="16"/>
                <w:szCs w:val="16"/>
              </w:rPr>
              <w:t> </w:t>
            </w:r>
          </w:p>
        </w:tc>
        <w:tc>
          <w:tcPr>
            <w:tcW w:w="1701" w:type="dxa"/>
            <w:tcBorders>
              <w:top w:val="nil"/>
              <w:left w:val="nil"/>
              <w:bottom w:val="nil"/>
              <w:right w:val="nil"/>
            </w:tcBorders>
            <w:tcMar>
              <w:top w:w="100" w:type="dxa"/>
              <w:left w:w="120" w:type="dxa"/>
              <w:bottom w:w="100" w:type="dxa"/>
              <w:right w:w="120" w:type="dxa"/>
            </w:tcMar>
            <w:vAlign w:val="center"/>
          </w:tcPr>
          <w:p w14:paraId="4EFF39A9" w14:textId="77777777" w:rsidR="00913A88" w:rsidRPr="004B6B4B" w:rsidRDefault="00913A88" w:rsidP="00E9349A">
            <w:pPr>
              <w:spacing w:line="480" w:lineRule="auto"/>
              <w:rPr>
                <w:sz w:val="16"/>
                <w:szCs w:val="16"/>
              </w:rPr>
            </w:pPr>
            <w:r w:rsidRPr="004B6B4B">
              <w:rPr>
                <w:color w:val="000000"/>
                <w:sz w:val="16"/>
                <w:szCs w:val="16"/>
              </w:rPr>
              <w:t> </w:t>
            </w:r>
          </w:p>
        </w:tc>
        <w:tc>
          <w:tcPr>
            <w:tcW w:w="1843" w:type="dxa"/>
            <w:tcBorders>
              <w:top w:val="nil"/>
              <w:left w:val="nil"/>
              <w:bottom w:val="nil"/>
              <w:right w:val="nil"/>
            </w:tcBorders>
            <w:tcMar>
              <w:top w:w="100" w:type="dxa"/>
              <w:left w:w="120" w:type="dxa"/>
              <w:bottom w:w="100" w:type="dxa"/>
              <w:right w:w="120" w:type="dxa"/>
            </w:tcMar>
            <w:vAlign w:val="center"/>
          </w:tcPr>
          <w:p w14:paraId="3053F75D" w14:textId="77777777" w:rsidR="00913A88" w:rsidRPr="004B6B4B" w:rsidRDefault="00913A88" w:rsidP="00E9349A">
            <w:pPr>
              <w:spacing w:line="480" w:lineRule="auto"/>
              <w:rPr>
                <w:sz w:val="16"/>
                <w:szCs w:val="16"/>
              </w:rPr>
            </w:pPr>
            <w:r w:rsidRPr="0072415B">
              <w:rPr>
                <w:color w:val="000000"/>
                <w:sz w:val="16"/>
                <w:szCs w:val="16"/>
              </w:rPr>
              <w:t>RETFound DINOv2</w:t>
            </w:r>
          </w:p>
        </w:tc>
        <w:tc>
          <w:tcPr>
            <w:tcW w:w="1701" w:type="dxa"/>
            <w:tcBorders>
              <w:top w:val="nil"/>
              <w:left w:val="nil"/>
              <w:bottom w:val="nil"/>
              <w:right w:val="nil"/>
            </w:tcBorders>
            <w:tcMar>
              <w:top w:w="100" w:type="dxa"/>
              <w:left w:w="120" w:type="dxa"/>
              <w:bottom w:w="100" w:type="dxa"/>
              <w:right w:w="120" w:type="dxa"/>
            </w:tcMar>
            <w:vAlign w:val="center"/>
          </w:tcPr>
          <w:p w14:paraId="20458500" w14:textId="77777777" w:rsidR="00913A88" w:rsidRPr="004B6B4B" w:rsidRDefault="00913A88" w:rsidP="00E9349A">
            <w:pPr>
              <w:spacing w:line="480" w:lineRule="auto"/>
              <w:rPr>
                <w:sz w:val="16"/>
                <w:szCs w:val="16"/>
              </w:rPr>
            </w:pPr>
            <w:r w:rsidRPr="0072415B">
              <w:rPr>
                <w:color w:val="000000"/>
                <w:sz w:val="16"/>
                <w:szCs w:val="16"/>
              </w:rPr>
              <w:t>0.964 (0.948–0.975)</w:t>
            </w:r>
          </w:p>
        </w:tc>
        <w:tc>
          <w:tcPr>
            <w:tcW w:w="1701" w:type="dxa"/>
            <w:tcBorders>
              <w:top w:val="nil"/>
              <w:left w:val="nil"/>
              <w:bottom w:val="nil"/>
              <w:right w:val="nil"/>
            </w:tcBorders>
            <w:tcMar>
              <w:top w:w="100" w:type="dxa"/>
              <w:left w:w="120" w:type="dxa"/>
              <w:bottom w:w="100" w:type="dxa"/>
              <w:right w:w="120" w:type="dxa"/>
            </w:tcMar>
            <w:vAlign w:val="center"/>
          </w:tcPr>
          <w:p w14:paraId="260C1F27" w14:textId="77777777" w:rsidR="00913A88" w:rsidRPr="004B6B4B" w:rsidRDefault="00913A88" w:rsidP="00E9349A">
            <w:pPr>
              <w:spacing w:line="480" w:lineRule="auto"/>
              <w:rPr>
                <w:sz w:val="16"/>
                <w:szCs w:val="16"/>
              </w:rPr>
            </w:pPr>
            <w:r w:rsidRPr="0072415B">
              <w:rPr>
                <w:color w:val="000000"/>
                <w:sz w:val="16"/>
                <w:szCs w:val="16"/>
              </w:rPr>
              <w:t>0.972 (0.950–0.989)</w:t>
            </w:r>
          </w:p>
        </w:tc>
        <w:tc>
          <w:tcPr>
            <w:tcW w:w="1701" w:type="dxa"/>
            <w:tcBorders>
              <w:top w:val="nil"/>
              <w:left w:val="nil"/>
              <w:bottom w:val="nil"/>
              <w:right w:val="nil"/>
            </w:tcBorders>
            <w:tcMar>
              <w:top w:w="100" w:type="dxa"/>
              <w:left w:w="120" w:type="dxa"/>
              <w:bottom w:w="100" w:type="dxa"/>
              <w:right w:w="120" w:type="dxa"/>
            </w:tcMar>
            <w:vAlign w:val="center"/>
          </w:tcPr>
          <w:p w14:paraId="3A13DFF4" w14:textId="77777777" w:rsidR="00913A88" w:rsidRPr="004B6B4B" w:rsidRDefault="00913A88" w:rsidP="00E9349A">
            <w:pPr>
              <w:spacing w:line="480" w:lineRule="auto"/>
              <w:rPr>
                <w:sz w:val="16"/>
                <w:szCs w:val="16"/>
              </w:rPr>
            </w:pPr>
            <w:r w:rsidRPr="0072415B">
              <w:rPr>
                <w:color w:val="000000"/>
                <w:sz w:val="16"/>
                <w:szCs w:val="16"/>
              </w:rPr>
              <w:t>0.788 (0.774–0.802)</w:t>
            </w:r>
          </w:p>
        </w:tc>
        <w:tc>
          <w:tcPr>
            <w:tcW w:w="1701" w:type="dxa"/>
            <w:tcBorders>
              <w:top w:val="nil"/>
              <w:left w:val="nil"/>
              <w:bottom w:val="nil"/>
              <w:right w:val="nil"/>
            </w:tcBorders>
            <w:tcMar>
              <w:top w:w="100" w:type="dxa"/>
              <w:left w:w="120" w:type="dxa"/>
              <w:bottom w:w="100" w:type="dxa"/>
              <w:right w:w="120" w:type="dxa"/>
            </w:tcMar>
            <w:vAlign w:val="center"/>
          </w:tcPr>
          <w:p w14:paraId="278363BE" w14:textId="77777777" w:rsidR="00913A88" w:rsidRPr="004B6B4B" w:rsidRDefault="00913A88" w:rsidP="00E9349A">
            <w:pPr>
              <w:spacing w:line="480" w:lineRule="auto"/>
              <w:rPr>
                <w:sz w:val="16"/>
                <w:szCs w:val="16"/>
              </w:rPr>
            </w:pPr>
            <w:r w:rsidRPr="0072415B">
              <w:rPr>
                <w:color w:val="000000"/>
                <w:sz w:val="16"/>
                <w:szCs w:val="16"/>
              </w:rPr>
              <w:t>0.237 (0.211–0.264)</w:t>
            </w:r>
          </w:p>
        </w:tc>
        <w:tc>
          <w:tcPr>
            <w:tcW w:w="1701" w:type="dxa"/>
            <w:tcBorders>
              <w:top w:val="nil"/>
              <w:left w:val="nil"/>
              <w:bottom w:val="nil"/>
              <w:right w:val="nil"/>
            </w:tcBorders>
            <w:tcMar>
              <w:top w:w="100" w:type="dxa"/>
              <w:left w:w="120" w:type="dxa"/>
              <w:bottom w:w="100" w:type="dxa"/>
              <w:right w:w="120" w:type="dxa"/>
            </w:tcMar>
            <w:vAlign w:val="center"/>
          </w:tcPr>
          <w:p w14:paraId="76962A2A" w14:textId="77777777" w:rsidR="00913A88" w:rsidRPr="004B6B4B" w:rsidRDefault="00913A88" w:rsidP="00E9349A">
            <w:pPr>
              <w:spacing w:line="480" w:lineRule="auto"/>
              <w:rPr>
                <w:sz w:val="16"/>
                <w:szCs w:val="16"/>
              </w:rPr>
            </w:pPr>
            <w:r w:rsidRPr="0072415B">
              <w:rPr>
                <w:color w:val="000000"/>
                <w:sz w:val="16"/>
                <w:szCs w:val="16"/>
              </w:rPr>
              <w:t>0.998 (0.996–0.999)</w:t>
            </w:r>
          </w:p>
        </w:tc>
        <w:tc>
          <w:tcPr>
            <w:tcW w:w="1705" w:type="dxa"/>
            <w:tcBorders>
              <w:top w:val="nil"/>
              <w:left w:val="nil"/>
              <w:bottom w:val="nil"/>
              <w:right w:val="nil"/>
            </w:tcBorders>
            <w:tcMar>
              <w:top w:w="100" w:type="dxa"/>
              <w:left w:w="120" w:type="dxa"/>
              <w:bottom w:w="100" w:type="dxa"/>
              <w:right w:w="120" w:type="dxa"/>
            </w:tcMar>
            <w:vAlign w:val="center"/>
          </w:tcPr>
          <w:p w14:paraId="79DC8BA9" w14:textId="77777777" w:rsidR="00913A88" w:rsidRPr="004B6B4B" w:rsidRDefault="00913A88" w:rsidP="00E9349A">
            <w:pPr>
              <w:spacing w:line="480" w:lineRule="auto"/>
              <w:rPr>
                <w:sz w:val="16"/>
                <w:szCs w:val="16"/>
              </w:rPr>
            </w:pPr>
            <w:r w:rsidRPr="0072415B">
              <w:rPr>
                <w:color w:val="000000"/>
                <w:sz w:val="16"/>
                <w:szCs w:val="16"/>
              </w:rPr>
              <w:t>0.381 (0.346–0.415)</w:t>
            </w:r>
          </w:p>
        </w:tc>
      </w:tr>
      <w:tr w:rsidR="00913A88" w:rsidRPr="0072415B" w14:paraId="1CDD5B86" w14:textId="77777777" w:rsidTr="00E9349A">
        <w:trPr>
          <w:trHeight w:val="615"/>
          <w:jc w:val="center"/>
        </w:trPr>
        <w:tc>
          <w:tcPr>
            <w:tcW w:w="1276" w:type="dxa"/>
            <w:tcBorders>
              <w:top w:val="nil"/>
              <w:left w:val="nil"/>
              <w:bottom w:val="nil"/>
              <w:right w:val="nil"/>
            </w:tcBorders>
            <w:tcMar>
              <w:top w:w="100" w:type="dxa"/>
              <w:left w:w="120" w:type="dxa"/>
              <w:bottom w:w="100" w:type="dxa"/>
              <w:right w:w="120" w:type="dxa"/>
            </w:tcMar>
            <w:vAlign w:val="center"/>
          </w:tcPr>
          <w:p w14:paraId="5AE2AF17" w14:textId="77777777" w:rsidR="00913A88" w:rsidRPr="004B6B4B" w:rsidRDefault="00913A88" w:rsidP="00E9349A">
            <w:pPr>
              <w:spacing w:line="480" w:lineRule="auto"/>
              <w:rPr>
                <w:sz w:val="16"/>
                <w:szCs w:val="16"/>
              </w:rPr>
            </w:pPr>
            <w:r w:rsidRPr="0072415B">
              <w:rPr>
                <w:color w:val="000000"/>
                <w:sz w:val="16"/>
                <w:szCs w:val="16"/>
              </w:rPr>
              <w:lastRenderedPageBreak/>
              <w:t>Group-specific</w:t>
            </w:r>
          </w:p>
        </w:tc>
        <w:tc>
          <w:tcPr>
            <w:tcW w:w="1701" w:type="dxa"/>
            <w:tcBorders>
              <w:top w:val="nil"/>
              <w:left w:val="nil"/>
              <w:bottom w:val="nil"/>
              <w:right w:val="nil"/>
            </w:tcBorders>
            <w:tcMar>
              <w:top w:w="100" w:type="dxa"/>
              <w:left w:w="120" w:type="dxa"/>
              <w:bottom w:w="100" w:type="dxa"/>
              <w:right w:w="120" w:type="dxa"/>
            </w:tcMar>
            <w:vAlign w:val="center"/>
          </w:tcPr>
          <w:p w14:paraId="4563F3CD" w14:textId="77777777" w:rsidR="00913A88" w:rsidRPr="004B6B4B" w:rsidRDefault="00913A88" w:rsidP="00E9349A">
            <w:pPr>
              <w:spacing w:line="480" w:lineRule="auto"/>
              <w:rPr>
                <w:sz w:val="16"/>
                <w:szCs w:val="16"/>
              </w:rPr>
            </w:pPr>
            <w:r w:rsidRPr="0072415B">
              <w:rPr>
                <w:color w:val="000000"/>
                <w:sz w:val="16"/>
                <w:szCs w:val="16"/>
              </w:rPr>
              <w:t>All-datasets</w:t>
            </w:r>
          </w:p>
        </w:tc>
        <w:tc>
          <w:tcPr>
            <w:tcW w:w="1843" w:type="dxa"/>
            <w:tcBorders>
              <w:top w:val="nil"/>
              <w:left w:val="nil"/>
              <w:bottom w:val="nil"/>
              <w:right w:val="nil"/>
            </w:tcBorders>
            <w:tcMar>
              <w:top w:w="100" w:type="dxa"/>
              <w:left w:w="120" w:type="dxa"/>
              <w:bottom w:w="100" w:type="dxa"/>
              <w:right w:w="120" w:type="dxa"/>
            </w:tcMar>
            <w:vAlign w:val="center"/>
          </w:tcPr>
          <w:p w14:paraId="268CCF46" w14:textId="77777777" w:rsidR="00913A88" w:rsidRPr="004B6B4B" w:rsidRDefault="00913A88" w:rsidP="00E9349A">
            <w:pPr>
              <w:spacing w:line="480" w:lineRule="auto"/>
              <w:rPr>
                <w:sz w:val="16"/>
                <w:szCs w:val="16"/>
              </w:rPr>
            </w:pPr>
            <w:r w:rsidRPr="0072415B">
              <w:rPr>
                <w:color w:val="000000"/>
                <w:sz w:val="16"/>
                <w:szCs w:val="16"/>
              </w:rPr>
              <w:t>ConvNeXt-Small</w:t>
            </w:r>
          </w:p>
        </w:tc>
        <w:tc>
          <w:tcPr>
            <w:tcW w:w="1701" w:type="dxa"/>
            <w:tcBorders>
              <w:top w:val="nil"/>
              <w:left w:val="nil"/>
              <w:bottom w:val="nil"/>
              <w:right w:val="nil"/>
            </w:tcBorders>
            <w:tcMar>
              <w:top w:w="100" w:type="dxa"/>
              <w:left w:w="120" w:type="dxa"/>
              <w:bottom w:w="100" w:type="dxa"/>
              <w:right w:w="120" w:type="dxa"/>
            </w:tcMar>
            <w:vAlign w:val="center"/>
          </w:tcPr>
          <w:p w14:paraId="02F87511" w14:textId="77777777" w:rsidR="00913A88" w:rsidRPr="004B6B4B" w:rsidRDefault="00913A88" w:rsidP="00E9349A">
            <w:pPr>
              <w:spacing w:line="480" w:lineRule="auto"/>
              <w:rPr>
                <w:sz w:val="16"/>
                <w:szCs w:val="16"/>
              </w:rPr>
            </w:pPr>
            <w:r w:rsidRPr="0072415B">
              <w:rPr>
                <w:color w:val="000000"/>
                <w:sz w:val="16"/>
                <w:szCs w:val="16"/>
              </w:rPr>
              <w:t>0.966 (0.960–0.971)</w:t>
            </w:r>
          </w:p>
        </w:tc>
        <w:tc>
          <w:tcPr>
            <w:tcW w:w="1701" w:type="dxa"/>
            <w:tcBorders>
              <w:top w:val="nil"/>
              <w:left w:val="nil"/>
              <w:bottom w:val="nil"/>
              <w:right w:val="nil"/>
            </w:tcBorders>
            <w:tcMar>
              <w:top w:w="100" w:type="dxa"/>
              <w:left w:w="120" w:type="dxa"/>
              <w:bottom w:w="100" w:type="dxa"/>
              <w:right w:w="120" w:type="dxa"/>
            </w:tcMar>
            <w:vAlign w:val="center"/>
          </w:tcPr>
          <w:p w14:paraId="10AFCF57" w14:textId="77777777" w:rsidR="00913A88" w:rsidRPr="004B6B4B" w:rsidRDefault="00913A88" w:rsidP="00E9349A">
            <w:pPr>
              <w:spacing w:line="480" w:lineRule="auto"/>
              <w:rPr>
                <w:sz w:val="16"/>
                <w:szCs w:val="16"/>
              </w:rPr>
            </w:pPr>
            <w:r w:rsidRPr="0072415B">
              <w:rPr>
                <w:color w:val="000000"/>
                <w:sz w:val="16"/>
                <w:szCs w:val="16"/>
              </w:rPr>
              <w:t>0.954 (0.938–0.978)</w:t>
            </w:r>
          </w:p>
        </w:tc>
        <w:tc>
          <w:tcPr>
            <w:tcW w:w="1701" w:type="dxa"/>
            <w:tcBorders>
              <w:top w:val="nil"/>
              <w:left w:val="nil"/>
              <w:bottom w:val="nil"/>
              <w:right w:val="nil"/>
            </w:tcBorders>
            <w:tcMar>
              <w:top w:w="100" w:type="dxa"/>
              <w:left w:w="120" w:type="dxa"/>
              <w:bottom w:w="100" w:type="dxa"/>
              <w:right w:w="120" w:type="dxa"/>
            </w:tcMar>
            <w:vAlign w:val="center"/>
          </w:tcPr>
          <w:p w14:paraId="43B1FEFF" w14:textId="77777777" w:rsidR="00913A88" w:rsidRPr="004B6B4B" w:rsidRDefault="00913A88" w:rsidP="00E9349A">
            <w:pPr>
              <w:spacing w:line="480" w:lineRule="auto"/>
              <w:rPr>
                <w:sz w:val="16"/>
                <w:szCs w:val="16"/>
              </w:rPr>
            </w:pPr>
            <w:r w:rsidRPr="0072415B">
              <w:rPr>
                <w:color w:val="000000"/>
                <w:sz w:val="16"/>
                <w:szCs w:val="16"/>
              </w:rPr>
              <w:t>0.905 (0.883–0.921)</w:t>
            </w:r>
          </w:p>
        </w:tc>
        <w:tc>
          <w:tcPr>
            <w:tcW w:w="1701" w:type="dxa"/>
            <w:tcBorders>
              <w:top w:val="nil"/>
              <w:left w:val="nil"/>
              <w:bottom w:val="nil"/>
              <w:right w:val="nil"/>
            </w:tcBorders>
            <w:tcMar>
              <w:top w:w="100" w:type="dxa"/>
              <w:left w:w="120" w:type="dxa"/>
              <w:bottom w:w="100" w:type="dxa"/>
              <w:right w:w="120" w:type="dxa"/>
            </w:tcMar>
            <w:vAlign w:val="center"/>
          </w:tcPr>
          <w:p w14:paraId="1E904492" w14:textId="77777777" w:rsidR="00913A88" w:rsidRPr="004B6B4B" w:rsidRDefault="00913A88" w:rsidP="00E9349A">
            <w:pPr>
              <w:spacing w:line="480" w:lineRule="auto"/>
              <w:rPr>
                <w:sz w:val="16"/>
                <w:szCs w:val="16"/>
              </w:rPr>
            </w:pPr>
            <w:r w:rsidRPr="0072415B">
              <w:rPr>
                <w:color w:val="000000"/>
                <w:sz w:val="16"/>
                <w:szCs w:val="16"/>
              </w:rPr>
              <w:t>0.644 (0.594–0.687)</w:t>
            </w:r>
          </w:p>
        </w:tc>
        <w:tc>
          <w:tcPr>
            <w:tcW w:w="1701" w:type="dxa"/>
            <w:tcBorders>
              <w:top w:val="nil"/>
              <w:left w:val="nil"/>
              <w:bottom w:val="nil"/>
              <w:right w:val="nil"/>
            </w:tcBorders>
            <w:tcMar>
              <w:top w:w="100" w:type="dxa"/>
              <w:left w:w="120" w:type="dxa"/>
              <w:bottom w:w="100" w:type="dxa"/>
              <w:right w:w="120" w:type="dxa"/>
            </w:tcMar>
            <w:vAlign w:val="center"/>
          </w:tcPr>
          <w:p w14:paraId="1FA356E7" w14:textId="77777777" w:rsidR="00913A88" w:rsidRPr="004B6B4B" w:rsidRDefault="00913A88" w:rsidP="00E9349A">
            <w:pPr>
              <w:spacing w:line="480" w:lineRule="auto"/>
              <w:rPr>
                <w:sz w:val="16"/>
                <w:szCs w:val="16"/>
              </w:rPr>
            </w:pPr>
            <w:r w:rsidRPr="0072415B">
              <w:rPr>
                <w:color w:val="000000"/>
                <w:sz w:val="16"/>
                <w:szCs w:val="16"/>
              </w:rPr>
              <w:t>0.991 (0.988–0.996)</w:t>
            </w:r>
          </w:p>
        </w:tc>
        <w:tc>
          <w:tcPr>
            <w:tcW w:w="1705" w:type="dxa"/>
            <w:tcBorders>
              <w:top w:val="nil"/>
              <w:left w:val="nil"/>
              <w:bottom w:val="nil"/>
              <w:right w:val="nil"/>
            </w:tcBorders>
            <w:tcMar>
              <w:top w:w="100" w:type="dxa"/>
              <w:left w:w="120" w:type="dxa"/>
              <w:bottom w:w="100" w:type="dxa"/>
              <w:right w:w="120" w:type="dxa"/>
            </w:tcMar>
            <w:vAlign w:val="center"/>
          </w:tcPr>
          <w:p w14:paraId="5849A8CB" w14:textId="77777777" w:rsidR="00913A88" w:rsidRPr="004B6B4B" w:rsidRDefault="00913A88" w:rsidP="00E9349A">
            <w:pPr>
              <w:spacing w:line="480" w:lineRule="auto"/>
              <w:rPr>
                <w:sz w:val="16"/>
                <w:szCs w:val="16"/>
              </w:rPr>
            </w:pPr>
            <w:r w:rsidRPr="0072415B">
              <w:rPr>
                <w:color w:val="000000"/>
                <w:sz w:val="16"/>
                <w:szCs w:val="16"/>
              </w:rPr>
              <w:t>0.769 (0.737–0.795)</w:t>
            </w:r>
          </w:p>
        </w:tc>
      </w:tr>
      <w:tr w:rsidR="00913A88" w:rsidRPr="0072415B" w14:paraId="557BD780" w14:textId="77777777" w:rsidTr="00E9349A">
        <w:trPr>
          <w:trHeight w:val="615"/>
          <w:jc w:val="center"/>
        </w:trPr>
        <w:tc>
          <w:tcPr>
            <w:tcW w:w="1276" w:type="dxa"/>
            <w:tcBorders>
              <w:top w:val="nil"/>
              <w:left w:val="nil"/>
              <w:bottom w:val="nil"/>
              <w:right w:val="nil"/>
            </w:tcBorders>
            <w:tcMar>
              <w:top w:w="100" w:type="dxa"/>
              <w:left w:w="120" w:type="dxa"/>
              <w:bottom w:w="100" w:type="dxa"/>
              <w:right w:w="120" w:type="dxa"/>
            </w:tcMar>
            <w:vAlign w:val="center"/>
          </w:tcPr>
          <w:p w14:paraId="730CED1B" w14:textId="77777777" w:rsidR="00913A88" w:rsidRPr="004B6B4B" w:rsidRDefault="00913A88" w:rsidP="00E9349A">
            <w:pPr>
              <w:spacing w:line="480" w:lineRule="auto"/>
              <w:rPr>
                <w:sz w:val="16"/>
                <w:szCs w:val="16"/>
              </w:rPr>
            </w:pPr>
            <w:r w:rsidRPr="004B6B4B">
              <w:rPr>
                <w:color w:val="000000"/>
                <w:sz w:val="16"/>
                <w:szCs w:val="16"/>
              </w:rPr>
              <w:t> </w:t>
            </w:r>
          </w:p>
        </w:tc>
        <w:tc>
          <w:tcPr>
            <w:tcW w:w="1701" w:type="dxa"/>
            <w:tcBorders>
              <w:top w:val="nil"/>
              <w:left w:val="nil"/>
              <w:bottom w:val="nil"/>
              <w:right w:val="nil"/>
            </w:tcBorders>
            <w:tcMar>
              <w:top w:w="100" w:type="dxa"/>
              <w:left w:w="120" w:type="dxa"/>
              <w:bottom w:w="100" w:type="dxa"/>
              <w:right w:w="120" w:type="dxa"/>
            </w:tcMar>
            <w:vAlign w:val="center"/>
          </w:tcPr>
          <w:p w14:paraId="51F1254F" w14:textId="77777777" w:rsidR="00913A88" w:rsidRPr="004B6B4B" w:rsidRDefault="00913A88" w:rsidP="00E9349A">
            <w:pPr>
              <w:spacing w:line="480" w:lineRule="auto"/>
              <w:rPr>
                <w:sz w:val="16"/>
                <w:szCs w:val="16"/>
              </w:rPr>
            </w:pPr>
            <w:r w:rsidRPr="004B6B4B">
              <w:rPr>
                <w:color w:val="000000"/>
                <w:sz w:val="16"/>
                <w:szCs w:val="16"/>
              </w:rPr>
              <w:t> </w:t>
            </w:r>
          </w:p>
        </w:tc>
        <w:tc>
          <w:tcPr>
            <w:tcW w:w="1843" w:type="dxa"/>
            <w:tcBorders>
              <w:top w:val="nil"/>
              <w:left w:val="nil"/>
              <w:bottom w:val="nil"/>
              <w:right w:val="nil"/>
            </w:tcBorders>
            <w:tcMar>
              <w:top w:w="100" w:type="dxa"/>
              <w:left w:w="120" w:type="dxa"/>
              <w:bottom w:w="100" w:type="dxa"/>
              <w:right w:w="120" w:type="dxa"/>
            </w:tcMar>
            <w:vAlign w:val="center"/>
          </w:tcPr>
          <w:p w14:paraId="2B313552" w14:textId="77777777" w:rsidR="00913A88" w:rsidRPr="004B6B4B" w:rsidRDefault="00913A88" w:rsidP="00E9349A">
            <w:pPr>
              <w:spacing w:line="480" w:lineRule="auto"/>
              <w:rPr>
                <w:sz w:val="16"/>
                <w:szCs w:val="16"/>
              </w:rPr>
            </w:pPr>
            <w:r w:rsidRPr="0072415B">
              <w:rPr>
                <w:color w:val="000000"/>
                <w:sz w:val="16"/>
                <w:szCs w:val="16"/>
              </w:rPr>
              <w:t>ViT-Small</w:t>
            </w:r>
          </w:p>
        </w:tc>
        <w:tc>
          <w:tcPr>
            <w:tcW w:w="1701" w:type="dxa"/>
            <w:tcBorders>
              <w:top w:val="nil"/>
              <w:left w:val="nil"/>
              <w:bottom w:val="nil"/>
              <w:right w:val="nil"/>
            </w:tcBorders>
            <w:tcMar>
              <w:top w:w="100" w:type="dxa"/>
              <w:left w:w="120" w:type="dxa"/>
              <w:bottom w:w="100" w:type="dxa"/>
              <w:right w:w="120" w:type="dxa"/>
            </w:tcMar>
            <w:vAlign w:val="center"/>
          </w:tcPr>
          <w:p w14:paraId="19D75AAA" w14:textId="77777777" w:rsidR="00913A88" w:rsidRPr="004B6B4B" w:rsidRDefault="00913A88" w:rsidP="00E9349A">
            <w:pPr>
              <w:spacing w:line="480" w:lineRule="auto"/>
              <w:rPr>
                <w:sz w:val="16"/>
                <w:szCs w:val="16"/>
              </w:rPr>
            </w:pPr>
            <w:r w:rsidRPr="0072415B">
              <w:rPr>
                <w:color w:val="000000"/>
                <w:sz w:val="16"/>
                <w:szCs w:val="16"/>
              </w:rPr>
              <w:t>0.971 (0.965–0.976)</w:t>
            </w:r>
          </w:p>
        </w:tc>
        <w:tc>
          <w:tcPr>
            <w:tcW w:w="1701" w:type="dxa"/>
            <w:tcBorders>
              <w:top w:val="nil"/>
              <w:left w:val="nil"/>
              <w:bottom w:val="nil"/>
              <w:right w:val="nil"/>
            </w:tcBorders>
            <w:tcMar>
              <w:top w:w="100" w:type="dxa"/>
              <w:left w:w="120" w:type="dxa"/>
              <w:bottom w:w="100" w:type="dxa"/>
              <w:right w:w="120" w:type="dxa"/>
            </w:tcMar>
            <w:vAlign w:val="center"/>
          </w:tcPr>
          <w:p w14:paraId="75BDF75C" w14:textId="77777777" w:rsidR="00913A88" w:rsidRPr="004B6B4B" w:rsidRDefault="00913A88" w:rsidP="00E9349A">
            <w:pPr>
              <w:spacing w:line="480" w:lineRule="auto"/>
              <w:rPr>
                <w:sz w:val="16"/>
                <w:szCs w:val="16"/>
              </w:rPr>
            </w:pPr>
            <w:r w:rsidRPr="0072415B">
              <w:rPr>
                <w:color w:val="000000"/>
                <w:sz w:val="16"/>
                <w:szCs w:val="16"/>
              </w:rPr>
              <w:t>0.922 (0.906–0.953)</w:t>
            </w:r>
          </w:p>
        </w:tc>
        <w:tc>
          <w:tcPr>
            <w:tcW w:w="1701" w:type="dxa"/>
            <w:tcBorders>
              <w:top w:val="nil"/>
              <w:left w:val="nil"/>
              <w:bottom w:val="nil"/>
              <w:right w:val="nil"/>
            </w:tcBorders>
            <w:tcMar>
              <w:top w:w="100" w:type="dxa"/>
              <w:left w:w="120" w:type="dxa"/>
              <w:bottom w:w="100" w:type="dxa"/>
              <w:right w:w="120" w:type="dxa"/>
            </w:tcMar>
            <w:vAlign w:val="center"/>
          </w:tcPr>
          <w:p w14:paraId="13C768D4" w14:textId="77777777" w:rsidR="00913A88" w:rsidRPr="004B6B4B" w:rsidRDefault="00913A88" w:rsidP="00E9349A">
            <w:pPr>
              <w:spacing w:line="480" w:lineRule="auto"/>
              <w:rPr>
                <w:sz w:val="16"/>
                <w:szCs w:val="16"/>
              </w:rPr>
            </w:pPr>
            <w:r w:rsidRPr="0072415B">
              <w:rPr>
                <w:color w:val="000000"/>
                <w:sz w:val="16"/>
                <w:szCs w:val="16"/>
              </w:rPr>
              <w:t>0.922 (0.894–0.934)</w:t>
            </w:r>
          </w:p>
        </w:tc>
        <w:tc>
          <w:tcPr>
            <w:tcW w:w="1701" w:type="dxa"/>
            <w:tcBorders>
              <w:top w:val="nil"/>
              <w:left w:val="nil"/>
              <w:bottom w:val="nil"/>
              <w:right w:val="nil"/>
            </w:tcBorders>
            <w:tcMar>
              <w:top w:w="100" w:type="dxa"/>
              <w:left w:w="120" w:type="dxa"/>
              <w:bottom w:w="100" w:type="dxa"/>
              <w:right w:w="120" w:type="dxa"/>
            </w:tcMar>
            <w:vAlign w:val="center"/>
          </w:tcPr>
          <w:p w14:paraId="640D4FC6" w14:textId="77777777" w:rsidR="00913A88" w:rsidRPr="004B6B4B" w:rsidRDefault="00913A88" w:rsidP="00E9349A">
            <w:pPr>
              <w:spacing w:line="480" w:lineRule="auto"/>
              <w:rPr>
                <w:sz w:val="16"/>
                <w:szCs w:val="16"/>
              </w:rPr>
            </w:pPr>
            <w:r w:rsidRPr="0072415B">
              <w:rPr>
                <w:color w:val="000000"/>
                <w:sz w:val="16"/>
                <w:szCs w:val="16"/>
              </w:rPr>
              <w:t>0.680 (0.614–0.716)</w:t>
            </w:r>
          </w:p>
        </w:tc>
        <w:tc>
          <w:tcPr>
            <w:tcW w:w="1701" w:type="dxa"/>
            <w:tcBorders>
              <w:top w:val="nil"/>
              <w:left w:val="nil"/>
              <w:bottom w:val="nil"/>
              <w:right w:val="nil"/>
            </w:tcBorders>
            <w:tcMar>
              <w:top w:w="100" w:type="dxa"/>
              <w:left w:w="120" w:type="dxa"/>
              <w:bottom w:w="100" w:type="dxa"/>
              <w:right w:w="120" w:type="dxa"/>
            </w:tcMar>
            <w:vAlign w:val="center"/>
          </w:tcPr>
          <w:p w14:paraId="6DBA590F" w14:textId="77777777" w:rsidR="00913A88" w:rsidRPr="004B6B4B" w:rsidRDefault="00913A88" w:rsidP="00E9349A">
            <w:pPr>
              <w:spacing w:line="480" w:lineRule="auto"/>
              <w:rPr>
                <w:sz w:val="16"/>
                <w:szCs w:val="16"/>
              </w:rPr>
            </w:pPr>
            <w:r w:rsidRPr="0072415B">
              <w:rPr>
                <w:color w:val="000000"/>
                <w:sz w:val="16"/>
                <w:szCs w:val="16"/>
              </w:rPr>
              <w:t>0.985 (0.982–0.991)</w:t>
            </w:r>
          </w:p>
        </w:tc>
        <w:tc>
          <w:tcPr>
            <w:tcW w:w="1705" w:type="dxa"/>
            <w:tcBorders>
              <w:top w:val="nil"/>
              <w:left w:val="nil"/>
              <w:bottom w:val="nil"/>
              <w:right w:val="nil"/>
            </w:tcBorders>
            <w:tcMar>
              <w:top w:w="100" w:type="dxa"/>
              <w:left w:w="120" w:type="dxa"/>
              <w:bottom w:w="100" w:type="dxa"/>
              <w:right w:w="120" w:type="dxa"/>
            </w:tcMar>
            <w:vAlign w:val="center"/>
          </w:tcPr>
          <w:p w14:paraId="20F79780" w14:textId="77777777" w:rsidR="00913A88" w:rsidRPr="004B6B4B" w:rsidRDefault="00913A88" w:rsidP="00E9349A">
            <w:pPr>
              <w:spacing w:line="480" w:lineRule="auto"/>
              <w:rPr>
                <w:sz w:val="16"/>
                <w:szCs w:val="16"/>
              </w:rPr>
            </w:pPr>
            <w:r w:rsidRPr="0072415B">
              <w:rPr>
                <w:color w:val="000000"/>
                <w:sz w:val="16"/>
                <w:szCs w:val="16"/>
              </w:rPr>
              <w:t>0.783 (0.742–0.807)</w:t>
            </w:r>
          </w:p>
        </w:tc>
      </w:tr>
      <w:tr w:rsidR="00913A88" w:rsidRPr="0072415B" w14:paraId="00362F8E" w14:textId="77777777" w:rsidTr="00E9349A">
        <w:trPr>
          <w:trHeight w:val="615"/>
          <w:jc w:val="center"/>
        </w:trPr>
        <w:tc>
          <w:tcPr>
            <w:tcW w:w="1276" w:type="dxa"/>
            <w:tcBorders>
              <w:top w:val="nil"/>
              <w:left w:val="nil"/>
              <w:bottom w:val="nil"/>
              <w:right w:val="nil"/>
            </w:tcBorders>
            <w:tcMar>
              <w:top w:w="100" w:type="dxa"/>
              <w:left w:w="120" w:type="dxa"/>
              <w:bottom w:w="100" w:type="dxa"/>
              <w:right w:w="120" w:type="dxa"/>
            </w:tcMar>
            <w:vAlign w:val="center"/>
          </w:tcPr>
          <w:p w14:paraId="0B0726B7" w14:textId="77777777" w:rsidR="00913A88" w:rsidRPr="004B6B4B" w:rsidRDefault="00913A88" w:rsidP="00E9349A">
            <w:pPr>
              <w:spacing w:line="480" w:lineRule="auto"/>
              <w:rPr>
                <w:sz w:val="16"/>
                <w:szCs w:val="16"/>
              </w:rPr>
            </w:pPr>
            <w:r w:rsidRPr="004B6B4B">
              <w:rPr>
                <w:color w:val="000000"/>
                <w:sz w:val="16"/>
                <w:szCs w:val="16"/>
              </w:rPr>
              <w:t> </w:t>
            </w:r>
          </w:p>
        </w:tc>
        <w:tc>
          <w:tcPr>
            <w:tcW w:w="1701" w:type="dxa"/>
            <w:tcBorders>
              <w:top w:val="nil"/>
              <w:left w:val="nil"/>
              <w:bottom w:val="nil"/>
              <w:right w:val="nil"/>
            </w:tcBorders>
            <w:tcMar>
              <w:top w:w="100" w:type="dxa"/>
              <w:left w:w="120" w:type="dxa"/>
              <w:bottom w:w="100" w:type="dxa"/>
              <w:right w:w="120" w:type="dxa"/>
            </w:tcMar>
            <w:vAlign w:val="center"/>
          </w:tcPr>
          <w:p w14:paraId="2C64EC76" w14:textId="77777777" w:rsidR="00913A88" w:rsidRPr="004B6B4B" w:rsidRDefault="00913A88" w:rsidP="00E9349A">
            <w:pPr>
              <w:spacing w:line="480" w:lineRule="auto"/>
              <w:rPr>
                <w:sz w:val="16"/>
                <w:szCs w:val="16"/>
              </w:rPr>
            </w:pPr>
            <w:r w:rsidRPr="004B6B4B">
              <w:rPr>
                <w:color w:val="000000"/>
                <w:sz w:val="16"/>
                <w:szCs w:val="16"/>
              </w:rPr>
              <w:t> </w:t>
            </w:r>
          </w:p>
        </w:tc>
        <w:tc>
          <w:tcPr>
            <w:tcW w:w="1843" w:type="dxa"/>
            <w:tcBorders>
              <w:top w:val="nil"/>
              <w:left w:val="nil"/>
              <w:bottom w:val="nil"/>
              <w:right w:val="nil"/>
            </w:tcBorders>
            <w:tcMar>
              <w:top w:w="100" w:type="dxa"/>
              <w:left w:w="120" w:type="dxa"/>
              <w:bottom w:w="100" w:type="dxa"/>
              <w:right w:w="120" w:type="dxa"/>
            </w:tcMar>
            <w:vAlign w:val="center"/>
          </w:tcPr>
          <w:p w14:paraId="36D02443" w14:textId="77777777" w:rsidR="00913A88" w:rsidRPr="004B6B4B" w:rsidRDefault="00913A88" w:rsidP="00E9349A">
            <w:pPr>
              <w:spacing w:line="480" w:lineRule="auto"/>
              <w:rPr>
                <w:sz w:val="16"/>
                <w:szCs w:val="16"/>
              </w:rPr>
            </w:pPr>
            <w:r w:rsidRPr="0072415B">
              <w:rPr>
                <w:color w:val="000000"/>
                <w:sz w:val="16"/>
                <w:szCs w:val="16"/>
              </w:rPr>
              <w:t>RETFound DINOv2</w:t>
            </w:r>
          </w:p>
        </w:tc>
        <w:tc>
          <w:tcPr>
            <w:tcW w:w="1701" w:type="dxa"/>
            <w:tcBorders>
              <w:top w:val="nil"/>
              <w:left w:val="nil"/>
              <w:bottom w:val="nil"/>
              <w:right w:val="nil"/>
            </w:tcBorders>
            <w:tcMar>
              <w:top w:w="100" w:type="dxa"/>
              <w:left w:w="120" w:type="dxa"/>
              <w:bottom w:w="100" w:type="dxa"/>
              <w:right w:w="120" w:type="dxa"/>
            </w:tcMar>
            <w:vAlign w:val="center"/>
          </w:tcPr>
          <w:p w14:paraId="6A0BFD6C" w14:textId="77777777" w:rsidR="00913A88" w:rsidRPr="004B6B4B" w:rsidRDefault="00913A88" w:rsidP="00E9349A">
            <w:pPr>
              <w:spacing w:line="480" w:lineRule="auto"/>
              <w:rPr>
                <w:sz w:val="16"/>
                <w:szCs w:val="16"/>
              </w:rPr>
            </w:pPr>
            <w:r w:rsidRPr="0072415B">
              <w:rPr>
                <w:color w:val="000000"/>
                <w:sz w:val="16"/>
                <w:szCs w:val="16"/>
              </w:rPr>
              <w:t>0.972 (0.966–0.977)</w:t>
            </w:r>
          </w:p>
        </w:tc>
        <w:tc>
          <w:tcPr>
            <w:tcW w:w="1701" w:type="dxa"/>
            <w:tcBorders>
              <w:top w:val="nil"/>
              <w:left w:val="nil"/>
              <w:bottom w:val="nil"/>
              <w:right w:val="nil"/>
            </w:tcBorders>
            <w:tcMar>
              <w:top w:w="100" w:type="dxa"/>
              <w:left w:w="120" w:type="dxa"/>
              <w:bottom w:w="100" w:type="dxa"/>
              <w:right w:w="120" w:type="dxa"/>
            </w:tcMar>
            <w:vAlign w:val="center"/>
          </w:tcPr>
          <w:p w14:paraId="69060554" w14:textId="77777777" w:rsidR="00913A88" w:rsidRPr="004B6B4B" w:rsidRDefault="00913A88" w:rsidP="00E9349A">
            <w:pPr>
              <w:spacing w:line="480" w:lineRule="auto"/>
              <w:rPr>
                <w:sz w:val="16"/>
                <w:szCs w:val="16"/>
              </w:rPr>
            </w:pPr>
            <w:r w:rsidRPr="0072415B">
              <w:rPr>
                <w:color w:val="000000"/>
                <w:sz w:val="16"/>
                <w:szCs w:val="16"/>
              </w:rPr>
              <w:t>0.943 (0.917–0.958)</w:t>
            </w:r>
          </w:p>
        </w:tc>
        <w:tc>
          <w:tcPr>
            <w:tcW w:w="1701" w:type="dxa"/>
            <w:tcBorders>
              <w:top w:val="nil"/>
              <w:left w:val="nil"/>
              <w:bottom w:val="nil"/>
              <w:right w:val="nil"/>
            </w:tcBorders>
            <w:tcMar>
              <w:top w:w="100" w:type="dxa"/>
              <w:left w:w="120" w:type="dxa"/>
              <w:bottom w:w="100" w:type="dxa"/>
              <w:right w:w="120" w:type="dxa"/>
            </w:tcMar>
            <w:vAlign w:val="center"/>
          </w:tcPr>
          <w:p w14:paraId="27075357" w14:textId="77777777" w:rsidR="00913A88" w:rsidRPr="004B6B4B" w:rsidRDefault="00913A88" w:rsidP="00E9349A">
            <w:pPr>
              <w:spacing w:line="480" w:lineRule="auto"/>
              <w:rPr>
                <w:sz w:val="16"/>
                <w:szCs w:val="16"/>
              </w:rPr>
            </w:pPr>
            <w:r w:rsidRPr="0072415B">
              <w:rPr>
                <w:color w:val="000000"/>
                <w:sz w:val="16"/>
                <w:szCs w:val="16"/>
              </w:rPr>
              <w:t>0.910 (0.902–0.936)</w:t>
            </w:r>
          </w:p>
        </w:tc>
        <w:tc>
          <w:tcPr>
            <w:tcW w:w="1701" w:type="dxa"/>
            <w:tcBorders>
              <w:top w:val="nil"/>
              <w:left w:val="nil"/>
              <w:bottom w:val="nil"/>
              <w:right w:val="nil"/>
            </w:tcBorders>
            <w:tcMar>
              <w:top w:w="100" w:type="dxa"/>
              <w:left w:w="120" w:type="dxa"/>
              <w:bottom w:w="100" w:type="dxa"/>
              <w:right w:w="120" w:type="dxa"/>
            </w:tcMar>
            <w:vAlign w:val="center"/>
          </w:tcPr>
          <w:p w14:paraId="5F14F2B1" w14:textId="77777777" w:rsidR="00913A88" w:rsidRPr="004B6B4B" w:rsidRDefault="00913A88" w:rsidP="00E9349A">
            <w:pPr>
              <w:spacing w:line="480" w:lineRule="auto"/>
              <w:rPr>
                <w:sz w:val="16"/>
                <w:szCs w:val="16"/>
              </w:rPr>
            </w:pPr>
            <w:r w:rsidRPr="0072415B">
              <w:rPr>
                <w:color w:val="000000"/>
                <w:sz w:val="16"/>
                <w:szCs w:val="16"/>
              </w:rPr>
              <w:t>0.655 (0.632–0.720)</w:t>
            </w:r>
          </w:p>
        </w:tc>
        <w:tc>
          <w:tcPr>
            <w:tcW w:w="1701" w:type="dxa"/>
            <w:tcBorders>
              <w:top w:val="nil"/>
              <w:left w:val="nil"/>
              <w:bottom w:val="nil"/>
              <w:right w:val="nil"/>
            </w:tcBorders>
            <w:tcMar>
              <w:top w:w="100" w:type="dxa"/>
              <w:left w:w="120" w:type="dxa"/>
              <w:bottom w:w="100" w:type="dxa"/>
              <w:right w:w="120" w:type="dxa"/>
            </w:tcMar>
            <w:vAlign w:val="center"/>
          </w:tcPr>
          <w:p w14:paraId="41AF5215" w14:textId="77777777" w:rsidR="00913A88" w:rsidRPr="004B6B4B" w:rsidRDefault="00913A88" w:rsidP="00E9349A">
            <w:pPr>
              <w:spacing w:line="480" w:lineRule="auto"/>
              <w:rPr>
                <w:sz w:val="16"/>
                <w:szCs w:val="16"/>
              </w:rPr>
            </w:pPr>
            <w:r w:rsidRPr="0072415B">
              <w:rPr>
                <w:color w:val="000000"/>
                <w:sz w:val="16"/>
                <w:szCs w:val="16"/>
              </w:rPr>
              <w:t>0.989 (0.984–0.992)</w:t>
            </w:r>
          </w:p>
        </w:tc>
        <w:tc>
          <w:tcPr>
            <w:tcW w:w="1705" w:type="dxa"/>
            <w:tcBorders>
              <w:top w:val="nil"/>
              <w:left w:val="nil"/>
              <w:bottom w:val="nil"/>
              <w:right w:val="nil"/>
            </w:tcBorders>
            <w:tcMar>
              <w:top w:w="100" w:type="dxa"/>
              <w:left w:w="120" w:type="dxa"/>
              <w:bottom w:w="100" w:type="dxa"/>
              <w:right w:w="120" w:type="dxa"/>
            </w:tcMar>
            <w:vAlign w:val="center"/>
          </w:tcPr>
          <w:p w14:paraId="7DECCB0A" w14:textId="77777777" w:rsidR="00913A88" w:rsidRPr="004B6B4B" w:rsidRDefault="00913A88" w:rsidP="00E9349A">
            <w:pPr>
              <w:spacing w:line="480" w:lineRule="auto"/>
              <w:rPr>
                <w:sz w:val="16"/>
                <w:szCs w:val="16"/>
              </w:rPr>
            </w:pPr>
            <w:r w:rsidRPr="0072415B">
              <w:rPr>
                <w:color w:val="000000"/>
                <w:sz w:val="16"/>
                <w:szCs w:val="16"/>
              </w:rPr>
              <w:t>0.773 (0.755–0.811)</w:t>
            </w:r>
          </w:p>
        </w:tc>
      </w:tr>
      <w:tr w:rsidR="00913A88" w:rsidRPr="0072415B" w14:paraId="6C4AC311" w14:textId="77777777" w:rsidTr="00E9349A">
        <w:trPr>
          <w:trHeight w:val="615"/>
          <w:jc w:val="center"/>
        </w:trPr>
        <w:tc>
          <w:tcPr>
            <w:tcW w:w="1276" w:type="dxa"/>
            <w:tcBorders>
              <w:top w:val="nil"/>
              <w:left w:val="nil"/>
              <w:bottom w:val="nil"/>
              <w:right w:val="nil"/>
            </w:tcBorders>
            <w:tcMar>
              <w:top w:w="100" w:type="dxa"/>
              <w:left w:w="120" w:type="dxa"/>
              <w:bottom w:w="100" w:type="dxa"/>
              <w:right w:w="120" w:type="dxa"/>
            </w:tcMar>
            <w:vAlign w:val="center"/>
          </w:tcPr>
          <w:p w14:paraId="39CB03DF" w14:textId="77777777" w:rsidR="00913A88" w:rsidRPr="004B6B4B" w:rsidRDefault="00913A88" w:rsidP="00E9349A">
            <w:pPr>
              <w:spacing w:line="480" w:lineRule="auto"/>
              <w:rPr>
                <w:sz w:val="16"/>
                <w:szCs w:val="16"/>
              </w:rPr>
            </w:pPr>
            <w:r w:rsidRPr="004B6B4B">
              <w:rPr>
                <w:color w:val="000000"/>
                <w:sz w:val="16"/>
                <w:szCs w:val="16"/>
              </w:rPr>
              <w:t> </w:t>
            </w:r>
          </w:p>
        </w:tc>
        <w:tc>
          <w:tcPr>
            <w:tcW w:w="1701" w:type="dxa"/>
            <w:tcBorders>
              <w:top w:val="nil"/>
              <w:left w:val="nil"/>
              <w:bottom w:val="nil"/>
              <w:right w:val="nil"/>
            </w:tcBorders>
            <w:tcMar>
              <w:top w:w="100" w:type="dxa"/>
              <w:left w:w="120" w:type="dxa"/>
              <w:bottom w:w="100" w:type="dxa"/>
              <w:right w:w="120" w:type="dxa"/>
            </w:tcMar>
            <w:vAlign w:val="center"/>
          </w:tcPr>
          <w:p w14:paraId="3C605F13" w14:textId="77777777" w:rsidR="00913A88" w:rsidRPr="004B6B4B" w:rsidRDefault="00913A88" w:rsidP="00E9349A">
            <w:pPr>
              <w:spacing w:line="480" w:lineRule="auto"/>
              <w:rPr>
                <w:sz w:val="16"/>
                <w:szCs w:val="16"/>
              </w:rPr>
            </w:pPr>
            <w:r w:rsidRPr="0072415B">
              <w:rPr>
                <w:color w:val="000000"/>
                <w:sz w:val="16"/>
                <w:szCs w:val="16"/>
              </w:rPr>
              <w:t>Clinic-based</w:t>
            </w:r>
          </w:p>
        </w:tc>
        <w:tc>
          <w:tcPr>
            <w:tcW w:w="1843" w:type="dxa"/>
            <w:tcBorders>
              <w:top w:val="nil"/>
              <w:left w:val="nil"/>
              <w:bottom w:val="nil"/>
              <w:right w:val="nil"/>
            </w:tcBorders>
            <w:tcMar>
              <w:top w:w="100" w:type="dxa"/>
              <w:left w:w="120" w:type="dxa"/>
              <w:bottom w:w="100" w:type="dxa"/>
              <w:right w:w="120" w:type="dxa"/>
            </w:tcMar>
            <w:vAlign w:val="center"/>
          </w:tcPr>
          <w:p w14:paraId="582C34B1" w14:textId="77777777" w:rsidR="00913A88" w:rsidRPr="004B6B4B" w:rsidRDefault="00913A88" w:rsidP="00E9349A">
            <w:pPr>
              <w:spacing w:line="480" w:lineRule="auto"/>
              <w:rPr>
                <w:sz w:val="16"/>
                <w:szCs w:val="16"/>
              </w:rPr>
            </w:pPr>
            <w:r w:rsidRPr="0072415B">
              <w:rPr>
                <w:color w:val="000000"/>
                <w:sz w:val="16"/>
                <w:szCs w:val="16"/>
              </w:rPr>
              <w:t>ConvNeXt-Small</w:t>
            </w:r>
          </w:p>
        </w:tc>
        <w:tc>
          <w:tcPr>
            <w:tcW w:w="1701" w:type="dxa"/>
            <w:tcBorders>
              <w:top w:val="nil"/>
              <w:left w:val="nil"/>
              <w:bottom w:val="nil"/>
              <w:right w:val="nil"/>
            </w:tcBorders>
            <w:tcMar>
              <w:top w:w="100" w:type="dxa"/>
              <w:left w:w="120" w:type="dxa"/>
              <w:bottom w:w="100" w:type="dxa"/>
              <w:right w:w="120" w:type="dxa"/>
            </w:tcMar>
            <w:vAlign w:val="center"/>
          </w:tcPr>
          <w:p w14:paraId="32EE4D82" w14:textId="77777777" w:rsidR="00913A88" w:rsidRPr="004B6B4B" w:rsidRDefault="00913A88" w:rsidP="00E9349A">
            <w:pPr>
              <w:spacing w:line="480" w:lineRule="auto"/>
              <w:rPr>
                <w:sz w:val="16"/>
                <w:szCs w:val="16"/>
              </w:rPr>
            </w:pPr>
            <w:r w:rsidRPr="0072415B">
              <w:rPr>
                <w:color w:val="000000"/>
                <w:sz w:val="16"/>
                <w:szCs w:val="16"/>
              </w:rPr>
              <w:t>0.971 (0.963–0.978)</w:t>
            </w:r>
          </w:p>
        </w:tc>
        <w:tc>
          <w:tcPr>
            <w:tcW w:w="1701" w:type="dxa"/>
            <w:tcBorders>
              <w:top w:val="nil"/>
              <w:left w:val="nil"/>
              <w:bottom w:val="nil"/>
              <w:right w:val="nil"/>
            </w:tcBorders>
            <w:tcMar>
              <w:top w:w="100" w:type="dxa"/>
              <w:left w:w="120" w:type="dxa"/>
              <w:bottom w:w="100" w:type="dxa"/>
              <w:right w:w="120" w:type="dxa"/>
            </w:tcMar>
            <w:vAlign w:val="center"/>
          </w:tcPr>
          <w:p w14:paraId="7B203A95" w14:textId="77777777" w:rsidR="00913A88" w:rsidRPr="004B6B4B" w:rsidRDefault="00913A88" w:rsidP="00E9349A">
            <w:pPr>
              <w:spacing w:line="480" w:lineRule="auto"/>
              <w:rPr>
                <w:sz w:val="16"/>
                <w:szCs w:val="16"/>
              </w:rPr>
            </w:pPr>
            <w:r w:rsidRPr="0072415B">
              <w:rPr>
                <w:color w:val="000000"/>
                <w:sz w:val="16"/>
                <w:szCs w:val="16"/>
              </w:rPr>
              <w:t>0.908 (0.869–0.959)</w:t>
            </w:r>
          </w:p>
        </w:tc>
        <w:tc>
          <w:tcPr>
            <w:tcW w:w="1701" w:type="dxa"/>
            <w:tcBorders>
              <w:top w:val="nil"/>
              <w:left w:val="nil"/>
              <w:bottom w:val="nil"/>
              <w:right w:val="nil"/>
            </w:tcBorders>
            <w:tcMar>
              <w:top w:w="100" w:type="dxa"/>
              <w:left w:w="120" w:type="dxa"/>
              <w:bottom w:w="100" w:type="dxa"/>
              <w:right w:w="120" w:type="dxa"/>
            </w:tcMar>
            <w:vAlign w:val="center"/>
          </w:tcPr>
          <w:p w14:paraId="1E74557A" w14:textId="77777777" w:rsidR="00913A88" w:rsidRPr="004B6B4B" w:rsidRDefault="00913A88" w:rsidP="00E9349A">
            <w:pPr>
              <w:spacing w:line="480" w:lineRule="auto"/>
              <w:rPr>
                <w:sz w:val="16"/>
                <w:szCs w:val="16"/>
              </w:rPr>
            </w:pPr>
            <w:r w:rsidRPr="0072415B">
              <w:rPr>
                <w:color w:val="000000"/>
                <w:sz w:val="16"/>
                <w:szCs w:val="16"/>
              </w:rPr>
              <w:t>0.913 (0.863–0.950)</w:t>
            </w:r>
          </w:p>
        </w:tc>
        <w:tc>
          <w:tcPr>
            <w:tcW w:w="1701" w:type="dxa"/>
            <w:tcBorders>
              <w:top w:val="nil"/>
              <w:left w:val="nil"/>
              <w:bottom w:val="nil"/>
              <w:right w:val="nil"/>
            </w:tcBorders>
            <w:tcMar>
              <w:top w:w="100" w:type="dxa"/>
              <w:left w:w="120" w:type="dxa"/>
              <w:bottom w:w="100" w:type="dxa"/>
              <w:right w:w="120" w:type="dxa"/>
            </w:tcMar>
            <w:vAlign w:val="center"/>
          </w:tcPr>
          <w:p w14:paraId="6FFFD9A5" w14:textId="77777777" w:rsidR="00913A88" w:rsidRPr="004B6B4B" w:rsidRDefault="00913A88" w:rsidP="00E9349A">
            <w:pPr>
              <w:spacing w:line="480" w:lineRule="auto"/>
              <w:rPr>
                <w:sz w:val="16"/>
                <w:szCs w:val="16"/>
              </w:rPr>
            </w:pPr>
            <w:r w:rsidRPr="0072415B">
              <w:rPr>
                <w:color w:val="000000"/>
                <w:sz w:val="16"/>
                <w:szCs w:val="16"/>
              </w:rPr>
              <w:t>0.889 (0.839–0.932)</w:t>
            </w:r>
          </w:p>
        </w:tc>
        <w:tc>
          <w:tcPr>
            <w:tcW w:w="1701" w:type="dxa"/>
            <w:tcBorders>
              <w:top w:val="nil"/>
              <w:left w:val="nil"/>
              <w:bottom w:val="nil"/>
              <w:right w:val="nil"/>
            </w:tcBorders>
            <w:tcMar>
              <w:top w:w="100" w:type="dxa"/>
              <w:left w:w="120" w:type="dxa"/>
              <w:bottom w:w="100" w:type="dxa"/>
              <w:right w:w="120" w:type="dxa"/>
            </w:tcMar>
            <w:vAlign w:val="center"/>
          </w:tcPr>
          <w:p w14:paraId="454D9537" w14:textId="77777777" w:rsidR="00913A88" w:rsidRPr="004B6B4B" w:rsidRDefault="00913A88" w:rsidP="00E9349A">
            <w:pPr>
              <w:spacing w:line="480" w:lineRule="auto"/>
              <w:rPr>
                <w:sz w:val="16"/>
                <w:szCs w:val="16"/>
              </w:rPr>
            </w:pPr>
            <w:r w:rsidRPr="0072415B">
              <w:rPr>
                <w:color w:val="000000"/>
                <w:sz w:val="16"/>
                <w:szCs w:val="16"/>
              </w:rPr>
              <w:t>0.928 (0.903–0.965)</w:t>
            </w:r>
          </w:p>
        </w:tc>
        <w:tc>
          <w:tcPr>
            <w:tcW w:w="1705" w:type="dxa"/>
            <w:tcBorders>
              <w:top w:val="nil"/>
              <w:left w:val="nil"/>
              <w:bottom w:val="nil"/>
              <w:right w:val="nil"/>
            </w:tcBorders>
            <w:tcMar>
              <w:top w:w="100" w:type="dxa"/>
              <w:left w:w="120" w:type="dxa"/>
              <w:bottom w:w="100" w:type="dxa"/>
              <w:right w:w="120" w:type="dxa"/>
            </w:tcMar>
            <w:vAlign w:val="center"/>
          </w:tcPr>
          <w:p w14:paraId="4C6225A3" w14:textId="77777777" w:rsidR="00913A88" w:rsidRPr="004B6B4B" w:rsidRDefault="00913A88" w:rsidP="00E9349A">
            <w:pPr>
              <w:spacing w:line="480" w:lineRule="auto"/>
              <w:rPr>
                <w:sz w:val="16"/>
                <w:szCs w:val="16"/>
              </w:rPr>
            </w:pPr>
            <w:r w:rsidRPr="0072415B">
              <w:rPr>
                <w:color w:val="000000"/>
                <w:sz w:val="16"/>
                <w:szCs w:val="16"/>
              </w:rPr>
              <w:t>0.898 (0.884–0.919)</w:t>
            </w:r>
          </w:p>
        </w:tc>
      </w:tr>
      <w:tr w:rsidR="00913A88" w:rsidRPr="0072415B" w14:paraId="1929F427" w14:textId="77777777" w:rsidTr="00E9349A">
        <w:trPr>
          <w:trHeight w:val="615"/>
          <w:jc w:val="center"/>
        </w:trPr>
        <w:tc>
          <w:tcPr>
            <w:tcW w:w="1276" w:type="dxa"/>
            <w:tcBorders>
              <w:top w:val="nil"/>
              <w:left w:val="nil"/>
              <w:bottom w:val="nil"/>
              <w:right w:val="nil"/>
            </w:tcBorders>
            <w:tcMar>
              <w:top w:w="100" w:type="dxa"/>
              <w:left w:w="120" w:type="dxa"/>
              <w:bottom w:w="100" w:type="dxa"/>
              <w:right w:w="120" w:type="dxa"/>
            </w:tcMar>
            <w:vAlign w:val="center"/>
          </w:tcPr>
          <w:p w14:paraId="0B2A4FC0" w14:textId="77777777" w:rsidR="00913A88" w:rsidRPr="004B6B4B" w:rsidRDefault="00913A88" w:rsidP="00E9349A">
            <w:pPr>
              <w:spacing w:line="480" w:lineRule="auto"/>
              <w:rPr>
                <w:sz w:val="16"/>
                <w:szCs w:val="16"/>
              </w:rPr>
            </w:pPr>
            <w:r w:rsidRPr="004B6B4B">
              <w:rPr>
                <w:color w:val="000000"/>
                <w:sz w:val="16"/>
                <w:szCs w:val="16"/>
              </w:rPr>
              <w:t> </w:t>
            </w:r>
          </w:p>
        </w:tc>
        <w:tc>
          <w:tcPr>
            <w:tcW w:w="1701" w:type="dxa"/>
            <w:tcBorders>
              <w:top w:val="nil"/>
              <w:left w:val="nil"/>
              <w:bottom w:val="nil"/>
              <w:right w:val="nil"/>
            </w:tcBorders>
            <w:tcMar>
              <w:top w:w="100" w:type="dxa"/>
              <w:left w:w="120" w:type="dxa"/>
              <w:bottom w:w="100" w:type="dxa"/>
              <w:right w:w="120" w:type="dxa"/>
            </w:tcMar>
            <w:vAlign w:val="center"/>
          </w:tcPr>
          <w:p w14:paraId="714233DE" w14:textId="77777777" w:rsidR="00913A88" w:rsidRPr="004B6B4B" w:rsidRDefault="00913A88" w:rsidP="00E9349A">
            <w:pPr>
              <w:spacing w:line="480" w:lineRule="auto"/>
              <w:rPr>
                <w:sz w:val="16"/>
                <w:szCs w:val="16"/>
              </w:rPr>
            </w:pPr>
            <w:r w:rsidRPr="004B6B4B">
              <w:rPr>
                <w:color w:val="000000"/>
                <w:sz w:val="16"/>
                <w:szCs w:val="16"/>
              </w:rPr>
              <w:t> </w:t>
            </w:r>
          </w:p>
        </w:tc>
        <w:tc>
          <w:tcPr>
            <w:tcW w:w="1843" w:type="dxa"/>
            <w:tcBorders>
              <w:top w:val="nil"/>
              <w:left w:val="nil"/>
              <w:bottom w:val="nil"/>
              <w:right w:val="nil"/>
            </w:tcBorders>
            <w:tcMar>
              <w:top w:w="100" w:type="dxa"/>
              <w:left w:w="120" w:type="dxa"/>
              <w:bottom w:w="100" w:type="dxa"/>
              <w:right w:w="120" w:type="dxa"/>
            </w:tcMar>
            <w:vAlign w:val="center"/>
          </w:tcPr>
          <w:p w14:paraId="13CCB18E" w14:textId="77777777" w:rsidR="00913A88" w:rsidRPr="004B6B4B" w:rsidRDefault="00913A88" w:rsidP="00E9349A">
            <w:pPr>
              <w:spacing w:line="480" w:lineRule="auto"/>
              <w:rPr>
                <w:sz w:val="16"/>
                <w:szCs w:val="16"/>
              </w:rPr>
            </w:pPr>
            <w:r w:rsidRPr="0072415B">
              <w:rPr>
                <w:color w:val="000000"/>
                <w:sz w:val="16"/>
                <w:szCs w:val="16"/>
              </w:rPr>
              <w:t>ViT-Small</w:t>
            </w:r>
          </w:p>
        </w:tc>
        <w:tc>
          <w:tcPr>
            <w:tcW w:w="1701" w:type="dxa"/>
            <w:tcBorders>
              <w:top w:val="nil"/>
              <w:left w:val="nil"/>
              <w:bottom w:val="nil"/>
              <w:right w:val="nil"/>
            </w:tcBorders>
            <w:tcMar>
              <w:top w:w="100" w:type="dxa"/>
              <w:left w:w="120" w:type="dxa"/>
              <w:bottom w:w="100" w:type="dxa"/>
              <w:right w:w="120" w:type="dxa"/>
            </w:tcMar>
            <w:vAlign w:val="center"/>
          </w:tcPr>
          <w:p w14:paraId="2EC44943" w14:textId="77777777" w:rsidR="00913A88" w:rsidRPr="004B6B4B" w:rsidRDefault="00913A88" w:rsidP="00E9349A">
            <w:pPr>
              <w:spacing w:line="480" w:lineRule="auto"/>
              <w:rPr>
                <w:sz w:val="16"/>
                <w:szCs w:val="16"/>
              </w:rPr>
            </w:pPr>
            <w:r w:rsidRPr="0072415B">
              <w:rPr>
                <w:color w:val="000000"/>
                <w:sz w:val="16"/>
                <w:szCs w:val="16"/>
              </w:rPr>
              <w:t>0.971 (0.963–0.979)</w:t>
            </w:r>
          </w:p>
        </w:tc>
        <w:tc>
          <w:tcPr>
            <w:tcW w:w="1701" w:type="dxa"/>
            <w:tcBorders>
              <w:top w:val="nil"/>
              <w:left w:val="nil"/>
              <w:bottom w:val="nil"/>
              <w:right w:val="nil"/>
            </w:tcBorders>
            <w:tcMar>
              <w:top w:w="100" w:type="dxa"/>
              <w:left w:w="120" w:type="dxa"/>
              <w:bottom w:w="100" w:type="dxa"/>
              <w:right w:w="120" w:type="dxa"/>
            </w:tcMar>
            <w:vAlign w:val="center"/>
          </w:tcPr>
          <w:p w14:paraId="3B3B5D6A" w14:textId="77777777" w:rsidR="00913A88" w:rsidRPr="004B6B4B" w:rsidRDefault="00913A88" w:rsidP="00E9349A">
            <w:pPr>
              <w:spacing w:line="480" w:lineRule="auto"/>
              <w:rPr>
                <w:sz w:val="16"/>
                <w:szCs w:val="16"/>
              </w:rPr>
            </w:pPr>
            <w:r w:rsidRPr="0072415B">
              <w:rPr>
                <w:color w:val="000000"/>
                <w:sz w:val="16"/>
                <w:szCs w:val="16"/>
              </w:rPr>
              <w:t>0.923 (0.869–0.956)</w:t>
            </w:r>
          </w:p>
        </w:tc>
        <w:tc>
          <w:tcPr>
            <w:tcW w:w="1701" w:type="dxa"/>
            <w:tcBorders>
              <w:top w:val="nil"/>
              <w:left w:val="nil"/>
              <w:bottom w:val="nil"/>
              <w:right w:val="nil"/>
            </w:tcBorders>
            <w:tcMar>
              <w:top w:w="100" w:type="dxa"/>
              <w:left w:w="120" w:type="dxa"/>
              <w:bottom w:w="100" w:type="dxa"/>
              <w:right w:w="120" w:type="dxa"/>
            </w:tcMar>
            <w:vAlign w:val="center"/>
          </w:tcPr>
          <w:p w14:paraId="6F7B8FAF" w14:textId="77777777" w:rsidR="00913A88" w:rsidRPr="004B6B4B" w:rsidRDefault="00913A88" w:rsidP="00E9349A">
            <w:pPr>
              <w:spacing w:line="480" w:lineRule="auto"/>
              <w:rPr>
                <w:sz w:val="16"/>
                <w:szCs w:val="16"/>
              </w:rPr>
            </w:pPr>
            <w:r w:rsidRPr="0072415B">
              <w:rPr>
                <w:color w:val="000000"/>
                <w:sz w:val="16"/>
                <w:szCs w:val="16"/>
              </w:rPr>
              <w:t>0.900 (0.865–0.953)</w:t>
            </w:r>
          </w:p>
        </w:tc>
        <w:tc>
          <w:tcPr>
            <w:tcW w:w="1701" w:type="dxa"/>
            <w:tcBorders>
              <w:top w:val="nil"/>
              <w:left w:val="nil"/>
              <w:bottom w:val="nil"/>
              <w:right w:val="nil"/>
            </w:tcBorders>
            <w:tcMar>
              <w:top w:w="100" w:type="dxa"/>
              <w:left w:w="120" w:type="dxa"/>
              <w:bottom w:w="100" w:type="dxa"/>
              <w:right w:w="120" w:type="dxa"/>
            </w:tcMar>
            <w:vAlign w:val="center"/>
          </w:tcPr>
          <w:p w14:paraId="72442727" w14:textId="77777777" w:rsidR="00913A88" w:rsidRPr="004B6B4B" w:rsidRDefault="00913A88" w:rsidP="00E9349A">
            <w:pPr>
              <w:spacing w:line="480" w:lineRule="auto"/>
              <w:rPr>
                <w:sz w:val="16"/>
                <w:szCs w:val="16"/>
              </w:rPr>
            </w:pPr>
            <w:r w:rsidRPr="0072415B">
              <w:rPr>
                <w:color w:val="000000"/>
                <w:sz w:val="16"/>
                <w:szCs w:val="16"/>
              </w:rPr>
              <w:t>0.876 (0.843–0.936)</w:t>
            </w:r>
          </w:p>
        </w:tc>
        <w:tc>
          <w:tcPr>
            <w:tcW w:w="1701" w:type="dxa"/>
            <w:tcBorders>
              <w:top w:val="nil"/>
              <w:left w:val="nil"/>
              <w:bottom w:val="nil"/>
              <w:right w:val="nil"/>
            </w:tcBorders>
            <w:tcMar>
              <w:top w:w="100" w:type="dxa"/>
              <w:left w:w="120" w:type="dxa"/>
              <w:bottom w:w="100" w:type="dxa"/>
              <w:right w:w="120" w:type="dxa"/>
            </w:tcMar>
            <w:vAlign w:val="center"/>
          </w:tcPr>
          <w:p w14:paraId="3B9F09AA" w14:textId="77777777" w:rsidR="00913A88" w:rsidRPr="004B6B4B" w:rsidRDefault="00913A88" w:rsidP="00E9349A">
            <w:pPr>
              <w:spacing w:line="480" w:lineRule="auto"/>
              <w:rPr>
                <w:sz w:val="16"/>
                <w:szCs w:val="16"/>
              </w:rPr>
            </w:pPr>
            <w:r w:rsidRPr="0072415B">
              <w:rPr>
                <w:color w:val="000000"/>
                <w:sz w:val="16"/>
                <w:szCs w:val="16"/>
              </w:rPr>
              <w:t>0.938 (0.903–0.963)</w:t>
            </w:r>
          </w:p>
        </w:tc>
        <w:tc>
          <w:tcPr>
            <w:tcW w:w="1705" w:type="dxa"/>
            <w:tcBorders>
              <w:top w:val="nil"/>
              <w:left w:val="nil"/>
              <w:bottom w:val="nil"/>
              <w:right w:val="nil"/>
            </w:tcBorders>
            <w:tcMar>
              <w:top w:w="100" w:type="dxa"/>
              <w:left w:w="120" w:type="dxa"/>
              <w:bottom w:w="100" w:type="dxa"/>
              <w:right w:w="120" w:type="dxa"/>
            </w:tcMar>
            <w:vAlign w:val="center"/>
          </w:tcPr>
          <w:p w14:paraId="5F429A65" w14:textId="77777777" w:rsidR="00913A88" w:rsidRPr="004B6B4B" w:rsidRDefault="00913A88" w:rsidP="00E9349A">
            <w:pPr>
              <w:spacing w:line="480" w:lineRule="auto"/>
              <w:rPr>
                <w:sz w:val="16"/>
                <w:szCs w:val="16"/>
              </w:rPr>
            </w:pPr>
            <w:r w:rsidRPr="0072415B">
              <w:rPr>
                <w:color w:val="000000"/>
                <w:sz w:val="16"/>
                <w:szCs w:val="16"/>
              </w:rPr>
              <w:t>0.899 (0.883–0.919)</w:t>
            </w:r>
          </w:p>
        </w:tc>
      </w:tr>
      <w:tr w:rsidR="00913A88" w:rsidRPr="0072415B" w14:paraId="4C210C3C" w14:textId="77777777" w:rsidTr="00E9349A">
        <w:trPr>
          <w:trHeight w:val="615"/>
          <w:jc w:val="center"/>
        </w:trPr>
        <w:tc>
          <w:tcPr>
            <w:tcW w:w="1276" w:type="dxa"/>
            <w:tcBorders>
              <w:top w:val="nil"/>
              <w:left w:val="nil"/>
              <w:bottom w:val="nil"/>
              <w:right w:val="nil"/>
            </w:tcBorders>
            <w:tcMar>
              <w:top w:w="100" w:type="dxa"/>
              <w:left w:w="120" w:type="dxa"/>
              <w:bottom w:w="100" w:type="dxa"/>
              <w:right w:w="120" w:type="dxa"/>
            </w:tcMar>
            <w:vAlign w:val="center"/>
          </w:tcPr>
          <w:p w14:paraId="79883F60" w14:textId="77777777" w:rsidR="00913A88" w:rsidRPr="004B6B4B" w:rsidRDefault="00913A88" w:rsidP="00E9349A">
            <w:pPr>
              <w:spacing w:line="480" w:lineRule="auto"/>
              <w:rPr>
                <w:sz w:val="16"/>
                <w:szCs w:val="16"/>
              </w:rPr>
            </w:pPr>
            <w:r w:rsidRPr="004B6B4B">
              <w:rPr>
                <w:color w:val="000000"/>
                <w:sz w:val="16"/>
                <w:szCs w:val="16"/>
              </w:rPr>
              <w:t> </w:t>
            </w:r>
          </w:p>
        </w:tc>
        <w:tc>
          <w:tcPr>
            <w:tcW w:w="1701" w:type="dxa"/>
            <w:tcBorders>
              <w:top w:val="nil"/>
              <w:left w:val="nil"/>
              <w:bottom w:val="nil"/>
              <w:right w:val="nil"/>
            </w:tcBorders>
            <w:tcMar>
              <w:top w:w="100" w:type="dxa"/>
              <w:left w:w="120" w:type="dxa"/>
              <w:bottom w:w="100" w:type="dxa"/>
              <w:right w:w="120" w:type="dxa"/>
            </w:tcMar>
            <w:vAlign w:val="center"/>
          </w:tcPr>
          <w:p w14:paraId="7AF44374" w14:textId="77777777" w:rsidR="00913A88" w:rsidRPr="004B6B4B" w:rsidRDefault="00913A88" w:rsidP="00E9349A">
            <w:pPr>
              <w:spacing w:line="480" w:lineRule="auto"/>
              <w:rPr>
                <w:sz w:val="16"/>
                <w:szCs w:val="16"/>
              </w:rPr>
            </w:pPr>
            <w:r w:rsidRPr="004B6B4B">
              <w:rPr>
                <w:color w:val="000000"/>
                <w:sz w:val="16"/>
                <w:szCs w:val="16"/>
              </w:rPr>
              <w:t> </w:t>
            </w:r>
          </w:p>
        </w:tc>
        <w:tc>
          <w:tcPr>
            <w:tcW w:w="1843" w:type="dxa"/>
            <w:tcBorders>
              <w:top w:val="nil"/>
              <w:left w:val="nil"/>
              <w:bottom w:val="nil"/>
              <w:right w:val="nil"/>
            </w:tcBorders>
            <w:tcMar>
              <w:top w:w="100" w:type="dxa"/>
              <w:left w:w="120" w:type="dxa"/>
              <w:bottom w:w="100" w:type="dxa"/>
              <w:right w:w="120" w:type="dxa"/>
            </w:tcMar>
            <w:vAlign w:val="center"/>
          </w:tcPr>
          <w:p w14:paraId="07CCA378" w14:textId="77777777" w:rsidR="00913A88" w:rsidRPr="004B6B4B" w:rsidRDefault="00913A88" w:rsidP="00E9349A">
            <w:pPr>
              <w:spacing w:line="480" w:lineRule="auto"/>
              <w:rPr>
                <w:sz w:val="16"/>
                <w:szCs w:val="16"/>
              </w:rPr>
            </w:pPr>
            <w:r w:rsidRPr="0072415B">
              <w:rPr>
                <w:color w:val="000000"/>
                <w:sz w:val="16"/>
                <w:szCs w:val="16"/>
              </w:rPr>
              <w:t>RETFound DINOv2</w:t>
            </w:r>
          </w:p>
        </w:tc>
        <w:tc>
          <w:tcPr>
            <w:tcW w:w="1701" w:type="dxa"/>
            <w:tcBorders>
              <w:top w:val="nil"/>
              <w:left w:val="nil"/>
              <w:bottom w:val="nil"/>
              <w:right w:val="nil"/>
            </w:tcBorders>
            <w:tcMar>
              <w:top w:w="100" w:type="dxa"/>
              <w:left w:w="120" w:type="dxa"/>
              <w:bottom w:w="100" w:type="dxa"/>
              <w:right w:w="120" w:type="dxa"/>
            </w:tcMar>
            <w:vAlign w:val="center"/>
          </w:tcPr>
          <w:p w14:paraId="50A7DC7A" w14:textId="77777777" w:rsidR="00913A88" w:rsidRPr="004B6B4B" w:rsidRDefault="00913A88" w:rsidP="00E9349A">
            <w:pPr>
              <w:spacing w:line="480" w:lineRule="auto"/>
              <w:rPr>
                <w:sz w:val="16"/>
                <w:szCs w:val="16"/>
              </w:rPr>
            </w:pPr>
            <w:r w:rsidRPr="0072415B">
              <w:rPr>
                <w:color w:val="000000"/>
                <w:sz w:val="16"/>
                <w:szCs w:val="16"/>
              </w:rPr>
              <w:t>0.974 (0.966–0.981)</w:t>
            </w:r>
          </w:p>
        </w:tc>
        <w:tc>
          <w:tcPr>
            <w:tcW w:w="1701" w:type="dxa"/>
            <w:tcBorders>
              <w:top w:val="nil"/>
              <w:left w:val="nil"/>
              <w:bottom w:val="nil"/>
              <w:right w:val="nil"/>
            </w:tcBorders>
            <w:tcMar>
              <w:top w:w="100" w:type="dxa"/>
              <w:left w:w="120" w:type="dxa"/>
              <w:bottom w:w="100" w:type="dxa"/>
              <w:right w:w="120" w:type="dxa"/>
            </w:tcMar>
            <w:vAlign w:val="center"/>
          </w:tcPr>
          <w:p w14:paraId="52C222C4" w14:textId="77777777" w:rsidR="00913A88" w:rsidRPr="004B6B4B" w:rsidRDefault="00913A88" w:rsidP="00E9349A">
            <w:pPr>
              <w:spacing w:line="480" w:lineRule="auto"/>
              <w:rPr>
                <w:sz w:val="16"/>
                <w:szCs w:val="16"/>
              </w:rPr>
            </w:pPr>
            <w:r w:rsidRPr="0072415B">
              <w:rPr>
                <w:color w:val="000000"/>
                <w:sz w:val="16"/>
                <w:szCs w:val="16"/>
              </w:rPr>
              <w:t>0.899 (0.884–0.959)</w:t>
            </w:r>
          </w:p>
        </w:tc>
        <w:tc>
          <w:tcPr>
            <w:tcW w:w="1701" w:type="dxa"/>
            <w:tcBorders>
              <w:top w:val="nil"/>
              <w:left w:val="nil"/>
              <w:bottom w:val="nil"/>
              <w:right w:val="nil"/>
            </w:tcBorders>
            <w:tcMar>
              <w:top w:w="100" w:type="dxa"/>
              <w:left w:w="120" w:type="dxa"/>
              <w:bottom w:w="100" w:type="dxa"/>
              <w:right w:w="120" w:type="dxa"/>
            </w:tcMar>
            <w:vAlign w:val="center"/>
          </w:tcPr>
          <w:p w14:paraId="7CBC8900" w14:textId="77777777" w:rsidR="00913A88" w:rsidRPr="004B6B4B" w:rsidRDefault="00913A88" w:rsidP="00E9349A">
            <w:pPr>
              <w:spacing w:line="480" w:lineRule="auto"/>
              <w:rPr>
                <w:sz w:val="16"/>
                <w:szCs w:val="16"/>
              </w:rPr>
            </w:pPr>
            <w:r w:rsidRPr="0072415B">
              <w:rPr>
                <w:color w:val="000000"/>
                <w:sz w:val="16"/>
                <w:szCs w:val="16"/>
              </w:rPr>
              <w:t>0.935 (0.878–0.953)</w:t>
            </w:r>
          </w:p>
        </w:tc>
        <w:tc>
          <w:tcPr>
            <w:tcW w:w="1701" w:type="dxa"/>
            <w:tcBorders>
              <w:top w:val="nil"/>
              <w:left w:val="nil"/>
              <w:bottom w:val="nil"/>
              <w:right w:val="nil"/>
            </w:tcBorders>
            <w:tcMar>
              <w:top w:w="100" w:type="dxa"/>
              <w:left w:w="120" w:type="dxa"/>
              <w:bottom w:w="100" w:type="dxa"/>
              <w:right w:w="120" w:type="dxa"/>
            </w:tcMar>
            <w:vAlign w:val="center"/>
          </w:tcPr>
          <w:p w14:paraId="67E0AFFF" w14:textId="77777777" w:rsidR="00913A88" w:rsidRPr="004B6B4B" w:rsidRDefault="00913A88" w:rsidP="00E9349A">
            <w:pPr>
              <w:spacing w:line="480" w:lineRule="auto"/>
              <w:rPr>
                <w:sz w:val="16"/>
                <w:szCs w:val="16"/>
              </w:rPr>
            </w:pPr>
            <w:r w:rsidRPr="0072415B">
              <w:rPr>
                <w:color w:val="000000"/>
                <w:sz w:val="16"/>
                <w:szCs w:val="16"/>
              </w:rPr>
              <w:t>0.914 (0.854–0.937)</w:t>
            </w:r>
          </w:p>
        </w:tc>
        <w:tc>
          <w:tcPr>
            <w:tcW w:w="1701" w:type="dxa"/>
            <w:tcBorders>
              <w:top w:val="nil"/>
              <w:left w:val="nil"/>
              <w:bottom w:val="nil"/>
              <w:right w:val="nil"/>
            </w:tcBorders>
            <w:tcMar>
              <w:top w:w="100" w:type="dxa"/>
              <w:left w:w="120" w:type="dxa"/>
              <w:bottom w:w="100" w:type="dxa"/>
              <w:right w:w="120" w:type="dxa"/>
            </w:tcMar>
            <w:vAlign w:val="center"/>
          </w:tcPr>
          <w:p w14:paraId="31CCB22A" w14:textId="77777777" w:rsidR="00913A88" w:rsidRPr="004B6B4B" w:rsidRDefault="00913A88" w:rsidP="00E9349A">
            <w:pPr>
              <w:spacing w:line="480" w:lineRule="auto"/>
              <w:rPr>
                <w:sz w:val="16"/>
                <w:szCs w:val="16"/>
              </w:rPr>
            </w:pPr>
            <w:r w:rsidRPr="0072415B">
              <w:rPr>
                <w:color w:val="000000"/>
                <w:sz w:val="16"/>
                <w:szCs w:val="16"/>
              </w:rPr>
              <w:t>0.924 (0.913–0.966)</w:t>
            </w:r>
          </w:p>
        </w:tc>
        <w:tc>
          <w:tcPr>
            <w:tcW w:w="1705" w:type="dxa"/>
            <w:tcBorders>
              <w:top w:val="nil"/>
              <w:left w:val="nil"/>
              <w:bottom w:val="nil"/>
              <w:right w:val="nil"/>
            </w:tcBorders>
            <w:tcMar>
              <w:top w:w="100" w:type="dxa"/>
              <w:left w:w="120" w:type="dxa"/>
              <w:bottom w:w="100" w:type="dxa"/>
              <w:right w:w="120" w:type="dxa"/>
            </w:tcMar>
            <w:vAlign w:val="center"/>
          </w:tcPr>
          <w:p w14:paraId="14DBB7A6" w14:textId="77777777" w:rsidR="00913A88" w:rsidRPr="004B6B4B" w:rsidRDefault="00913A88" w:rsidP="00E9349A">
            <w:pPr>
              <w:spacing w:line="480" w:lineRule="auto"/>
              <w:rPr>
                <w:sz w:val="16"/>
                <w:szCs w:val="16"/>
              </w:rPr>
            </w:pPr>
            <w:r w:rsidRPr="0072415B">
              <w:rPr>
                <w:color w:val="000000"/>
                <w:sz w:val="16"/>
                <w:szCs w:val="16"/>
              </w:rPr>
              <w:t>0.907 (0.891–0.925)</w:t>
            </w:r>
          </w:p>
        </w:tc>
      </w:tr>
      <w:tr w:rsidR="00913A88" w:rsidRPr="0072415B" w14:paraId="012860AA" w14:textId="77777777" w:rsidTr="00E9349A">
        <w:trPr>
          <w:trHeight w:val="615"/>
          <w:jc w:val="center"/>
        </w:trPr>
        <w:tc>
          <w:tcPr>
            <w:tcW w:w="1276" w:type="dxa"/>
            <w:tcBorders>
              <w:top w:val="nil"/>
              <w:left w:val="nil"/>
              <w:bottom w:val="nil"/>
              <w:right w:val="nil"/>
            </w:tcBorders>
            <w:tcMar>
              <w:top w:w="100" w:type="dxa"/>
              <w:left w:w="120" w:type="dxa"/>
              <w:bottom w:w="100" w:type="dxa"/>
              <w:right w:w="120" w:type="dxa"/>
            </w:tcMar>
            <w:vAlign w:val="center"/>
          </w:tcPr>
          <w:p w14:paraId="2ADF24BA" w14:textId="77777777" w:rsidR="00913A88" w:rsidRPr="004B6B4B" w:rsidRDefault="00913A88" w:rsidP="00E9349A">
            <w:pPr>
              <w:spacing w:line="480" w:lineRule="auto"/>
              <w:rPr>
                <w:sz w:val="16"/>
                <w:szCs w:val="16"/>
              </w:rPr>
            </w:pPr>
            <w:r w:rsidRPr="004B6B4B">
              <w:rPr>
                <w:color w:val="000000"/>
                <w:sz w:val="16"/>
                <w:szCs w:val="16"/>
              </w:rPr>
              <w:t> </w:t>
            </w:r>
          </w:p>
        </w:tc>
        <w:tc>
          <w:tcPr>
            <w:tcW w:w="1701" w:type="dxa"/>
            <w:tcBorders>
              <w:top w:val="nil"/>
              <w:left w:val="nil"/>
              <w:bottom w:val="nil"/>
              <w:right w:val="nil"/>
            </w:tcBorders>
            <w:tcMar>
              <w:top w:w="100" w:type="dxa"/>
              <w:left w:w="120" w:type="dxa"/>
              <w:bottom w:w="100" w:type="dxa"/>
              <w:right w:w="120" w:type="dxa"/>
            </w:tcMar>
            <w:vAlign w:val="center"/>
          </w:tcPr>
          <w:p w14:paraId="4D90BF9F" w14:textId="77777777" w:rsidR="00913A88" w:rsidRPr="004B6B4B" w:rsidRDefault="00913A88" w:rsidP="00E9349A">
            <w:pPr>
              <w:spacing w:line="480" w:lineRule="auto"/>
              <w:rPr>
                <w:sz w:val="16"/>
                <w:szCs w:val="16"/>
              </w:rPr>
            </w:pPr>
            <w:r w:rsidRPr="0072415B">
              <w:rPr>
                <w:color w:val="000000"/>
                <w:sz w:val="16"/>
                <w:szCs w:val="16"/>
              </w:rPr>
              <w:t>Population-based</w:t>
            </w:r>
          </w:p>
        </w:tc>
        <w:tc>
          <w:tcPr>
            <w:tcW w:w="1843" w:type="dxa"/>
            <w:tcBorders>
              <w:top w:val="nil"/>
              <w:left w:val="nil"/>
              <w:bottom w:val="nil"/>
              <w:right w:val="nil"/>
            </w:tcBorders>
            <w:tcMar>
              <w:top w:w="100" w:type="dxa"/>
              <w:left w:w="120" w:type="dxa"/>
              <w:bottom w:w="100" w:type="dxa"/>
              <w:right w:w="120" w:type="dxa"/>
            </w:tcMar>
            <w:vAlign w:val="center"/>
          </w:tcPr>
          <w:p w14:paraId="45141E9D" w14:textId="77777777" w:rsidR="00913A88" w:rsidRPr="004B6B4B" w:rsidRDefault="00913A88" w:rsidP="00E9349A">
            <w:pPr>
              <w:spacing w:line="480" w:lineRule="auto"/>
              <w:rPr>
                <w:sz w:val="16"/>
                <w:szCs w:val="16"/>
              </w:rPr>
            </w:pPr>
            <w:r w:rsidRPr="0072415B">
              <w:rPr>
                <w:color w:val="000000"/>
                <w:sz w:val="16"/>
                <w:szCs w:val="16"/>
              </w:rPr>
              <w:t>ConvNeXt-Small</w:t>
            </w:r>
          </w:p>
        </w:tc>
        <w:tc>
          <w:tcPr>
            <w:tcW w:w="1701" w:type="dxa"/>
            <w:tcBorders>
              <w:top w:val="nil"/>
              <w:left w:val="nil"/>
              <w:bottom w:val="nil"/>
              <w:right w:val="nil"/>
            </w:tcBorders>
            <w:tcMar>
              <w:top w:w="100" w:type="dxa"/>
              <w:left w:w="120" w:type="dxa"/>
              <w:bottom w:w="100" w:type="dxa"/>
              <w:right w:w="120" w:type="dxa"/>
            </w:tcMar>
            <w:vAlign w:val="center"/>
          </w:tcPr>
          <w:p w14:paraId="2FE73D6F" w14:textId="77777777" w:rsidR="00913A88" w:rsidRPr="004B6B4B" w:rsidRDefault="00913A88" w:rsidP="00E9349A">
            <w:pPr>
              <w:spacing w:line="480" w:lineRule="auto"/>
              <w:rPr>
                <w:sz w:val="16"/>
                <w:szCs w:val="16"/>
              </w:rPr>
            </w:pPr>
            <w:r w:rsidRPr="0072415B">
              <w:rPr>
                <w:color w:val="000000"/>
                <w:sz w:val="16"/>
                <w:szCs w:val="16"/>
              </w:rPr>
              <w:t>0.960 (0.947–0.969)</w:t>
            </w:r>
          </w:p>
        </w:tc>
        <w:tc>
          <w:tcPr>
            <w:tcW w:w="1701" w:type="dxa"/>
            <w:tcBorders>
              <w:top w:val="nil"/>
              <w:left w:val="nil"/>
              <w:bottom w:val="nil"/>
              <w:right w:val="nil"/>
            </w:tcBorders>
            <w:tcMar>
              <w:top w:w="100" w:type="dxa"/>
              <w:left w:w="120" w:type="dxa"/>
              <w:bottom w:w="100" w:type="dxa"/>
              <w:right w:w="120" w:type="dxa"/>
            </w:tcMar>
            <w:vAlign w:val="center"/>
          </w:tcPr>
          <w:p w14:paraId="552CA157" w14:textId="77777777" w:rsidR="00913A88" w:rsidRPr="004B6B4B" w:rsidRDefault="00913A88" w:rsidP="00E9349A">
            <w:pPr>
              <w:spacing w:line="480" w:lineRule="auto"/>
              <w:rPr>
                <w:sz w:val="16"/>
                <w:szCs w:val="16"/>
              </w:rPr>
            </w:pPr>
            <w:r w:rsidRPr="0072415B">
              <w:rPr>
                <w:color w:val="000000"/>
                <w:sz w:val="16"/>
                <w:szCs w:val="16"/>
              </w:rPr>
              <w:t>0.948 (0.930–0.982)</w:t>
            </w:r>
          </w:p>
        </w:tc>
        <w:tc>
          <w:tcPr>
            <w:tcW w:w="1701" w:type="dxa"/>
            <w:tcBorders>
              <w:top w:val="nil"/>
              <w:left w:val="nil"/>
              <w:bottom w:val="nil"/>
              <w:right w:val="nil"/>
            </w:tcBorders>
            <w:tcMar>
              <w:top w:w="100" w:type="dxa"/>
              <w:left w:w="120" w:type="dxa"/>
              <w:bottom w:w="100" w:type="dxa"/>
              <w:right w:w="120" w:type="dxa"/>
            </w:tcMar>
            <w:vAlign w:val="center"/>
          </w:tcPr>
          <w:p w14:paraId="2C367487" w14:textId="77777777" w:rsidR="00913A88" w:rsidRPr="004B6B4B" w:rsidRDefault="00913A88" w:rsidP="00E9349A">
            <w:pPr>
              <w:spacing w:line="480" w:lineRule="auto"/>
              <w:rPr>
                <w:sz w:val="16"/>
                <w:szCs w:val="16"/>
              </w:rPr>
            </w:pPr>
            <w:r w:rsidRPr="0072415B">
              <w:rPr>
                <w:color w:val="000000"/>
                <w:sz w:val="16"/>
                <w:szCs w:val="16"/>
              </w:rPr>
              <w:t>0.910 (0.886–0.923)</w:t>
            </w:r>
          </w:p>
        </w:tc>
        <w:tc>
          <w:tcPr>
            <w:tcW w:w="1701" w:type="dxa"/>
            <w:tcBorders>
              <w:top w:val="nil"/>
              <w:left w:val="nil"/>
              <w:bottom w:val="nil"/>
              <w:right w:val="nil"/>
            </w:tcBorders>
            <w:tcMar>
              <w:top w:w="100" w:type="dxa"/>
              <w:left w:w="120" w:type="dxa"/>
              <w:bottom w:w="100" w:type="dxa"/>
              <w:right w:w="120" w:type="dxa"/>
            </w:tcMar>
            <w:vAlign w:val="center"/>
          </w:tcPr>
          <w:p w14:paraId="4021246D" w14:textId="77777777" w:rsidR="00913A88" w:rsidRPr="004B6B4B" w:rsidRDefault="00913A88" w:rsidP="00E9349A">
            <w:pPr>
              <w:spacing w:line="480" w:lineRule="auto"/>
              <w:rPr>
                <w:sz w:val="16"/>
                <w:szCs w:val="16"/>
              </w:rPr>
            </w:pPr>
            <w:r w:rsidRPr="0072415B">
              <w:rPr>
                <w:color w:val="000000"/>
                <w:sz w:val="16"/>
                <w:szCs w:val="16"/>
              </w:rPr>
              <w:t>0.418 (0.352–0.463)</w:t>
            </w:r>
          </w:p>
        </w:tc>
        <w:tc>
          <w:tcPr>
            <w:tcW w:w="1701" w:type="dxa"/>
            <w:tcBorders>
              <w:top w:val="nil"/>
              <w:left w:val="nil"/>
              <w:bottom w:val="nil"/>
              <w:right w:val="nil"/>
            </w:tcBorders>
            <w:tcMar>
              <w:top w:w="100" w:type="dxa"/>
              <w:left w:w="120" w:type="dxa"/>
              <w:bottom w:w="100" w:type="dxa"/>
              <w:right w:w="120" w:type="dxa"/>
            </w:tcMar>
            <w:vAlign w:val="center"/>
          </w:tcPr>
          <w:p w14:paraId="527F4B14" w14:textId="77777777" w:rsidR="00913A88" w:rsidRPr="004B6B4B" w:rsidRDefault="00913A88" w:rsidP="00E9349A">
            <w:pPr>
              <w:spacing w:line="480" w:lineRule="auto"/>
              <w:rPr>
                <w:sz w:val="16"/>
                <w:szCs w:val="16"/>
              </w:rPr>
            </w:pPr>
            <w:r w:rsidRPr="0072415B">
              <w:rPr>
                <w:color w:val="000000"/>
                <w:sz w:val="16"/>
                <w:szCs w:val="16"/>
              </w:rPr>
              <w:t>0.996 (0.995–0.999)</w:t>
            </w:r>
          </w:p>
        </w:tc>
        <w:tc>
          <w:tcPr>
            <w:tcW w:w="1705" w:type="dxa"/>
            <w:tcBorders>
              <w:top w:val="nil"/>
              <w:left w:val="nil"/>
              <w:bottom w:val="nil"/>
              <w:right w:val="nil"/>
            </w:tcBorders>
            <w:tcMar>
              <w:top w:w="100" w:type="dxa"/>
              <w:left w:w="120" w:type="dxa"/>
              <w:bottom w:w="100" w:type="dxa"/>
              <w:right w:w="120" w:type="dxa"/>
            </w:tcMar>
            <w:vAlign w:val="center"/>
          </w:tcPr>
          <w:p w14:paraId="7870242A" w14:textId="77777777" w:rsidR="00913A88" w:rsidRPr="004B6B4B" w:rsidRDefault="00913A88" w:rsidP="00E9349A">
            <w:pPr>
              <w:spacing w:line="480" w:lineRule="auto"/>
              <w:rPr>
                <w:sz w:val="16"/>
                <w:szCs w:val="16"/>
              </w:rPr>
            </w:pPr>
            <w:r w:rsidRPr="0072415B">
              <w:rPr>
                <w:color w:val="000000"/>
                <w:sz w:val="16"/>
                <w:szCs w:val="16"/>
              </w:rPr>
              <w:t>0.580 (0.515–0.622)</w:t>
            </w:r>
          </w:p>
        </w:tc>
      </w:tr>
      <w:tr w:rsidR="00913A88" w:rsidRPr="0072415B" w14:paraId="4C4F804C" w14:textId="77777777" w:rsidTr="00E9349A">
        <w:trPr>
          <w:trHeight w:val="615"/>
          <w:jc w:val="center"/>
        </w:trPr>
        <w:tc>
          <w:tcPr>
            <w:tcW w:w="1276" w:type="dxa"/>
            <w:tcBorders>
              <w:top w:val="nil"/>
              <w:left w:val="nil"/>
              <w:bottom w:val="nil"/>
              <w:right w:val="nil"/>
            </w:tcBorders>
            <w:tcMar>
              <w:top w:w="100" w:type="dxa"/>
              <w:left w:w="120" w:type="dxa"/>
              <w:bottom w:w="100" w:type="dxa"/>
              <w:right w:w="120" w:type="dxa"/>
            </w:tcMar>
            <w:vAlign w:val="center"/>
          </w:tcPr>
          <w:p w14:paraId="0511018C" w14:textId="77777777" w:rsidR="00913A88" w:rsidRPr="004B6B4B" w:rsidRDefault="00913A88" w:rsidP="00E9349A">
            <w:pPr>
              <w:spacing w:line="480" w:lineRule="auto"/>
              <w:rPr>
                <w:sz w:val="16"/>
                <w:szCs w:val="16"/>
              </w:rPr>
            </w:pPr>
            <w:r w:rsidRPr="004B6B4B">
              <w:rPr>
                <w:color w:val="000000"/>
                <w:sz w:val="16"/>
                <w:szCs w:val="16"/>
              </w:rPr>
              <w:t> </w:t>
            </w:r>
          </w:p>
        </w:tc>
        <w:tc>
          <w:tcPr>
            <w:tcW w:w="1701" w:type="dxa"/>
            <w:tcBorders>
              <w:top w:val="nil"/>
              <w:left w:val="nil"/>
              <w:bottom w:val="nil"/>
              <w:right w:val="nil"/>
            </w:tcBorders>
            <w:tcMar>
              <w:top w:w="100" w:type="dxa"/>
              <w:left w:w="120" w:type="dxa"/>
              <w:bottom w:w="100" w:type="dxa"/>
              <w:right w:w="120" w:type="dxa"/>
            </w:tcMar>
            <w:vAlign w:val="center"/>
          </w:tcPr>
          <w:p w14:paraId="78751CA4" w14:textId="77777777" w:rsidR="00913A88" w:rsidRPr="004B6B4B" w:rsidRDefault="00913A88" w:rsidP="00E9349A">
            <w:pPr>
              <w:spacing w:line="480" w:lineRule="auto"/>
              <w:rPr>
                <w:sz w:val="16"/>
                <w:szCs w:val="16"/>
              </w:rPr>
            </w:pPr>
            <w:r w:rsidRPr="004B6B4B">
              <w:rPr>
                <w:color w:val="000000"/>
                <w:sz w:val="16"/>
                <w:szCs w:val="16"/>
              </w:rPr>
              <w:t> </w:t>
            </w:r>
          </w:p>
        </w:tc>
        <w:tc>
          <w:tcPr>
            <w:tcW w:w="1843" w:type="dxa"/>
            <w:tcBorders>
              <w:top w:val="nil"/>
              <w:left w:val="nil"/>
              <w:bottom w:val="nil"/>
              <w:right w:val="nil"/>
            </w:tcBorders>
            <w:tcMar>
              <w:top w:w="100" w:type="dxa"/>
              <w:left w:w="120" w:type="dxa"/>
              <w:bottom w:w="100" w:type="dxa"/>
              <w:right w:w="120" w:type="dxa"/>
            </w:tcMar>
            <w:vAlign w:val="center"/>
          </w:tcPr>
          <w:p w14:paraId="3FD8C18B" w14:textId="77777777" w:rsidR="00913A88" w:rsidRPr="004B6B4B" w:rsidRDefault="00913A88" w:rsidP="00E9349A">
            <w:pPr>
              <w:spacing w:line="480" w:lineRule="auto"/>
              <w:rPr>
                <w:sz w:val="16"/>
                <w:szCs w:val="16"/>
              </w:rPr>
            </w:pPr>
            <w:r w:rsidRPr="0072415B">
              <w:rPr>
                <w:color w:val="000000"/>
                <w:sz w:val="16"/>
                <w:szCs w:val="16"/>
              </w:rPr>
              <w:t>ViT-Small</w:t>
            </w:r>
          </w:p>
        </w:tc>
        <w:tc>
          <w:tcPr>
            <w:tcW w:w="1701" w:type="dxa"/>
            <w:tcBorders>
              <w:top w:val="nil"/>
              <w:left w:val="nil"/>
              <w:bottom w:val="nil"/>
              <w:right w:val="nil"/>
            </w:tcBorders>
            <w:tcMar>
              <w:top w:w="100" w:type="dxa"/>
              <w:left w:w="120" w:type="dxa"/>
              <w:bottom w:w="100" w:type="dxa"/>
              <w:right w:w="120" w:type="dxa"/>
            </w:tcMar>
            <w:vAlign w:val="center"/>
          </w:tcPr>
          <w:p w14:paraId="7985BA40" w14:textId="77777777" w:rsidR="00913A88" w:rsidRPr="004B6B4B" w:rsidRDefault="00913A88" w:rsidP="00E9349A">
            <w:pPr>
              <w:spacing w:line="480" w:lineRule="auto"/>
              <w:rPr>
                <w:sz w:val="16"/>
                <w:szCs w:val="16"/>
              </w:rPr>
            </w:pPr>
            <w:r w:rsidRPr="0072415B">
              <w:rPr>
                <w:color w:val="000000"/>
                <w:sz w:val="16"/>
                <w:szCs w:val="16"/>
              </w:rPr>
              <w:t>0.965 (0.954–0.974)</w:t>
            </w:r>
          </w:p>
        </w:tc>
        <w:tc>
          <w:tcPr>
            <w:tcW w:w="1701" w:type="dxa"/>
            <w:tcBorders>
              <w:top w:val="nil"/>
              <w:left w:val="nil"/>
              <w:bottom w:val="nil"/>
              <w:right w:val="nil"/>
            </w:tcBorders>
            <w:tcMar>
              <w:top w:w="100" w:type="dxa"/>
              <w:left w:w="120" w:type="dxa"/>
              <w:bottom w:w="100" w:type="dxa"/>
              <w:right w:w="120" w:type="dxa"/>
            </w:tcMar>
            <w:vAlign w:val="center"/>
          </w:tcPr>
          <w:p w14:paraId="1A471167" w14:textId="77777777" w:rsidR="00913A88" w:rsidRPr="004B6B4B" w:rsidRDefault="00913A88" w:rsidP="00E9349A">
            <w:pPr>
              <w:spacing w:line="480" w:lineRule="auto"/>
              <w:rPr>
                <w:sz w:val="16"/>
                <w:szCs w:val="16"/>
              </w:rPr>
            </w:pPr>
            <w:r w:rsidRPr="0072415B">
              <w:rPr>
                <w:color w:val="000000"/>
                <w:sz w:val="16"/>
                <w:szCs w:val="16"/>
              </w:rPr>
              <w:t>0.900 (0.871–0.941)</w:t>
            </w:r>
          </w:p>
        </w:tc>
        <w:tc>
          <w:tcPr>
            <w:tcW w:w="1701" w:type="dxa"/>
            <w:tcBorders>
              <w:top w:val="nil"/>
              <w:left w:val="nil"/>
              <w:bottom w:val="nil"/>
              <w:right w:val="nil"/>
            </w:tcBorders>
            <w:tcMar>
              <w:top w:w="100" w:type="dxa"/>
              <w:left w:w="120" w:type="dxa"/>
              <w:bottom w:w="100" w:type="dxa"/>
              <w:right w:w="120" w:type="dxa"/>
            </w:tcMar>
            <w:vAlign w:val="center"/>
          </w:tcPr>
          <w:p w14:paraId="33736254" w14:textId="77777777" w:rsidR="00913A88" w:rsidRPr="004B6B4B" w:rsidRDefault="00913A88" w:rsidP="00E9349A">
            <w:pPr>
              <w:spacing w:line="480" w:lineRule="auto"/>
              <w:rPr>
                <w:sz w:val="16"/>
                <w:szCs w:val="16"/>
              </w:rPr>
            </w:pPr>
            <w:r w:rsidRPr="0072415B">
              <w:rPr>
                <w:color w:val="000000"/>
                <w:sz w:val="16"/>
                <w:szCs w:val="16"/>
              </w:rPr>
              <w:t>0.928 (0.899–0.940)</w:t>
            </w:r>
          </w:p>
        </w:tc>
        <w:tc>
          <w:tcPr>
            <w:tcW w:w="1701" w:type="dxa"/>
            <w:tcBorders>
              <w:top w:val="nil"/>
              <w:left w:val="nil"/>
              <w:bottom w:val="nil"/>
              <w:right w:val="nil"/>
            </w:tcBorders>
            <w:tcMar>
              <w:top w:w="100" w:type="dxa"/>
              <w:left w:w="120" w:type="dxa"/>
              <w:bottom w:w="100" w:type="dxa"/>
              <w:right w:w="120" w:type="dxa"/>
            </w:tcMar>
            <w:vAlign w:val="center"/>
          </w:tcPr>
          <w:p w14:paraId="6C8FF60C" w14:textId="77777777" w:rsidR="00913A88" w:rsidRPr="004B6B4B" w:rsidRDefault="00913A88" w:rsidP="00E9349A">
            <w:pPr>
              <w:spacing w:line="480" w:lineRule="auto"/>
              <w:rPr>
                <w:sz w:val="16"/>
                <w:szCs w:val="16"/>
              </w:rPr>
            </w:pPr>
            <w:r w:rsidRPr="0072415B">
              <w:rPr>
                <w:color w:val="000000"/>
                <w:sz w:val="16"/>
                <w:szCs w:val="16"/>
              </w:rPr>
              <w:t>0.459 (0.365–0.509)</w:t>
            </w:r>
          </w:p>
        </w:tc>
        <w:tc>
          <w:tcPr>
            <w:tcW w:w="1701" w:type="dxa"/>
            <w:tcBorders>
              <w:top w:val="nil"/>
              <w:left w:val="nil"/>
              <w:bottom w:val="nil"/>
              <w:right w:val="nil"/>
            </w:tcBorders>
            <w:tcMar>
              <w:top w:w="100" w:type="dxa"/>
              <w:left w:w="120" w:type="dxa"/>
              <w:bottom w:w="100" w:type="dxa"/>
              <w:right w:w="120" w:type="dxa"/>
            </w:tcMar>
            <w:vAlign w:val="center"/>
          </w:tcPr>
          <w:p w14:paraId="69DF19C7" w14:textId="77777777" w:rsidR="00913A88" w:rsidRPr="004B6B4B" w:rsidRDefault="00913A88" w:rsidP="00E9349A">
            <w:pPr>
              <w:spacing w:line="480" w:lineRule="auto"/>
              <w:rPr>
                <w:sz w:val="16"/>
                <w:szCs w:val="16"/>
              </w:rPr>
            </w:pPr>
            <w:r w:rsidRPr="0072415B">
              <w:rPr>
                <w:color w:val="000000"/>
                <w:sz w:val="16"/>
                <w:szCs w:val="16"/>
              </w:rPr>
              <w:t>0.993 (0.990–0.996)</w:t>
            </w:r>
          </w:p>
        </w:tc>
        <w:tc>
          <w:tcPr>
            <w:tcW w:w="1705" w:type="dxa"/>
            <w:tcBorders>
              <w:top w:val="nil"/>
              <w:left w:val="nil"/>
              <w:bottom w:val="nil"/>
              <w:right w:val="nil"/>
            </w:tcBorders>
            <w:tcMar>
              <w:top w:w="100" w:type="dxa"/>
              <w:left w:w="120" w:type="dxa"/>
              <w:bottom w:w="100" w:type="dxa"/>
              <w:right w:w="120" w:type="dxa"/>
            </w:tcMar>
            <w:vAlign w:val="center"/>
          </w:tcPr>
          <w:p w14:paraId="2EECC508" w14:textId="77777777" w:rsidR="00913A88" w:rsidRPr="004B6B4B" w:rsidRDefault="00913A88" w:rsidP="00E9349A">
            <w:pPr>
              <w:spacing w:line="480" w:lineRule="auto"/>
              <w:rPr>
                <w:sz w:val="16"/>
                <w:szCs w:val="16"/>
              </w:rPr>
            </w:pPr>
            <w:r w:rsidRPr="0072415B">
              <w:rPr>
                <w:color w:val="000000"/>
                <w:sz w:val="16"/>
                <w:szCs w:val="16"/>
              </w:rPr>
              <w:t>0.608 (0.520–0.652)</w:t>
            </w:r>
          </w:p>
        </w:tc>
      </w:tr>
      <w:tr w:rsidR="00913A88" w:rsidRPr="0072415B" w14:paraId="409BA7C3" w14:textId="77777777" w:rsidTr="00E9349A">
        <w:trPr>
          <w:trHeight w:val="25"/>
          <w:jc w:val="center"/>
        </w:trPr>
        <w:tc>
          <w:tcPr>
            <w:tcW w:w="1276" w:type="dxa"/>
            <w:tcBorders>
              <w:top w:val="nil"/>
              <w:left w:val="nil"/>
              <w:bottom w:val="single" w:sz="6" w:space="0" w:color="000000"/>
              <w:right w:val="nil"/>
            </w:tcBorders>
            <w:tcMar>
              <w:top w:w="100" w:type="dxa"/>
              <w:left w:w="120" w:type="dxa"/>
              <w:bottom w:w="100" w:type="dxa"/>
              <w:right w:w="120" w:type="dxa"/>
            </w:tcMar>
            <w:vAlign w:val="center"/>
          </w:tcPr>
          <w:p w14:paraId="20F9CCE3" w14:textId="77777777" w:rsidR="00913A88" w:rsidRPr="004B6B4B" w:rsidRDefault="00913A88" w:rsidP="00E9349A">
            <w:pPr>
              <w:spacing w:line="480" w:lineRule="auto"/>
              <w:rPr>
                <w:sz w:val="16"/>
                <w:szCs w:val="16"/>
              </w:rPr>
            </w:pPr>
            <w:r w:rsidRPr="004B6B4B">
              <w:rPr>
                <w:color w:val="000000"/>
                <w:sz w:val="16"/>
                <w:szCs w:val="16"/>
              </w:rPr>
              <w:t> </w:t>
            </w:r>
          </w:p>
        </w:tc>
        <w:tc>
          <w:tcPr>
            <w:tcW w:w="1701" w:type="dxa"/>
            <w:tcBorders>
              <w:top w:val="nil"/>
              <w:left w:val="nil"/>
              <w:bottom w:val="single" w:sz="6" w:space="0" w:color="000000"/>
              <w:right w:val="nil"/>
            </w:tcBorders>
            <w:tcMar>
              <w:top w:w="100" w:type="dxa"/>
              <w:left w:w="120" w:type="dxa"/>
              <w:bottom w:w="100" w:type="dxa"/>
              <w:right w:w="120" w:type="dxa"/>
            </w:tcMar>
            <w:vAlign w:val="center"/>
          </w:tcPr>
          <w:p w14:paraId="2A35DBCF" w14:textId="77777777" w:rsidR="00913A88" w:rsidRPr="004B6B4B" w:rsidRDefault="00913A88" w:rsidP="00E9349A">
            <w:pPr>
              <w:spacing w:line="480" w:lineRule="auto"/>
              <w:rPr>
                <w:sz w:val="16"/>
                <w:szCs w:val="16"/>
              </w:rPr>
            </w:pPr>
            <w:r w:rsidRPr="004B6B4B">
              <w:rPr>
                <w:color w:val="000000"/>
                <w:sz w:val="16"/>
                <w:szCs w:val="16"/>
              </w:rPr>
              <w:t> </w:t>
            </w:r>
          </w:p>
        </w:tc>
        <w:tc>
          <w:tcPr>
            <w:tcW w:w="1843" w:type="dxa"/>
            <w:tcBorders>
              <w:top w:val="nil"/>
              <w:left w:val="nil"/>
              <w:bottom w:val="single" w:sz="6" w:space="0" w:color="000000"/>
              <w:right w:val="nil"/>
            </w:tcBorders>
            <w:tcMar>
              <w:top w:w="100" w:type="dxa"/>
              <w:left w:w="120" w:type="dxa"/>
              <w:bottom w:w="100" w:type="dxa"/>
              <w:right w:w="120" w:type="dxa"/>
            </w:tcMar>
            <w:vAlign w:val="center"/>
          </w:tcPr>
          <w:p w14:paraId="6F3E68A4" w14:textId="77777777" w:rsidR="00913A88" w:rsidRPr="004B6B4B" w:rsidRDefault="00913A88" w:rsidP="00E9349A">
            <w:pPr>
              <w:spacing w:line="480" w:lineRule="auto"/>
              <w:rPr>
                <w:sz w:val="16"/>
                <w:szCs w:val="16"/>
              </w:rPr>
            </w:pPr>
            <w:r w:rsidRPr="0072415B">
              <w:rPr>
                <w:color w:val="000000"/>
                <w:sz w:val="16"/>
                <w:szCs w:val="16"/>
              </w:rPr>
              <w:t>RETFound DINOv2</w:t>
            </w:r>
          </w:p>
        </w:tc>
        <w:tc>
          <w:tcPr>
            <w:tcW w:w="1701" w:type="dxa"/>
            <w:tcBorders>
              <w:top w:val="nil"/>
              <w:left w:val="nil"/>
              <w:bottom w:val="single" w:sz="6" w:space="0" w:color="000000"/>
              <w:right w:val="nil"/>
            </w:tcBorders>
            <w:tcMar>
              <w:top w:w="100" w:type="dxa"/>
              <w:left w:w="120" w:type="dxa"/>
              <w:bottom w:w="100" w:type="dxa"/>
              <w:right w:w="120" w:type="dxa"/>
            </w:tcMar>
            <w:vAlign w:val="center"/>
          </w:tcPr>
          <w:p w14:paraId="4841509E" w14:textId="77777777" w:rsidR="00913A88" w:rsidRPr="004B6B4B" w:rsidRDefault="00913A88" w:rsidP="00E9349A">
            <w:pPr>
              <w:spacing w:line="480" w:lineRule="auto"/>
              <w:rPr>
                <w:sz w:val="16"/>
                <w:szCs w:val="16"/>
              </w:rPr>
            </w:pPr>
            <w:r w:rsidRPr="0072415B">
              <w:rPr>
                <w:color w:val="000000"/>
                <w:sz w:val="16"/>
                <w:szCs w:val="16"/>
              </w:rPr>
              <w:t>0.964 (0.948–0.975)</w:t>
            </w:r>
          </w:p>
        </w:tc>
        <w:tc>
          <w:tcPr>
            <w:tcW w:w="1701" w:type="dxa"/>
            <w:tcBorders>
              <w:top w:val="nil"/>
              <w:left w:val="nil"/>
              <w:bottom w:val="single" w:sz="6" w:space="0" w:color="000000"/>
              <w:right w:val="nil"/>
            </w:tcBorders>
            <w:tcMar>
              <w:top w:w="100" w:type="dxa"/>
              <w:left w:w="120" w:type="dxa"/>
              <w:bottom w:w="100" w:type="dxa"/>
              <w:right w:w="120" w:type="dxa"/>
            </w:tcMar>
            <w:vAlign w:val="center"/>
          </w:tcPr>
          <w:p w14:paraId="0CBE8C9A" w14:textId="77777777" w:rsidR="00913A88" w:rsidRPr="004B6B4B" w:rsidRDefault="00913A88" w:rsidP="00E9349A">
            <w:pPr>
              <w:spacing w:line="480" w:lineRule="auto"/>
              <w:rPr>
                <w:sz w:val="16"/>
                <w:szCs w:val="16"/>
              </w:rPr>
            </w:pPr>
            <w:r w:rsidRPr="0072415B">
              <w:rPr>
                <w:color w:val="000000"/>
                <w:sz w:val="16"/>
                <w:szCs w:val="16"/>
              </w:rPr>
              <w:t>0.932 (0.891–0.961)</w:t>
            </w:r>
          </w:p>
        </w:tc>
        <w:tc>
          <w:tcPr>
            <w:tcW w:w="1701" w:type="dxa"/>
            <w:tcBorders>
              <w:top w:val="nil"/>
              <w:left w:val="nil"/>
              <w:bottom w:val="single" w:sz="6" w:space="0" w:color="000000"/>
              <w:right w:val="nil"/>
            </w:tcBorders>
            <w:tcMar>
              <w:top w:w="100" w:type="dxa"/>
              <w:left w:w="120" w:type="dxa"/>
              <w:bottom w:w="100" w:type="dxa"/>
              <w:right w:w="120" w:type="dxa"/>
            </w:tcMar>
            <w:vAlign w:val="center"/>
          </w:tcPr>
          <w:p w14:paraId="0524A333" w14:textId="77777777" w:rsidR="00913A88" w:rsidRPr="004B6B4B" w:rsidRDefault="00913A88" w:rsidP="00E9349A">
            <w:pPr>
              <w:spacing w:line="480" w:lineRule="auto"/>
              <w:rPr>
                <w:sz w:val="16"/>
                <w:szCs w:val="16"/>
              </w:rPr>
            </w:pPr>
            <w:r w:rsidRPr="0072415B">
              <w:rPr>
                <w:color w:val="000000"/>
                <w:sz w:val="16"/>
                <w:szCs w:val="16"/>
              </w:rPr>
              <w:t>0.917 (0.909–0.952)</w:t>
            </w:r>
          </w:p>
        </w:tc>
        <w:tc>
          <w:tcPr>
            <w:tcW w:w="1701" w:type="dxa"/>
            <w:tcBorders>
              <w:top w:val="nil"/>
              <w:left w:val="nil"/>
              <w:bottom w:val="single" w:sz="6" w:space="0" w:color="000000"/>
              <w:right w:val="nil"/>
            </w:tcBorders>
            <w:tcMar>
              <w:top w:w="100" w:type="dxa"/>
              <w:left w:w="120" w:type="dxa"/>
              <w:bottom w:w="100" w:type="dxa"/>
              <w:right w:w="120" w:type="dxa"/>
            </w:tcMar>
            <w:vAlign w:val="center"/>
          </w:tcPr>
          <w:p w14:paraId="6995984B" w14:textId="77777777" w:rsidR="00913A88" w:rsidRPr="004B6B4B" w:rsidRDefault="00913A88" w:rsidP="00E9349A">
            <w:pPr>
              <w:spacing w:line="480" w:lineRule="auto"/>
              <w:rPr>
                <w:sz w:val="16"/>
                <w:szCs w:val="16"/>
              </w:rPr>
            </w:pPr>
            <w:r w:rsidRPr="0072415B">
              <w:rPr>
                <w:color w:val="000000"/>
                <w:sz w:val="16"/>
                <w:szCs w:val="16"/>
              </w:rPr>
              <w:t>0.433 (0.396–0.562)</w:t>
            </w:r>
          </w:p>
        </w:tc>
        <w:tc>
          <w:tcPr>
            <w:tcW w:w="1701" w:type="dxa"/>
            <w:tcBorders>
              <w:top w:val="nil"/>
              <w:left w:val="nil"/>
              <w:bottom w:val="single" w:sz="6" w:space="0" w:color="000000"/>
              <w:right w:val="nil"/>
            </w:tcBorders>
            <w:tcMar>
              <w:top w:w="100" w:type="dxa"/>
              <w:left w:w="120" w:type="dxa"/>
              <w:bottom w:w="100" w:type="dxa"/>
              <w:right w:w="120" w:type="dxa"/>
            </w:tcMar>
            <w:vAlign w:val="center"/>
          </w:tcPr>
          <w:p w14:paraId="2B005B00" w14:textId="77777777" w:rsidR="00913A88" w:rsidRPr="004B6B4B" w:rsidRDefault="00913A88" w:rsidP="00E9349A">
            <w:pPr>
              <w:spacing w:line="480" w:lineRule="auto"/>
              <w:rPr>
                <w:sz w:val="16"/>
                <w:szCs w:val="16"/>
              </w:rPr>
            </w:pPr>
            <w:r w:rsidRPr="0072415B">
              <w:rPr>
                <w:color w:val="000000"/>
                <w:sz w:val="16"/>
                <w:szCs w:val="16"/>
              </w:rPr>
              <w:t>0.995 (0.992–0.997)</w:t>
            </w:r>
          </w:p>
        </w:tc>
        <w:tc>
          <w:tcPr>
            <w:tcW w:w="1705" w:type="dxa"/>
            <w:tcBorders>
              <w:top w:val="nil"/>
              <w:left w:val="nil"/>
              <w:bottom w:val="single" w:sz="6" w:space="0" w:color="000000"/>
              <w:right w:val="nil"/>
            </w:tcBorders>
            <w:tcMar>
              <w:top w:w="100" w:type="dxa"/>
              <w:left w:w="120" w:type="dxa"/>
              <w:bottom w:w="100" w:type="dxa"/>
              <w:right w:w="120" w:type="dxa"/>
            </w:tcMar>
            <w:vAlign w:val="center"/>
          </w:tcPr>
          <w:p w14:paraId="47AFDC1A" w14:textId="77777777" w:rsidR="00913A88" w:rsidRPr="004B6B4B" w:rsidRDefault="00913A88" w:rsidP="00E9349A">
            <w:pPr>
              <w:spacing w:line="480" w:lineRule="auto"/>
              <w:rPr>
                <w:sz w:val="16"/>
                <w:szCs w:val="16"/>
              </w:rPr>
            </w:pPr>
            <w:r w:rsidRPr="0072415B">
              <w:rPr>
                <w:color w:val="000000"/>
                <w:sz w:val="16"/>
                <w:szCs w:val="16"/>
              </w:rPr>
              <w:t>0.592 (0.554–0.693)</w:t>
            </w:r>
          </w:p>
        </w:tc>
      </w:tr>
    </w:tbl>
    <w:p w14:paraId="2E7FC745" w14:textId="77777777" w:rsidR="00913A88" w:rsidRPr="00F64D21" w:rsidRDefault="00913A88" w:rsidP="00913A88">
      <w:pPr>
        <w:spacing w:before="240" w:after="240" w:line="480" w:lineRule="auto"/>
        <w:rPr>
          <w:rFonts w:ascii="굴림" w:eastAsia="굴림" w:hAnsi="굴림" w:cs="굴림"/>
          <w:sz w:val="24"/>
          <w:szCs w:val="24"/>
          <w:lang w:val="en-US"/>
        </w:rPr>
      </w:pPr>
      <w:r w:rsidRPr="00F64D21">
        <w:rPr>
          <w:rFonts w:eastAsia="굴림"/>
          <w:color w:val="000000"/>
          <w:lang w:val="en-US"/>
        </w:rPr>
        <w:t>Values are point estimates with 95% bootstrap confidence intervals (1,000 resamples).</w:t>
      </w:r>
    </w:p>
    <w:p w14:paraId="770C7D53" w14:textId="77777777" w:rsidR="00913A88" w:rsidRDefault="00913A88" w:rsidP="00913A88">
      <w:pPr>
        <w:spacing w:before="240" w:after="240" w:line="480" w:lineRule="auto"/>
        <w:rPr>
          <w:rFonts w:eastAsia="굴림"/>
          <w:color w:val="000000"/>
          <w:lang w:val="en-US"/>
        </w:rPr>
      </w:pPr>
    </w:p>
    <w:p w14:paraId="3530E27F" w14:textId="77777777" w:rsidR="00913A88" w:rsidRDefault="00913A88" w:rsidP="00913A88">
      <w:pPr>
        <w:spacing w:before="240" w:after="240" w:line="480" w:lineRule="auto"/>
        <w:rPr>
          <w:b/>
          <w:bCs/>
        </w:rPr>
      </w:pPr>
      <w:r w:rsidRPr="00F64D21">
        <w:rPr>
          <w:rFonts w:eastAsia="굴림"/>
          <w:color w:val="000000"/>
          <w:lang w:val="en-US"/>
        </w:rPr>
        <w:t>Abbreviations: AUROC, area under the receiver operating characteristic curve; NPV, negative predictive value; PPV, positive predictive value; DR, diabetic retinopathy.</w:t>
      </w:r>
    </w:p>
    <w:p w14:paraId="2F6DFA07" w14:textId="77777777" w:rsidR="00913A88" w:rsidRPr="00F64D21" w:rsidRDefault="00913A88" w:rsidP="00913A88">
      <w:pPr>
        <w:spacing w:before="240" w:after="240" w:line="480" w:lineRule="auto"/>
        <w:rPr>
          <w:b/>
          <w:bCs/>
          <w:lang w:val="en-US"/>
        </w:rPr>
        <w:sectPr w:rsidR="00913A88" w:rsidRPr="00F64D21" w:rsidSect="00913A88">
          <w:pgSz w:w="16838" w:h="11906" w:orient="landscape"/>
          <w:pgMar w:top="873" w:right="873" w:bottom="873" w:left="873" w:header="720" w:footer="566" w:gutter="0"/>
          <w:cols w:space="720"/>
        </w:sectPr>
      </w:pPr>
    </w:p>
    <w:p w14:paraId="291DBADB" w14:textId="77777777" w:rsidR="00913A88" w:rsidRDefault="00913A88" w:rsidP="00913A88">
      <w:pPr>
        <w:spacing w:before="240" w:after="240" w:line="480" w:lineRule="auto"/>
      </w:pPr>
      <w:r>
        <w:rPr>
          <w:b/>
          <w:bCs/>
        </w:rPr>
        <w:lastRenderedPageBreak/>
        <w:t>Supplemental Table 2. Annotation results of HMADR_Clinic and HMADR_Screening, including inter-annotator variability.</w:t>
      </w:r>
    </w:p>
    <w:tbl>
      <w:tblPr>
        <w:tblW w:w="10155" w:type="dxa"/>
        <w:jc w:val="center"/>
        <w:tblBorders>
          <w:top w:val="nil"/>
          <w:left w:val="nil"/>
          <w:bottom w:val="nil"/>
          <w:right w:val="nil"/>
          <w:insideH w:val="nil"/>
          <w:insideV w:val="nil"/>
        </w:tblBorders>
        <w:tblLayout w:type="fixed"/>
        <w:tblLook w:val="0600" w:firstRow="0" w:lastRow="0" w:firstColumn="0" w:lastColumn="0" w:noHBand="1" w:noVBand="1"/>
      </w:tblPr>
      <w:tblGrid>
        <w:gridCol w:w="1701"/>
        <w:gridCol w:w="1560"/>
        <w:gridCol w:w="850"/>
        <w:gridCol w:w="851"/>
        <w:gridCol w:w="850"/>
        <w:gridCol w:w="992"/>
        <w:gridCol w:w="1276"/>
        <w:gridCol w:w="2075"/>
      </w:tblGrid>
      <w:tr w:rsidR="00913A88" w14:paraId="1173387F" w14:textId="77777777" w:rsidTr="00E9349A">
        <w:trPr>
          <w:trHeight w:val="465"/>
          <w:jc w:val="center"/>
        </w:trPr>
        <w:tc>
          <w:tcPr>
            <w:tcW w:w="1701" w:type="dxa"/>
            <w:tcBorders>
              <w:top w:val="single" w:sz="6" w:space="0" w:color="000000"/>
              <w:left w:val="nil"/>
              <w:bottom w:val="single" w:sz="6" w:space="0" w:color="000000"/>
              <w:right w:val="nil"/>
            </w:tcBorders>
            <w:tcMar>
              <w:top w:w="100" w:type="dxa"/>
              <w:left w:w="100" w:type="dxa"/>
              <w:bottom w:w="100" w:type="dxa"/>
              <w:right w:w="100" w:type="dxa"/>
            </w:tcMar>
            <w:vAlign w:val="center"/>
          </w:tcPr>
          <w:p w14:paraId="74963501" w14:textId="77777777" w:rsidR="00913A88" w:rsidRDefault="00913A88" w:rsidP="00E9349A">
            <w:pPr>
              <w:spacing w:line="480" w:lineRule="auto"/>
              <w:rPr>
                <w:b/>
                <w:bCs/>
                <w:sz w:val="20"/>
                <w:szCs w:val="20"/>
              </w:rPr>
            </w:pPr>
            <w:r>
              <w:rPr>
                <w:b/>
                <w:bCs/>
                <w:sz w:val="20"/>
                <w:szCs w:val="20"/>
              </w:rPr>
              <w:t>Dataset</w:t>
            </w:r>
          </w:p>
        </w:tc>
        <w:tc>
          <w:tcPr>
            <w:tcW w:w="1560" w:type="dxa"/>
            <w:tcBorders>
              <w:top w:val="single" w:sz="6" w:space="0" w:color="000000"/>
              <w:left w:val="nil"/>
              <w:bottom w:val="single" w:sz="6" w:space="0" w:color="000000"/>
              <w:right w:val="nil"/>
            </w:tcBorders>
            <w:tcMar>
              <w:top w:w="100" w:type="dxa"/>
              <w:left w:w="100" w:type="dxa"/>
              <w:bottom w:w="100" w:type="dxa"/>
              <w:right w:w="100" w:type="dxa"/>
            </w:tcMar>
            <w:vAlign w:val="center"/>
          </w:tcPr>
          <w:p w14:paraId="417C5236" w14:textId="77777777" w:rsidR="00913A88" w:rsidRDefault="00913A88" w:rsidP="00E9349A">
            <w:pPr>
              <w:spacing w:line="480" w:lineRule="auto"/>
              <w:rPr>
                <w:b/>
                <w:bCs/>
                <w:sz w:val="20"/>
                <w:szCs w:val="20"/>
              </w:rPr>
            </w:pPr>
            <w:r>
              <w:rPr>
                <w:b/>
                <w:bCs/>
                <w:sz w:val="20"/>
                <w:szCs w:val="20"/>
              </w:rPr>
              <w:t>Class</w:t>
            </w:r>
          </w:p>
        </w:tc>
        <w:tc>
          <w:tcPr>
            <w:tcW w:w="850" w:type="dxa"/>
            <w:tcBorders>
              <w:top w:val="single" w:sz="6" w:space="0" w:color="000000"/>
              <w:left w:val="nil"/>
              <w:bottom w:val="single" w:sz="6" w:space="0" w:color="000000"/>
              <w:right w:val="nil"/>
            </w:tcBorders>
            <w:tcMar>
              <w:top w:w="100" w:type="dxa"/>
              <w:left w:w="100" w:type="dxa"/>
              <w:bottom w:w="100" w:type="dxa"/>
              <w:right w:w="100" w:type="dxa"/>
            </w:tcMar>
            <w:vAlign w:val="center"/>
          </w:tcPr>
          <w:p w14:paraId="596ABC34" w14:textId="77777777" w:rsidR="00913A88" w:rsidRDefault="00913A88" w:rsidP="00E9349A">
            <w:pPr>
              <w:spacing w:line="480" w:lineRule="auto"/>
              <w:rPr>
                <w:b/>
                <w:bCs/>
                <w:sz w:val="20"/>
                <w:szCs w:val="20"/>
              </w:rPr>
            </w:pPr>
            <w:r>
              <w:rPr>
                <w:b/>
                <w:bCs/>
                <w:sz w:val="20"/>
                <w:szCs w:val="20"/>
              </w:rPr>
              <w:t>A1</w:t>
            </w:r>
          </w:p>
        </w:tc>
        <w:tc>
          <w:tcPr>
            <w:tcW w:w="851" w:type="dxa"/>
            <w:tcBorders>
              <w:top w:val="single" w:sz="6" w:space="0" w:color="000000"/>
              <w:left w:val="nil"/>
              <w:bottom w:val="single" w:sz="6" w:space="0" w:color="000000"/>
              <w:right w:val="nil"/>
            </w:tcBorders>
            <w:tcMar>
              <w:top w:w="100" w:type="dxa"/>
              <w:left w:w="100" w:type="dxa"/>
              <w:bottom w:w="100" w:type="dxa"/>
              <w:right w:w="100" w:type="dxa"/>
            </w:tcMar>
            <w:vAlign w:val="center"/>
          </w:tcPr>
          <w:p w14:paraId="6EC307E1" w14:textId="77777777" w:rsidR="00913A88" w:rsidRDefault="00913A88" w:rsidP="00E9349A">
            <w:pPr>
              <w:spacing w:line="480" w:lineRule="auto"/>
              <w:rPr>
                <w:b/>
                <w:bCs/>
                <w:sz w:val="20"/>
                <w:szCs w:val="20"/>
              </w:rPr>
            </w:pPr>
            <w:r>
              <w:rPr>
                <w:b/>
                <w:bCs/>
                <w:sz w:val="20"/>
                <w:szCs w:val="20"/>
              </w:rPr>
              <w:t>A2</w:t>
            </w:r>
          </w:p>
        </w:tc>
        <w:tc>
          <w:tcPr>
            <w:tcW w:w="850" w:type="dxa"/>
            <w:tcBorders>
              <w:top w:val="single" w:sz="6" w:space="0" w:color="000000"/>
              <w:left w:val="nil"/>
              <w:bottom w:val="single" w:sz="6" w:space="0" w:color="000000"/>
              <w:right w:val="nil"/>
            </w:tcBorders>
            <w:tcMar>
              <w:top w:w="100" w:type="dxa"/>
              <w:left w:w="100" w:type="dxa"/>
              <w:bottom w:w="100" w:type="dxa"/>
              <w:right w:w="100" w:type="dxa"/>
            </w:tcMar>
            <w:vAlign w:val="center"/>
          </w:tcPr>
          <w:p w14:paraId="4B123FA5" w14:textId="77777777" w:rsidR="00913A88" w:rsidRDefault="00913A88" w:rsidP="00E9349A">
            <w:pPr>
              <w:spacing w:line="480" w:lineRule="auto"/>
              <w:rPr>
                <w:b/>
                <w:bCs/>
                <w:sz w:val="20"/>
                <w:szCs w:val="20"/>
              </w:rPr>
            </w:pPr>
            <w:r>
              <w:rPr>
                <w:b/>
                <w:bCs/>
                <w:sz w:val="20"/>
                <w:szCs w:val="20"/>
              </w:rPr>
              <w:t>A3</w:t>
            </w:r>
          </w:p>
        </w:tc>
        <w:tc>
          <w:tcPr>
            <w:tcW w:w="992" w:type="dxa"/>
            <w:tcBorders>
              <w:top w:val="single" w:sz="6" w:space="0" w:color="000000"/>
              <w:left w:val="nil"/>
              <w:bottom w:val="single" w:sz="6" w:space="0" w:color="000000"/>
              <w:right w:val="nil"/>
            </w:tcBorders>
            <w:tcMar>
              <w:top w:w="100" w:type="dxa"/>
              <w:left w:w="100" w:type="dxa"/>
              <w:bottom w:w="100" w:type="dxa"/>
              <w:right w:w="100" w:type="dxa"/>
            </w:tcMar>
            <w:vAlign w:val="center"/>
          </w:tcPr>
          <w:p w14:paraId="16206EFE" w14:textId="77777777" w:rsidR="00913A88" w:rsidRDefault="00913A88" w:rsidP="00E9349A">
            <w:pPr>
              <w:spacing w:line="480" w:lineRule="auto"/>
              <w:rPr>
                <w:b/>
                <w:bCs/>
                <w:sz w:val="20"/>
                <w:szCs w:val="20"/>
              </w:rPr>
            </w:pPr>
            <w:r>
              <w:rPr>
                <w:b/>
                <w:bCs/>
                <w:sz w:val="20"/>
                <w:szCs w:val="20"/>
              </w:rPr>
              <w:t>A4</w:t>
            </w:r>
          </w:p>
        </w:tc>
        <w:tc>
          <w:tcPr>
            <w:tcW w:w="1276" w:type="dxa"/>
            <w:tcBorders>
              <w:top w:val="single" w:sz="6" w:space="0" w:color="000000"/>
              <w:left w:val="nil"/>
              <w:bottom w:val="single" w:sz="6" w:space="0" w:color="000000"/>
              <w:right w:val="nil"/>
            </w:tcBorders>
            <w:tcMar>
              <w:top w:w="100" w:type="dxa"/>
              <w:left w:w="100" w:type="dxa"/>
              <w:bottom w:w="100" w:type="dxa"/>
              <w:right w:w="100" w:type="dxa"/>
            </w:tcMar>
            <w:vAlign w:val="center"/>
          </w:tcPr>
          <w:p w14:paraId="754EB5C6" w14:textId="77777777" w:rsidR="00913A88" w:rsidRDefault="00913A88" w:rsidP="00E9349A">
            <w:pPr>
              <w:spacing w:line="480" w:lineRule="auto"/>
              <w:rPr>
                <w:b/>
                <w:bCs/>
                <w:sz w:val="20"/>
                <w:szCs w:val="20"/>
              </w:rPr>
            </w:pPr>
            <w:r>
              <w:rPr>
                <w:b/>
                <w:bCs/>
                <w:sz w:val="20"/>
                <w:szCs w:val="20"/>
              </w:rPr>
              <w:t>A5</w:t>
            </w:r>
          </w:p>
        </w:tc>
        <w:tc>
          <w:tcPr>
            <w:tcW w:w="2075" w:type="dxa"/>
            <w:tcBorders>
              <w:top w:val="single" w:sz="6" w:space="0" w:color="000000"/>
              <w:left w:val="nil"/>
              <w:bottom w:val="single" w:sz="6" w:space="0" w:color="000000"/>
              <w:right w:val="nil"/>
            </w:tcBorders>
            <w:tcMar>
              <w:top w:w="100" w:type="dxa"/>
              <w:left w:w="100" w:type="dxa"/>
              <w:bottom w:w="100" w:type="dxa"/>
              <w:right w:w="100" w:type="dxa"/>
            </w:tcMar>
            <w:vAlign w:val="center"/>
          </w:tcPr>
          <w:p w14:paraId="67A07346" w14:textId="77777777" w:rsidR="00913A88" w:rsidRDefault="00913A88" w:rsidP="00E9349A">
            <w:pPr>
              <w:spacing w:line="480" w:lineRule="auto"/>
              <w:rPr>
                <w:b/>
                <w:bCs/>
                <w:sz w:val="20"/>
                <w:szCs w:val="20"/>
              </w:rPr>
            </w:pPr>
            <w:r>
              <w:rPr>
                <w:b/>
                <w:bCs/>
                <w:sz w:val="20"/>
                <w:szCs w:val="20"/>
              </w:rPr>
              <w:t>Adjudicated</w:t>
            </w:r>
          </w:p>
        </w:tc>
      </w:tr>
      <w:tr w:rsidR="00913A88" w14:paraId="7185A2C2" w14:textId="77777777" w:rsidTr="00E9349A">
        <w:trPr>
          <w:trHeight w:val="630"/>
          <w:jc w:val="center"/>
        </w:trPr>
        <w:tc>
          <w:tcPr>
            <w:tcW w:w="1701" w:type="dxa"/>
            <w:vMerge w:val="restart"/>
            <w:tcBorders>
              <w:top w:val="nil"/>
              <w:left w:val="nil"/>
              <w:bottom w:val="single" w:sz="6" w:space="0" w:color="000000"/>
              <w:right w:val="nil"/>
            </w:tcBorders>
            <w:tcMar>
              <w:top w:w="100" w:type="dxa"/>
              <w:left w:w="100" w:type="dxa"/>
              <w:bottom w:w="100" w:type="dxa"/>
              <w:right w:w="100" w:type="dxa"/>
            </w:tcMar>
            <w:vAlign w:val="center"/>
          </w:tcPr>
          <w:p w14:paraId="0C4B217A" w14:textId="77777777" w:rsidR="00913A88" w:rsidRDefault="00913A88" w:rsidP="00E9349A">
            <w:pPr>
              <w:spacing w:after="160" w:line="480" w:lineRule="auto"/>
              <w:rPr>
                <w:sz w:val="20"/>
                <w:szCs w:val="20"/>
              </w:rPr>
            </w:pPr>
            <w:r>
              <w:rPr>
                <w:sz w:val="20"/>
                <w:szCs w:val="20"/>
              </w:rPr>
              <w:t>HMADR_Clinic</w:t>
            </w:r>
          </w:p>
        </w:tc>
        <w:tc>
          <w:tcPr>
            <w:tcW w:w="1560" w:type="dxa"/>
            <w:tcBorders>
              <w:top w:val="nil"/>
              <w:left w:val="nil"/>
              <w:bottom w:val="single" w:sz="6" w:space="0" w:color="000000"/>
              <w:right w:val="nil"/>
            </w:tcBorders>
            <w:tcMar>
              <w:top w:w="100" w:type="dxa"/>
              <w:left w:w="100" w:type="dxa"/>
              <w:bottom w:w="100" w:type="dxa"/>
              <w:right w:w="100" w:type="dxa"/>
            </w:tcMar>
            <w:vAlign w:val="center"/>
          </w:tcPr>
          <w:p w14:paraId="395007C8" w14:textId="77777777" w:rsidR="00913A88" w:rsidRDefault="00913A88" w:rsidP="00E9349A">
            <w:pPr>
              <w:spacing w:after="160" w:line="480" w:lineRule="auto"/>
              <w:rPr>
                <w:sz w:val="20"/>
                <w:szCs w:val="20"/>
              </w:rPr>
            </w:pPr>
            <w:r>
              <w:rPr>
                <w:sz w:val="20"/>
                <w:szCs w:val="20"/>
              </w:rPr>
              <w:t>Non-referral</w:t>
            </w:r>
          </w:p>
        </w:tc>
        <w:tc>
          <w:tcPr>
            <w:tcW w:w="850" w:type="dxa"/>
            <w:tcBorders>
              <w:top w:val="nil"/>
              <w:left w:val="nil"/>
              <w:bottom w:val="single" w:sz="6" w:space="0" w:color="000000"/>
              <w:right w:val="nil"/>
            </w:tcBorders>
            <w:tcMar>
              <w:top w:w="100" w:type="dxa"/>
              <w:left w:w="100" w:type="dxa"/>
              <w:bottom w:w="100" w:type="dxa"/>
              <w:right w:w="100" w:type="dxa"/>
            </w:tcMar>
            <w:vAlign w:val="center"/>
          </w:tcPr>
          <w:p w14:paraId="4E4761EA" w14:textId="77777777" w:rsidR="00913A88" w:rsidRDefault="00913A88" w:rsidP="00E9349A">
            <w:pPr>
              <w:spacing w:before="240" w:after="240" w:line="480" w:lineRule="auto"/>
              <w:rPr>
                <w:sz w:val="20"/>
                <w:szCs w:val="20"/>
              </w:rPr>
            </w:pPr>
            <w:r>
              <w:rPr>
                <w:sz w:val="20"/>
                <w:szCs w:val="20"/>
              </w:rPr>
              <w:t>602</w:t>
            </w:r>
          </w:p>
        </w:tc>
        <w:tc>
          <w:tcPr>
            <w:tcW w:w="851" w:type="dxa"/>
            <w:tcBorders>
              <w:top w:val="nil"/>
              <w:left w:val="nil"/>
              <w:bottom w:val="single" w:sz="6" w:space="0" w:color="000000"/>
              <w:right w:val="nil"/>
            </w:tcBorders>
            <w:tcMar>
              <w:top w:w="100" w:type="dxa"/>
              <w:left w:w="100" w:type="dxa"/>
              <w:bottom w:w="100" w:type="dxa"/>
              <w:right w:w="100" w:type="dxa"/>
            </w:tcMar>
            <w:vAlign w:val="center"/>
          </w:tcPr>
          <w:p w14:paraId="23843B2E" w14:textId="77777777" w:rsidR="00913A88" w:rsidRDefault="00913A88" w:rsidP="00E9349A">
            <w:pPr>
              <w:spacing w:before="240" w:after="240" w:line="480" w:lineRule="auto"/>
              <w:rPr>
                <w:sz w:val="20"/>
                <w:szCs w:val="20"/>
              </w:rPr>
            </w:pPr>
            <w:r>
              <w:rPr>
                <w:sz w:val="20"/>
                <w:szCs w:val="20"/>
              </w:rPr>
              <w:t>589</w:t>
            </w:r>
          </w:p>
        </w:tc>
        <w:tc>
          <w:tcPr>
            <w:tcW w:w="850" w:type="dxa"/>
            <w:tcBorders>
              <w:top w:val="nil"/>
              <w:left w:val="nil"/>
              <w:bottom w:val="single" w:sz="6" w:space="0" w:color="000000"/>
              <w:right w:val="nil"/>
            </w:tcBorders>
            <w:tcMar>
              <w:top w:w="100" w:type="dxa"/>
              <w:left w:w="100" w:type="dxa"/>
              <w:bottom w:w="100" w:type="dxa"/>
              <w:right w:w="100" w:type="dxa"/>
            </w:tcMar>
            <w:vAlign w:val="center"/>
          </w:tcPr>
          <w:p w14:paraId="22DF2024" w14:textId="77777777" w:rsidR="00913A88" w:rsidRDefault="00913A88" w:rsidP="00E9349A">
            <w:pPr>
              <w:spacing w:before="240" w:after="240" w:line="480" w:lineRule="auto"/>
              <w:rPr>
                <w:sz w:val="20"/>
                <w:szCs w:val="20"/>
              </w:rPr>
            </w:pPr>
            <w:r>
              <w:rPr>
                <w:sz w:val="20"/>
                <w:szCs w:val="20"/>
              </w:rPr>
              <w:t>573</w:t>
            </w:r>
          </w:p>
        </w:tc>
        <w:tc>
          <w:tcPr>
            <w:tcW w:w="992" w:type="dxa"/>
            <w:tcBorders>
              <w:top w:val="nil"/>
              <w:left w:val="nil"/>
              <w:bottom w:val="single" w:sz="6" w:space="0" w:color="000000"/>
              <w:right w:val="nil"/>
            </w:tcBorders>
            <w:tcMar>
              <w:top w:w="100" w:type="dxa"/>
              <w:left w:w="100" w:type="dxa"/>
              <w:bottom w:w="100" w:type="dxa"/>
              <w:right w:w="100" w:type="dxa"/>
            </w:tcMar>
            <w:vAlign w:val="center"/>
          </w:tcPr>
          <w:p w14:paraId="64E0C30B" w14:textId="77777777" w:rsidR="00913A88" w:rsidRDefault="00913A88" w:rsidP="00E9349A">
            <w:pPr>
              <w:spacing w:before="240" w:after="240" w:line="480" w:lineRule="auto"/>
              <w:rPr>
                <w:sz w:val="20"/>
                <w:szCs w:val="20"/>
              </w:rPr>
            </w:pPr>
            <w:r>
              <w:rPr>
                <w:sz w:val="20"/>
                <w:szCs w:val="20"/>
              </w:rPr>
              <w:t>523</w:t>
            </w:r>
          </w:p>
        </w:tc>
        <w:tc>
          <w:tcPr>
            <w:tcW w:w="1276" w:type="dxa"/>
            <w:tcBorders>
              <w:top w:val="nil"/>
              <w:left w:val="nil"/>
              <w:bottom w:val="single" w:sz="6" w:space="0" w:color="000000"/>
              <w:right w:val="nil"/>
            </w:tcBorders>
            <w:tcMar>
              <w:top w:w="100" w:type="dxa"/>
              <w:left w:w="100" w:type="dxa"/>
              <w:bottom w:w="100" w:type="dxa"/>
              <w:right w:w="100" w:type="dxa"/>
            </w:tcMar>
            <w:vAlign w:val="center"/>
          </w:tcPr>
          <w:p w14:paraId="1DA75F28" w14:textId="77777777" w:rsidR="00913A88" w:rsidRDefault="00913A88" w:rsidP="00E9349A">
            <w:pPr>
              <w:spacing w:before="240" w:after="240" w:line="480" w:lineRule="auto"/>
              <w:rPr>
                <w:sz w:val="20"/>
                <w:szCs w:val="20"/>
              </w:rPr>
            </w:pPr>
            <w:r>
              <w:rPr>
                <w:sz w:val="20"/>
                <w:szCs w:val="20"/>
              </w:rPr>
              <w:t>499</w:t>
            </w:r>
          </w:p>
        </w:tc>
        <w:tc>
          <w:tcPr>
            <w:tcW w:w="2075" w:type="dxa"/>
            <w:tcBorders>
              <w:top w:val="nil"/>
              <w:left w:val="nil"/>
              <w:bottom w:val="single" w:sz="6" w:space="0" w:color="000000"/>
              <w:right w:val="nil"/>
            </w:tcBorders>
            <w:tcMar>
              <w:top w:w="100" w:type="dxa"/>
              <w:left w:w="100" w:type="dxa"/>
              <w:bottom w:w="100" w:type="dxa"/>
              <w:right w:w="100" w:type="dxa"/>
            </w:tcMar>
            <w:vAlign w:val="center"/>
          </w:tcPr>
          <w:p w14:paraId="38FA330F" w14:textId="77777777" w:rsidR="00913A88" w:rsidRDefault="00913A88" w:rsidP="00E9349A">
            <w:pPr>
              <w:spacing w:before="240" w:after="240" w:line="480" w:lineRule="auto"/>
              <w:rPr>
                <w:sz w:val="20"/>
                <w:szCs w:val="20"/>
              </w:rPr>
            </w:pPr>
            <w:r>
              <w:rPr>
                <w:sz w:val="20"/>
                <w:szCs w:val="20"/>
              </w:rPr>
              <w:t>521</w:t>
            </w:r>
          </w:p>
        </w:tc>
      </w:tr>
      <w:tr w:rsidR="00913A88" w14:paraId="7C89B8FD" w14:textId="77777777" w:rsidTr="00E9349A">
        <w:trPr>
          <w:trHeight w:val="630"/>
          <w:jc w:val="center"/>
        </w:trPr>
        <w:tc>
          <w:tcPr>
            <w:tcW w:w="1701" w:type="dxa"/>
            <w:vMerge/>
            <w:tcBorders>
              <w:top w:val="nil"/>
              <w:left w:val="nil"/>
              <w:bottom w:val="single" w:sz="6" w:space="0" w:color="000000"/>
              <w:right w:val="nil"/>
            </w:tcBorders>
            <w:tcMar>
              <w:top w:w="100" w:type="dxa"/>
              <w:left w:w="100" w:type="dxa"/>
              <w:bottom w:w="100" w:type="dxa"/>
              <w:right w:w="100" w:type="dxa"/>
            </w:tcMar>
            <w:vAlign w:val="center"/>
          </w:tcPr>
          <w:p w14:paraId="2EC1E44A" w14:textId="77777777" w:rsidR="00913A88" w:rsidRDefault="00913A88" w:rsidP="00E9349A">
            <w:pPr>
              <w:spacing w:line="480" w:lineRule="auto"/>
            </w:pPr>
          </w:p>
        </w:tc>
        <w:tc>
          <w:tcPr>
            <w:tcW w:w="1560" w:type="dxa"/>
            <w:tcBorders>
              <w:top w:val="nil"/>
              <w:left w:val="nil"/>
              <w:bottom w:val="single" w:sz="6" w:space="0" w:color="000000"/>
              <w:right w:val="nil"/>
            </w:tcBorders>
            <w:tcMar>
              <w:top w:w="100" w:type="dxa"/>
              <w:left w:w="100" w:type="dxa"/>
              <w:bottom w:w="100" w:type="dxa"/>
              <w:right w:w="100" w:type="dxa"/>
            </w:tcMar>
            <w:vAlign w:val="center"/>
          </w:tcPr>
          <w:p w14:paraId="5F5FAF71" w14:textId="77777777" w:rsidR="00913A88" w:rsidRDefault="00913A88" w:rsidP="00E9349A">
            <w:pPr>
              <w:spacing w:after="160" w:line="480" w:lineRule="auto"/>
              <w:rPr>
                <w:sz w:val="20"/>
                <w:szCs w:val="20"/>
              </w:rPr>
            </w:pPr>
            <w:r>
              <w:rPr>
                <w:sz w:val="20"/>
                <w:szCs w:val="20"/>
              </w:rPr>
              <w:t>Referral</w:t>
            </w:r>
          </w:p>
        </w:tc>
        <w:tc>
          <w:tcPr>
            <w:tcW w:w="850" w:type="dxa"/>
            <w:tcBorders>
              <w:top w:val="nil"/>
              <w:left w:val="nil"/>
              <w:bottom w:val="single" w:sz="6" w:space="0" w:color="000000"/>
              <w:right w:val="nil"/>
            </w:tcBorders>
            <w:tcMar>
              <w:top w:w="100" w:type="dxa"/>
              <w:left w:w="100" w:type="dxa"/>
              <w:bottom w:w="100" w:type="dxa"/>
              <w:right w:w="100" w:type="dxa"/>
            </w:tcMar>
            <w:vAlign w:val="center"/>
          </w:tcPr>
          <w:p w14:paraId="74DA639B" w14:textId="77777777" w:rsidR="00913A88" w:rsidRDefault="00913A88" w:rsidP="00E9349A">
            <w:pPr>
              <w:spacing w:before="240" w:after="240" w:line="480" w:lineRule="auto"/>
              <w:rPr>
                <w:sz w:val="20"/>
                <w:szCs w:val="20"/>
              </w:rPr>
            </w:pPr>
            <w:r>
              <w:rPr>
                <w:sz w:val="20"/>
                <w:szCs w:val="20"/>
              </w:rPr>
              <w:t>164</w:t>
            </w:r>
          </w:p>
        </w:tc>
        <w:tc>
          <w:tcPr>
            <w:tcW w:w="851" w:type="dxa"/>
            <w:tcBorders>
              <w:top w:val="nil"/>
              <w:left w:val="nil"/>
              <w:bottom w:val="single" w:sz="6" w:space="0" w:color="000000"/>
              <w:right w:val="nil"/>
            </w:tcBorders>
            <w:tcMar>
              <w:top w:w="100" w:type="dxa"/>
              <w:left w:w="100" w:type="dxa"/>
              <w:bottom w:w="100" w:type="dxa"/>
              <w:right w:w="100" w:type="dxa"/>
            </w:tcMar>
            <w:vAlign w:val="center"/>
          </w:tcPr>
          <w:p w14:paraId="792C1E2D" w14:textId="77777777" w:rsidR="00913A88" w:rsidRDefault="00913A88" w:rsidP="00E9349A">
            <w:pPr>
              <w:spacing w:before="240" w:after="240" w:line="480" w:lineRule="auto"/>
              <w:rPr>
                <w:sz w:val="20"/>
                <w:szCs w:val="20"/>
              </w:rPr>
            </w:pPr>
            <w:r>
              <w:rPr>
                <w:sz w:val="20"/>
                <w:szCs w:val="20"/>
              </w:rPr>
              <w:t>177</w:t>
            </w:r>
          </w:p>
        </w:tc>
        <w:tc>
          <w:tcPr>
            <w:tcW w:w="850" w:type="dxa"/>
            <w:tcBorders>
              <w:top w:val="nil"/>
              <w:left w:val="nil"/>
              <w:bottom w:val="single" w:sz="6" w:space="0" w:color="000000"/>
              <w:right w:val="nil"/>
            </w:tcBorders>
            <w:tcMar>
              <w:top w:w="100" w:type="dxa"/>
              <w:left w:w="100" w:type="dxa"/>
              <w:bottom w:w="100" w:type="dxa"/>
              <w:right w:w="100" w:type="dxa"/>
            </w:tcMar>
            <w:vAlign w:val="center"/>
          </w:tcPr>
          <w:p w14:paraId="2C8EA1B4" w14:textId="77777777" w:rsidR="00913A88" w:rsidRDefault="00913A88" w:rsidP="00E9349A">
            <w:pPr>
              <w:spacing w:before="240" w:after="240" w:line="480" w:lineRule="auto"/>
              <w:rPr>
                <w:sz w:val="20"/>
                <w:szCs w:val="20"/>
              </w:rPr>
            </w:pPr>
            <w:r>
              <w:rPr>
                <w:sz w:val="20"/>
                <w:szCs w:val="20"/>
              </w:rPr>
              <w:t>193</w:t>
            </w:r>
          </w:p>
        </w:tc>
        <w:tc>
          <w:tcPr>
            <w:tcW w:w="992" w:type="dxa"/>
            <w:tcBorders>
              <w:top w:val="nil"/>
              <w:left w:val="nil"/>
              <w:bottom w:val="single" w:sz="6" w:space="0" w:color="000000"/>
              <w:right w:val="nil"/>
            </w:tcBorders>
            <w:tcMar>
              <w:top w:w="100" w:type="dxa"/>
              <w:left w:w="100" w:type="dxa"/>
              <w:bottom w:w="100" w:type="dxa"/>
              <w:right w:w="100" w:type="dxa"/>
            </w:tcMar>
            <w:vAlign w:val="center"/>
          </w:tcPr>
          <w:p w14:paraId="76DE4BE1" w14:textId="77777777" w:rsidR="00913A88" w:rsidRDefault="00913A88" w:rsidP="00E9349A">
            <w:pPr>
              <w:spacing w:before="240" w:after="240" w:line="480" w:lineRule="auto"/>
              <w:rPr>
                <w:sz w:val="20"/>
                <w:szCs w:val="20"/>
              </w:rPr>
            </w:pPr>
            <w:r>
              <w:rPr>
                <w:sz w:val="20"/>
                <w:szCs w:val="20"/>
              </w:rPr>
              <w:t>243</w:t>
            </w:r>
          </w:p>
        </w:tc>
        <w:tc>
          <w:tcPr>
            <w:tcW w:w="1276" w:type="dxa"/>
            <w:tcBorders>
              <w:top w:val="nil"/>
              <w:left w:val="nil"/>
              <w:bottom w:val="single" w:sz="6" w:space="0" w:color="000000"/>
              <w:right w:val="nil"/>
            </w:tcBorders>
            <w:tcMar>
              <w:top w:w="100" w:type="dxa"/>
              <w:left w:w="100" w:type="dxa"/>
              <w:bottom w:w="100" w:type="dxa"/>
              <w:right w:w="100" w:type="dxa"/>
            </w:tcMar>
            <w:vAlign w:val="center"/>
          </w:tcPr>
          <w:p w14:paraId="4912009B" w14:textId="77777777" w:rsidR="00913A88" w:rsidRDefault="00913A88" w:rsidP="00E9349A">
            <w:pPr>
              <w:spacing w:before="240" w:after="240" w:line="480" w:lineRule="auto"/>
              <w:rPr>
                <w:sz w:val="20"/>
                <w:szCs w:val="20"/>
              </w:rPr>
            </w:pPr>
            <w:r>
              <w:rPr>
                <w:sz w:val="20"/>
                <w:szCs w:val="20"/>
              </w:rPr>
              <w:t>267</w:t>
            </w:r>
          </w:p>
        </w:tc>
        <w:tc>
          <w:tcPr>
            <w:tcW w:w="2075" w:type="dxa"/>
            <w:tcBorders>
              <w:top w:val="nil"/>
              <w:left w:val="nil"/>
              <w:bottom w:val="single" w:sz="6" w:space="0" w:color="000000"/>
              <w:right w:val="nil"/>
            </w:tcBorders>
            <w:tcMar>
              <w:top w:w="100" w:type="dxa"/>
              <w:left w:w="100" w:type="dxa"/>
              <w:bottom w:w="100" w:type="dxa"/>
              <w:right w:w="100" w:type="dxa"/>
            </w:tcMar>
            <w:vAlign w:val="center"/>
          </w:tcPr>
          <w:p w14:paraId="52AE1C8A" w14:textId="77777777" w:rsidR="00913A88" w:rsidRDefault="00913A88" w:rsidP="00E9349A">
            <w:pPr>
              <w:spacing w:before="240" w:after="240" w:line="480" w:lineRule="auto"/>
              <w:rPr>
                <w:sz w:val="20"/>
                <w:szCs w:val="20"/>
              </w:rPr>
            </w:pPr>
            <w:r>
              <w:rPr>
                <w:sz w:val="20"/>
                <w:szCs w:val="20"/>
              </w:rPr>
              <w:t>245</w:t>
            </w:r>
          </w:p>
        </w:tc>
      </w:tr>
      <w:tr w:rsidR="00913A88" w14:paraId="5C98A82C" w14:textId="77777777" w:rsidTr="00E9349A">
        <w:trPr>
          <w:trHeight w:val="630"/>
          <w:jc w:val="center"/>
        </w:trPr>
        <w:tc>
          <w:tcPr>
            <w:tcW w:w="1701" w:type="dxa"/>
            <w:vMerge/>
            <w:tcBorders>
              <w:top w:val="nil"/>
              <w:left w:val="nil"/>
              <w:bottom w:val="single" w:sz="6" w:space="0" w:color="000000"/>
              <w:right w:val="nil"/>
            </w:tcBorders>
            <w:tcMar>
              <w:top w:w="100" w:type="dxa"/>
              <w:left w:w="100" w:type="dxa"/>
              <w:bottom w:w="100" w:type="dxa"/>
              <w:right w:w="100" w:type="dxa"/>
            </w:tcMar>
            <w:vAlign w:val="center"/>
          </w:tcPr>
          <w:p w14:paraId="4A8AC077" w14:textId="77777777" w:rsidR="00913A88" w:rsidRDefault="00913A88" w:rsidP="00E9349A">
            <w:pPr>
              <w:spacing w:line="480" w:lineRule="auto"/>
            </w:pPr>
          </w:p>
        </w:tc>
        <w:tc>
          <w:tcPr>
            <w:tcW w:w="1560" w:type="dxa"/>
            <w:tcBorders>
              <w:top w:val="nil"/>
              <w:left w:val="nil"/>
              <w:bottom w:val="single" w:sz="6" w:space="0" w:color="000000"/>
              <w:right w:val="nil"/>
            </w:tcBorders>
            <w:tcMar>
              <w:top w:w="100" w:type="dxa"/>
              <w:left w:w="100" w:type="dxa"/>
              <w:bottom w:w="100" w:type="dxa"/>
              <w:right w:w="100" w:type="dxa"/>
            </w:tcMar>
            <w:vAlign w:val="center"/>
          </w:tcPr>
          <w:p w14:paraId="48066720" w14:textId="77777777" w:rsidR="00913A88" w:rsidRDefault="00913A88" w:rsidP="00E9349A">
            <w:pPr>
              <w:spacing w:before="240" w:after="240" w:line="480" w:lineRule="auto"/>
              <w:rPr>
                <w:sz w:val="20"/>
                <w:szCs w:val="20"/>
              </w:rPr>
            </w:pPr>
            <w:r>
              <w:rPr>
                <w:sz w:val="20"/>
                <w:szCs w:val="20"/>
              </w:rPr>
              <w:t>Cohen’s kappa</w:t>
            </w:r>
          </w:p>
        </w:tc>
        <w:tc>
          <w:tcPr>
            <w:tcW w:w="850" w:type="dxa"/>
            <w:tcBorders>
              <w:top w:val="nil"/>
              <w:left w:val="nil"/>
              <w:bottom w:val="single" w:sz="6" w:space="0" w:color="000000"/>
              <w:right w:val="nil"/>
            </w:tcBorders>
            <w:tcMar>
              <w:top w:w="100" w:type="dxa"/>
              <w:left w:w="100" w:type="dxa"/>
              <w:bottom w:w="100" w:type="dxa"/>
              <w:right w:w="100" w:type="dxa"/>
            </w:tcMar>
            <w:vAlign w:val="center"/>
          </w:tcPr>
          <w:p w14:paraId="38AF24EC" w14:textId="77777777" w:rsidR="00913A88" w:rsidRDefault="00913A88" w:rsidP="00E9349A">
            <w:pPr>
              <w:spacing w:before="240" w:after="240" w:line="480" w:lineRule="auto"/>
              <w:rPr>
                <w:sz w:val="20"/>
                <w:szCs w:val="20"/>
              </w:rPr>
            </w:pPr>
            <w:r>
              <w:rPr>
                <w:sz w:val="20"/>
                <w:szCs w:val="20"/>
              </w:rPr>
              <w:t>0.734</w:t>
            </w:r>
          </w:p>
        </w:tc>
        <w:tc>
          <w:tcPr>
            <w:tcW w:w="851" w:type="dxa"/>
            <w:tcBorders>
              <w:top w:val="nil"/>
              <w:left w:val="nil"/>
              <w:bottom w:val="single" w:sz="6" w:space="0" w:color="000000"/>
              <w:right w:val="nil"/>
            </w:tcBorders>
            <w:tcMar>
              <w:top w:w="100" w:type="dxa"/>
              <w:left w:w="100" w:type="dxa"/>
              <w:bottom w:w="100" w:type="dxa"/>
              <w:right w:w="100" w:type="dxa"/>
            </w:tcMar>
            <w:vAlign w:val="center"/>
          </w:tcPr>
          <w:p w14:paraId="32283399" w14:textId="77777777" w:rsidR="00913A88" w:rsidRDefault="00913A88" w:rsidP="00E9349A">
            <w:pPr>
              <w:spacing w:before="240" w:after="240" w:line="480" w:lineRule="auto"/>
              <w:rPr>
                <w:sz w:val="20"/>
                <w:szCs w:val="20"/>
              </w:rPr>
            </w:pPr>
            <w:r>
              <w:rPr>
                <w:sz w:val="20"/>
                <w:szCs w:val="20"/>
              </w:rPr>
              <w:t>0.773</w:t>
            </w:r>
          </w:p>
        </w:tc>
        <w:tc>
          <w:tcPr>
            <w:tcW w:w="850" w:type="dxa"/>
            <w:tcBorders>
              <w:top w:val="nil"/>
              <w:left w:val="nil"/>
              <w:bottom w:val="single" w:sz="6" w:space="0" w:color="000000"/>
              <w:right w:val="nil"/>
            </w:tcBorders>
            <w:tcMar>
              <w:top w:w="100" w:type="dxa"/>
              <w:left w:w="100" w:type="dxa"/>
              <w:bottom w:w="100" w:type="dxa"/>
              <w:right w:w="100" w:type="dxa"/>
            </w:tcMar>
            <w:vAlign w:val="center"/>
          </w:tcPr>
          <w:p w14:paraId="4B504175" w14:textId="77777777" w:rsidR="00913A88" w:rsidRDefault="00913A88" w:rsidP="00E9349A">
            <w:pPr>
              <w:spacing w:before="240" w:after="240" w:line="480" w:lineRule="auto"/>
              <w:rPr>
                <w:sz w:val="20"/>
                <w:szCs w:val="20"/>
              </w:rPr>
            </w:pPr>
            <w:r>
              <w:rPr>
                <w:sz w:val="20"/>
                <w:szCs w:val="20"/>
              </w:rPr>
              <w:t>0.797</w:t>
            </w:r>
          </w:p>
        </w:tc>
        <w:tc>
          <w:tcPr>
            <w:tcW w:w="992" w:type="dxa"/>
            <w:tcBorders>
              <w:top w:val="nil"/>
              <w:left w:val="nil"/>
              <w:bottom w:val="single" w:sz="6" w:space="0" w:color="000000"/>
              <w:right w:val="nil"/>
            </w:tcBorders>
            <w:tcMar>
              <w:top w:w="100" w:type="dxa"/>
              <w:left w:w="100" w:type="dxa"/>
              <w:bottom w:w="100" w:type="dxa"/>
              <w:right w:w="100" w:type="dxa"/>
            </w:tcMar>
            <w:vAlign w:val="center"/>
          </w:tcPr>
          <w:p w14:paraId="60EC0D47" w14:textId="77777777" w:rsidR="00913A88" w:rsidRDefault="00913A88" w:rsidP="00E9349A">
            <w:pPr>
              <w:spacing w:before="240" w:after="240" w:line="480" w:lineRule="auto"/>
              <w:rPr>
                <w:sz w:val="20"/>
                <w:szCs w:val="20"/>
              </w:rPr>
            </w:pPr>
            <w:r>
              <w:rPr>
                <w:sz w:val="20"/>
                <w:szCs w:val="20"/>
              </w:rPr>
              <w:t>0.910</w:t>
            </w:r>
          </w:p>
        </w:tc>
        <w:tc>
          <w:tcPr>
            <w:tcW w:w="1276" w:type="dxa"/>
            <w:tcBorders>
              <w:top w:val="nil"/>
              <w:left w:val="nil"/>
              <w:bottom w:val="single" w:sz="6" w:space="0" w:color="000000"/>
              <w:right w:val="nil"/>
            </w:tcBorders>
            <w:tcMar>
              <w:top w:w="100" w:type="dxa"/>
              <w:left w:w="100" w:type="dxa"/>
              <w:bottom w:w="100" w:type="dxa"/>
              <w:right w:w="100" w:type="dxa"/>
            </w:tcMar>
            <w:vAlign w:val="center"/>
          </w:tcPr>
          <w:p w14:paraId="5AC64C96" w14:textId="77777777" w:rsidR="00913A88" w:rsidRDefault="00913A88" w:rsidP="00E9349A">
            <w:pPr>
              <w:spacing w:before="240" w:after="240" w:line="480" w:lineRule="auto"/>
              <w:rPr>
                <w:sz w:val="20"/>
                <w:szCs w:val="20"/>
              </w:rPr>
            </w:pPr>
            <w:r>
              <w:rPr>
                <w:sz w:val="20"/>
                <w:szCs w:val="20"/>
              </w:rPr>
              <w:t>0.918</w:t>
            </w:r>
          </w:p>
        </w:tc>
        <w:tc>
          <w:tcPr>
            <w:tcW w:w="2075" w:type="dxa"/>
            <w:tcBorders>
              <w:top w:val="nil"/>
              <w:left w:val="nil"/>
              <w:bottom w:val="single" w:sz="6" w:space="0" w:color="000000"/>
              <w:right w:val="nil"/>
            </w:tcBorders>
            <w:tcMar>
              <w:top w:w="100" w:type="dxa"/>
              <w:left w:w="100" w:type="dxa"/>
              <w:bottom w:w="100" w:type="dxa"/>
              <w:right w:w="100" w:type="dxa"/>
            </w:tcMar>
            <w:vAlign w:val="center"/>
          </w:tcPr>
          <w:p w14:paraId="0474F0A3" w14:textId="77777777" w:rsidR="00913A88" w:rsidRDefault="00913A88" w:rsidP="00E9349A">
            <w:pPr>
              <w:spacing w:line="480" w:lineRule="auto"/>
              <w:rPr>
                <w:sz w:val="20"/>
                <w:szCs w:val="20"/>
              </w:rPr>
            </w:pPr>
          </w:p>
          <w:p w14:paraId="15403E09" w14:textId="77777777" w:rsidR="00913A88" w:rsidRDefault="00913A88" w:rsidP="00E9349A">
            <w:pPr>
              <w:spacing w:line="480" w:lineRule="auto"/>
              <w:rPr>
                <w:sz w:val="20"/>
                <w:szCs w:val="20"/>
              </w:rPr>
            </w:pPr>
            <w:r>
              <w:rPr>
                <w:sz w:val="20"/>
                <w:szCs w:val="20"/>
              </w:rPr>
              <w:t>—</w:t>
            </w:r>
          </w:p>
        </w:tc>
      </w:tr>
      <w:tr w:rsidR="00913A88" w14:paraId="68AE7AD6" w14:textId="77777777" w:rsidTr="00E9349A">
        <w:trPr>
          <w:trHeight w:val="630"/>
          <w:jc w:val="center"/>
        </w:trPr>
        <w:tc>
          <w:tcPr>
            <w:tcW w:w="1701" w:type="dxa"/>
            <w:vMerge/>
            <w:tcBorders>
              <w:top w:val="nil"/>
              <w:left w:val="nil"/>
              <w:bottom w:val="single" w:sz="6" w:space="0" w:color="000000"/>
              <w:right w:val="nil"/>
            </w:tcBorders>
            <w:tcMar>
              <w:top w:w="100" w:type="dxa"/>
              <w:left w:w="100" w:type="dxa"/>
              <w:bottom w:w="100" w:type="dxa"/>
              <w:right w:w="100" w:type="dxa"/>
            </w:tcMar>
            <w:vAlign w:val="center"/>
          </w:tcPr>
          <w:p w14:paraId="67789612" w14:textId="77777777" w:rsidR="00913A88" w:rsidRDefault="00913A88" w:rsidP="00E9349A">
            <w:pPr>
              <w:spacing w:line="480" w:lineRule="auto"/>
            </w:pPr>
          </w:p>
        </w:tc>
        <w:tc>
          <w:tcPr>
            <w:tcW w:w="1560" w:type="dxa"/>
            <w:tcBorders>
              <w:top w:val="nil"/>
              <w:left w:val="nil"/>
              <w:bottom w:val="single" w:sz="6" w:space="0" w:color="000000"/>
              <w:right w:val="nil"/>
            </w:tcBorders>
            <w:tcMar>
              <w:top w:w="100" w:type="dxa"/>
              <w:left w:w="100" w:type="dxa"/>
              <w:bottom w:w="100" w:type="dxa"/>
              <w:right w:w="100" w:type="dxa"/>
            </w:tcMar>
            <w:vAlign w:val="center"/>
          </w:tcPr>
          <w:p w14:paraId="18221492" w14:textId="77777777" w:rsidR="00913A88" w:rsidRDefault="00913A88" w:rsidP="00E9349A">
            <w:pPr>
              <w:spacing w:after="160" w:line="480" w:lineRule="auto"/>
              <w:rPr>
                <w:sz w:val="20"/>
                <w:szCs w:val="20"/>
              </w:rPr>
            </w:pPr>
            <w:r>
              <w:rPr>
                <w:sz w:val="20"/>
                <w:szCs w:val="20"/>
              </w:rPr>
              <w:t>Gwet's AC1</w:t>
            </w:r>
          </w:p>
        </w:tc>
        <w:tc>
          <w:tcPr>
            <w:tcW w:w="850" w:type="dxa"/>
            <w:tcBorders>
              <w:top w:val="nil"/>
              <w:left w:val="nil"/>
              <w:bottom w:val="single" w:sz="6" w:space="0" w:color="000000"/>
              <w:right w:val="nil"/>
            </w:tcBorders>
            <w:tcMar>
              <w:top w:w="100" w:type="dxa"/>
              <w:left w:w="100" w:type="dxa"/>
              <w:bottom w:w="100" w:type="dxa"/>
              <w:right w:w="100" w:type="dxa"/>
            </w:tcMar>
            <w:vAlign w:val="center"/>
          </w:tcPr>
          <w:p w14:paraId="6E7BEB52" w14:textId="77777777" w:rsidR="00913A88" w:rsidRDefault="00913A88" w:rsidP="00E9349A">
            <w:pPr>
              <w:spacing w:before="240" w:after="240" w:line="480" w:lineRule="auto"/>
              <w:rPr>
                <w:sz w:val="20"/>
                <w:szCs w:val="20"/>
              </w:rPr>
            </w:pPr>
            <w:r>
              <w:rPr>
                <w:sz w:val="20"/>
                <w:szCs w:val="20"/>
              </w:rPr>
              <w:t>0.826</w:t>
            </w:r>
          </w:p>
        </w:tc>
        <w:tc>
          <w:tcPr>
            <w:tcW w:w="851" w:type="dxa"/>
            <w:tcBorders>
              <w:top w:val="nil"/>
              <w:left w:val="nil"/>
              <w:bottom w:val="single" w:sz="6" w:space="0" w:color="000000"/>
              <w:right w:val="nil"/>
            </w:tcBorders>
            <w:tcMar>
              <w:top w:w="100" w:type="dxa"/>
              <w:left w:w="100" w:type="dxa"/>
              <w:bottom w:w="100" w:type="dxa"/>
              <w:right w:w="100" w:type="dxa"/>
            </w:tcMar>
            <w:vAlign w:val="center"/>
          </w:tcPr>
          <w:p w14:paraId="22FF912B" w14:textId="77777777" w:rsidR="00913A88" w:rsidRDefault="00913A88" w:rsidP="00E9349A">
            <w:pPr>
              <w:spacing w:before="240" w:after="240" w:line="480" w:lineRule="auto"/>
              <w:rPr>
                <w:sz w:val="20"/>
                <w:szCs w:val="20"/>
              </w:rPr>
            </w:pPr>
            <w:r>
              <w:rPr>
                <w:sz w:val="20"/>
                <w:szCs w:val="20"/>
              </w:rPr>
              <w:t>0.848</w:t>
            </w:r>
          </w:p>
        </w:tc>
        <w:tc>
          <w:tcPr>
            <w:tcW w:w="850" w:type="dxa"/>
            <w:tcBorders>
              <w:top w:val="nil"/>
              <w:left w:val="nil"/>
              <w:bottom w:val="single" w:sz="6" w:space="0" w:color="000000"/>
              <w:right w:val="nil"/>
            </w:tcBorders>
            <w:tcMar>
              <w:top w:w="100" w:type="dxa"/>
              <w:left w:w="100" w:type="dxa"/>
              <w:bottom w:w="100" w:type="dxa"/>
              <w:right w:w="100" w:type="dxa"/>
            </w:tcMar>
            <w:vAlign w:val="center"/>
          </w:tcPr>
          <w:p w14:paraId="4170D325" w14:textId="77777777" w:rsidR="00913A88" w:rsidRDefault="00913A88" w:rsidP="00E9349A">
            <w:pPr>
              <w:spacing w:before="240" w:after="240" w:line="480" w:lineRule="auto"/>
              <w:rPr>
                <w:sz w:val="20"/>
                <w:szCs w:val="20"/>
              </w:rPr>
            </w:pPr>
            <w:r>
              <w:rPr>
                <w:sz w:val="20"/>
                <w:szCs w:val="20"/>
              </w:rPr>
              <w:t>0.859</w:t>
            </w:r>
          </w:p>
        </w:tc>
        <w:tc>
          <w:tcPr>
            <w:tcW w:w="992" w:type="dxa"/>
            <w:tcBorders>
              <w:top w:val="nil"/>
              <w:left w:val="nil"/>
              <w:bottom w:val="single" w:sz="6" w:space="0" w:color="000000"/>
              <w:right w:val="nil"/>
            </w:tcBorders>
            <w:tcMar>
              <w:top w:w="100" w:type="dxa"/>
              <w:left w:w="100" w:type="dxa"/>
              <w:bottom w:w="100" w:type="dxa"/>
              <w:right w:w="100" w:type="dxa"/>
            </w:tcMar>
            <w:vAlign w:val="center"/>
          </w:tcPr>
          <w:p w14:paraId="206118F2" w14:textId="77777777" w:rsidR="00913A88" w:rsidRDefault="00913A88" w:rsidP="00E9349A">
            <w:pPr>
              <w:spacing w:before="240" w:after="240" w:line="480" w:lineRule="auto"/>
              <w:rPr>
                <w:sz w:val="20"/>
                <w:szCs w:val="20"/>
              </w:rPr>
            </w:pPr>
            <w:r>
              <w:rPr>
                <w:sz w:val="20"/>
                <w:szCs w:val="20"/>
              </w:rPr>
              <w:t>0.931</w:t>
            </w:r>
          </w:p>
        </w:tc>
        <w:tc>
          <w:tcPr>
            <w:tcW w:w="1276" w:type="dxa"/>
            <w:tcBorders>
              <w:top w:val="nil"/>
              <w:left w:val="nil"/>
              <w:bottom w:val="single" w:sz="6" w:space="0" w:color="000000"/>
              <w:right w:val="nil"/>
            </w:tcBorders>
            <w:tcMar>
              <w:top w:w="100" w:type="dxa"/>
              <w:left w:w="100" w:type="dxa"/>
              <w:bottom w:w="100" w:type="dxa"/>
              <w:right w:w="100" w:type="dxa"/>
            </w:tcMar>
            <w:vAlign w:val="center"/>
          </w:tcPr>
          <w:p w14:paraId="4806C1F9" w14:textId="77777777" w:rsidR="00913A88" w:rsidRDefault="00913A88" w:rsidP="00E9349A">
            <w:pPr>
              <w:spacing w:before="240" w:after="240" w:line="480" w:lineRule="auto"/>
              <w:rPr>
                <w:sz w:val="20"/>
                <w:szCs w:val="20"/>
              </w:rPr>
            </w:pPr>
            <w:r>
              <w:rPr>
                <w:sz w:val="20"/>
                <w:szCs w:val="20"/>
              </w:rPr>
              <w:t>0.934</w:t>
            </w:r>
          </w:p>
        </w:tc>
        <w:tc>
          <w:tcPr>
            <w:tcW w:w="2075" w:type="dxa"/>
            <w:tcBorders>
              <w:top w:val="nil"/>
              <w:left w:val="nil"/>
              <w:bottom w:val="single" w:sz="6" w:space="0" w:color="000000"/>
              <w:right w:val="nil"/>
            </w:tcBorders>
            <w:tcMar>
              <w:top w:w="100" w:type="dxa"/>
              <w:left w:w="100" w:type="dxa"/>
              <w:bottom w:w="100" w:type="dxa"/>
              <w:right w:w="100" w:type="dxa"/>
            </w:tcMar>
            <w:vAlign w:val="center"/>
          </w:tcPr>
          <w:p w14:paraId="464C40ED" w14:textId="77777777" w:rsidR="00913A88" w:rsidRDefault="00913A88" w:rsidP="00E9349A">
            <w:pPr>
              <w:spacing w:line="480" w:lineRule="auto"/>
              <w:rPr>
                <w:sz w:val="20"/>
                <w:szCs w:val="20"/>
              </w:rPr>
            </w:pPr>
          </w:p>
          <w:p w14:paraId="7663AB45" w14:textId="77777777" w:rsidR="00913A88" w:rsidRDefault="00913A88" w:rsidP="00E9349A">
            <w:pPr>
              <w:spacing w:line="480" w:lineRule="auto"/>
              <w:rPr>
                <w:sz w:val="20"/>
                <w:szCs w:val="20"/>
              </w:rPr>
            </w:pPr>
            <w:r>
              <w:rPr>
                <w:sz w:val="20"/>
                <w:szCs w:val="20"/>
              </w:rPr>
              <w:t>—</w:t>
            </w:r>
          </w:p>
        </w:tc>
      </w:tr>
      <w:tr w:rsidR="00913A88" w14:paraId="129DC55F" w14:textId="77777777" w:rsidTr="00E9349A">
        <w:trPr>
          <w:trHeight w:val="630"/>
          <w:jc w:val="center"/>
        </w:trPr>
        <w:tc>
          <w:tcPr>
            <w:tcW w:w="1701" w:type="dxa"/>
            <w:vMerge w:val="restart"/>
            <w:tcBorders>
              <w:top w:val="nil"/>
              <w:left w:val="nil"/>
              <w:bottom w:val="single" w:sz="6" w:space="0" w:color="000000"/>
              <w:right w:val="nil"/>
            </w:tcBorders>
            <w:tcMar>
              <w:top w:w="100" w:type="dxa"/>
              <w:left w:w="100" w:type="dxa"/>
              <w:bottom w:w="100" w:type="dxa"/>
              <w:right w:w="100" w:type="dxa"/>
            </w:tcMar>
            <w:vAlign w:val="center"/>
          </w:tcPr>
          <w:p w14:paraId="08AB5EDA" w14:textId="77777777" w:rsidR="00913A88" w:rsidRDefault="00913A88" w:rsidP="00E9349A">
            <w:pPr>
              <w:spacing w:before="240" w:after="240" w:line="480" w:lineRule="auto"/>
              <w:rPr>
                <w:sz w:val="20"/>
                <w:szCs w:val="20"/>
              </w:rPr>
            </w:pPr>
            <w:r>
              <w:rPr>
                <w:sz w:val="20"/>
                <w:szCs w:val="20"/>
              </w:rPr>
              <w:t>HMADR_Screening</w:t>
            </w:r>
          </w:p>
        </w:tc>
        <w:tc>
          <w:tcPr>
            <w:tcW w:w="1560" w:type="dxa"/>
            <w:tcBorders>
              <w:top w:val="nil"/>
              <w:left w:val="nil"/>
              <w:bottom w:val="single" w:sz="6" w:space="0" w:color="000000"/>
              <w:right w:val="nil"/>
            </w:tcBorders>
            <w:tcMar>
              <w:top w:w="100" w:type="dxa"/>
              <w:left w:w="100" w:type="dxa"/>
              <w:bottom w:w="100" w:type="dxa"/>
              <w:right w:w="100" w:type="dxa"/>
            </w:tcMar>
            <w:vAlign w:val="center"/>
          </w:tcPr>
          <w:p w14:paraId="31629562" w14:textId="77777777" w:rsidR="00913A88" w:rsidRDefault="00913A88" w:rsidP="00E9349A">
            <w:pPr>
              <w:spacing w:after="160" w:line="480" w:lineRule="auto"/>
              <w:rPr>
                <w:sz w:val="20"/>
                <w:szCs w:val="20"/>
              </w:rPr>
            </w:pPr>
            <w:r>
              <w:rPr>
                <w:sz w:val="20"/>
                <w:szCs w:val="20"/>
              </w:rPr>
              <w:t>Non-referral</w:t>
            </w:r>
          </w:p>
        </w:tc>
        <w:tc>
          <w:tcPr>
            <w:tcW w:w="850" w:type="dxa"/>
            <w:tcBorders>
              <w:top w:val="nil"/>
              <w:left w:val="nil"/>
              <w:bottom w:val="single" w:sz="6" w:space="0" w:color="000000"/>
              <w:right w:val="nil"/>
            </w:tcBorders>
            <w:tcMar>
              <w:top w:w="100" w:type="dxa"/>
              <w:left w:w="100" w:type="dxa"/>
              <w:bottom w:w="100" w:type="dxa"/>
              <w:right w:w="100" w:type="dxa"/>
            </w:tcMar>
            <w:vAlign w:val="center"/>
          </w:tcPr>
          <w:p w14:paraId="2E098F51" w14:textId="77777777" w:rsidR="00913A88" w:rsidRDefault="00913A88" w:rsidP="00E9349A">
            <w:pPr>
              <w:spacing w:before="240" w:after="240" w:line="480" w:lineRule="auto"/>
              <w:rPr>
                <w:sz w:val="20"/>
                <w:szCs w:val="20"/>
              </w:rPr>
            </w:pPr>
            <w:r>
              <w:rPr>
                <w:sz w:val="20"/>
                <w:szCs w:val="20"/>
              </w:rPr>
              <w:t>1064</w:t>
            </w:r>
          </w:p>
        </w:tc>
        <w:tc>
          <w:tcPr>
            <w:tcW w:w="851" w:type="dxa"/>
            <w:tcBorders>
              <w:top w:val="nil"/>
              <w:left w:val="nil"/>
              <w:bottom w:val="single" w:sz="6" w:space="0" w:color="000000"/>
              <w:right w:val="nil"/>
            </w:tcBorders>
            <w:tcMar>
              <w:top w:w="100" w:type="dxa"/>
              <w:left w:w="100" w:type="dxa"/>
              <w:bottom w:w="100" w:type="dxa"/>
              <w:right w:w="100" w:type="dxa"/>
            </w:tcMar>
            <w:vAlign w:val="center"/>
          </w:tcPr>
          <w:p w14:paraId="3FCBF18A" w14:textId="77777777" w:rsidR="00913A88" w:rsidRDefault="00913A88" w:rsidP="00E9349A">
            <w:pPr>
              <w:spacing w:before="240" w:after="240" w:line="480" w:lineRule="auto"/>
              <w:rPr>
                <w:sz w:val="20"/>
                <w:szCs w:val="20"/>
              </w:rPr>
            </w:pPr>
            <w:r>
              <w:rPr>
                <w:sz w:val="20"/>
                <w:szCs w:val="20"/>
              </w:rPr>
              <w:t>1072</w:t>
            </w:r>
          </w:p>
        </w:tc>
        <w:tc>
          <w:tcPr>
            <w:tcW w:w="850" w:type="dxa"/>
            <w:tcBorders>
              <w:top w:val="nil"/>
              <w:left w:val="nil"/>
              <w:bottom w:val="single" w:sz="6" w:space="0" w:color="000000"/>
              <w:right w:val="nil"/>
            </w:tcBorders>
            <w:tcMar>
              <w:top w:w="100" w:type="dxa"/>
              <w:left w:w="100" w:type="dxa"/>
              <w:bottom w:w="100" w:type="dxa"/>
              <w:right w:w="100" w:type="dxa"/>
            </w:tcMar>
            <w:vAlign w:val="center"/>
          </w:tcPr>
          <w:p w14:paraId="0DFE102E" w14:textId="77777777" w:rsidR="00913A88" w:rsidRDefault="00913A88" w:rsidP="00E9349A">
            <w:pPr>
              <w:spacing w:before="240" w:after="240" w:line="480" w:lineRule="auto"/>
              <w:rPr>
                <w:sz w:val="20"/>
                <w:szCs w:val="20"/>
              </w:rPr>
            </w:pPr>
            <w:r>
              <w:rPr>
                <w:sz w:val="20"/>
                <w:szCs w:val="20"/>
              </w:rPr>
              <w:t>1051</w:t>
            </w:r>
          </w:p>
        </w:tc>
        <w:tc>
          <w:tcPr>
            <w:tcW w:w="992" w:type="dxa"/>
            <w:tcBorders>
              <w:top w:val="nil"/>
              <w:left w:val="nil"/>
              <w:bottom w:val="single" w:sz="6" w:space="0" w:color="000000"/>
              <w:right w:val="nil"/>
            </w:tcBorders>
            <w:tcMar>
              <w:top w:w="100" w:type="dxa"/>
              <w:left w:w="100" w:type="dxa"/>
              <w:bottom w:w="100" w:type="dxa"/>
              <w:right w:w="100" w:type="dxa"/>
            </w:tcMar>
            <w:vAlign w:val="center"/>
          </w:tcPr>
          <w:p w14:paraId="66BF6E67" w14:textId="77777777" w:rsidR="00913A88" w:rsidRDefault="00913A88" w:rsidP="00E9349A">
            <w:pPr>
              <w:spacing w:before="240" w:after="240" w:line="480" w:lineRule="auto"/>
              <w:rPr>
                <w:sz w:val="20"/>
                <w:szCs w:val="20"/>
              </w:rPr>
            </w:pPr>
            <w:r>
              <w:rPr>
                <w:sz w:val="20"/>
                <w:szCs w:val="20"/>
              </w:rPr>
              <w:t>1045</w:t>
            </w:r>
          </w:p>
        </w:tc>
        <w:tc>
          <w:tcPr>
            <w:tcW w:w="1276" w:type="dxa"/>
            <w:tcBorders>
              <w:top w:val="nil"/>
              <w:left w:val="nil"/>
              <w:bottom w:val="single" w:sz="6" w:space="0" w:color="000000"/>
              <w:right w:val="nil"/>
            </w:tcBorders>
            <w:tcMar>
              <w:top w:w="100" w:type="dxa"/>
              <w:left w:w="100" w:type="dxa"/>
              <w:bottom w:w="100" w:type="dxa"/>
              <w:right w:w="100" w:type="dxa"/>
            </w:tcMar>
            <w:vAlign w:val="center"/>
          </w:tcPr>
          <w:p w14:paraId="58FB6060" w14:textId="77777777" w:rsidR="00913A88" w:rsidRDefault="00913A88" w:rsidP="00E9349A">
            <w:pPr>
              <w:spacing w:before="240" w:after="240" w:line="480" w:lineRule="auto"/>
              <w:rPr>
                <w:sz w:val="20"/>
                <w:szCs w:val="20"/>
              </w:rPr>
            </w:pPr>
            <w:r>
              <w:rPr>
                <w:sz w:val="20"/>
                <w:szCs w:val="20"/>
              </w:rPr>
              <w:t>1031</w:t>
            </w:r>
          </w:p>
        </w:tc>
        <w:tc>
          <w:tcPr>
            <w:tcW w:w="2075" w:type="dxa"/>
            <w:tcBorders>
              <w:top w:val="nil"/>
              <w:left w:val="nil"/>
              <w:bottom w:val="single" w:sz="6" w:space="0" w:color="000000"/>
              <w:right w:val="nil"/>
            </w:tcBorders>
            <w:tcMar>
              <w:top w:w="100" w:type="dxa"/>
              <w:left w:w="100" w:type="dxa"/>
              <w:bottom w:w="100" w:type="dxa"/>
              <w:right w:w="100" w:type="dxa"/>
            </w:tcMar>
            <w:vAlign w:val="center"/>
          </w:tcPr>
          <w:p w14:paraId="3EAD1F7D" w14:textId="77777777" w:rsidR="00913A88" w:rsidRDefault="00913A88" w:rsidP="00E9349A">
            <w:pPr>
              <w:spacing w:before="240" w:after="240" w:line="480" w:lineRule="auto"/>
              <w:rPr>
                <w:sz w:val="20"/>
                <w:szCs w:val="20"/>
              </w:rPr>
            </w:pPr>
            <w:r>
              <w:rPr>
                <w:sz w:val="20"/>
                <w:szCs w:val="20"/>
              </w:rPr>
              <w:t>1055</w:t>
            </w:r>
          </w:p>
        </w:tc>
      </w:tr>
      <w:tr w:rsidR="00913A88" w14:paraId="4B7ACBEE" w14:textId="77777777" w:rsidTr="00E9349A">
        <w:trPr>
          <w:trHeight w:val="630"/>
          <w:jc w:val="center"/>
        </w:trPr>
        <w:tc>
          <w:tcPr>
            <w:tcW w:w="1701" w:type="dxa"/>
            <w:vMerge/>
            <w:tcBorders>
              <w:top w:val="nil"/>
              <w:left w:val="nil"/>
              <w:bottom w:val="single" w:sz="6" w:space="0" w:color="000000"/>
              <w:right w:val="nil"/>
            </w:tcBorders>
            <w:tcMar>
              <w:top w:w="100" w:type="dxa"/>
              <w:left w:w="100" w:type="dxa"/>
              <w:bottom w:w="100" w:type="dxa"/>
              <w:right w:w="100" w:type="dxa"/>
            </w:tcMar>
            <w:vAlign w:val="center"/>
          </w:tcPr>
          <w:p w14:paraId="49A98183" w14:textId="77777777" w:rsidR="00913A88" w:rsidRDefault="00913A88" w:rsidP="00E9349A">
            <w:pPr>
              <w:spacing w:line="480" w:lineRule="auto"/>
            </w:pPr>
          </w:p>
        </w:tc>
        <w:tc>
          <w:tcPr>
            <w:tcW w:w="1560" w:type="dxa"/>
            <w:tcBorders>
              <w:top w:val="nil"/>
              <w:left w:val="nil"/>
              <w:bottom w:val="single" w:sz="6" w:space="0" w:color="000000"/>
              <w:right w:val="nil"/>
            </w:tcBorders>
            <w:tcMar>
              <w:top w:w="100" w:type="dxa"/>
              <w:left w:w="100" w:type="dxa"/>
              <w:bottom w:w="100" w:type="dxa"/>
              <w:right w:w="100" w:type="dxa"/>
            </w:tcMar>
            <w:vAlign w:val="center"/>
          </w:tcPr>
          <w:p w14:paraId="06DA5AAE" w14:textId="77777777" w:rsidR="00913A88" w:rsidRDefault="00913A88" w:rsidP="00E9349A">
            <w:pPr>
              <w:spacing w:after="160" w:line="480" w:lineRule="auto"/>
              <w:rPr>
                <w:sz w:val="20"/>
                <w:szCs w:val="20"/>
              </w:rPr>
            </w:pPr>
            <w:r>
              <w:rPr>
                <w:sz w:val="20"/>
                <w:szCs w:val="20"/>
              </w:rPr>
              <w:t>Referral</w:t>
            </w:r>
          </w:p>
        </w:tc>
        <w:tc>
          <w:tcPr>
            <w:tcW w:w="850" w:type="dxa"/>
            <w:tcBorders>
              <w:top w:val="nil"/>
              <w:left w:val="nil"/>
              <w:bottom w:val="single" w:sz="6" w:space="0" w:color="000000"/>
              <w:right w:val="nil"/>
            </w:tcBorders>
            <w:tcMar>
              <w:top w:w="100" w:type="dxa"/>
              <w:left w:w="100" w:type="dxa"/>
              <w:bottom w:w="100" w:type="dxa"/>
              <w:right w:w="100" w:type="dxa"/>
            </w:tcMar>
            <w:vAlign w:val="center"/>
          </w:tcPr>
          <w:p w14:paraId="01D581C2" w14:textId="77777777" w:rsidR="00913A88" w:rsidRDefault="00913A88" w:rsidP="00E9349A">
            <w:pPr>
              <w:spacing w:before="240" w:after="240" w:line="480" w:lineRule="auto"/>
              <w:rPr>
                <w:sz w:val="20"/>
                <w:szCs w:val="20"/>
              </w:rPr>
            </w:pPr>
            <w:r>
              <w:rPr>
                <w:sz w:val="20"/>
                <w:szCs w:val="20"/>
              </w:rPr>
              <w:t>46</w:t>
            </w:r>
          </w:p>
        </w:tc>
        <w:tc>
          <w:tcPr>
            <w:tcW w:w="851" w:type="dxa"/>
            <w:tcBorders>
              <w:top w:val="nil"/>
              <w:left w:val="nil"/>
              <w:bottom w:val="single" w:sz="6" w:space="0" w:color="000000"/>
              <w:right w:val="nil"/>
            </w:tcBorders>
            <w:tcMar>
              <w:top w:w="100" w:type="dxa"/>
              <w:left w:w="100" w:type="dxa"/>
              <w:bottom w:w="100" w:type="dxa"/>
              <w:right w:w="100" w:type="dxa"/>
            </w:tcMar>
            <w:vAlign w:val="center"/>
          </w:tcPr>
          <w:p w14:paraId="76DF99F5" w14:textId="77777777" w:rsidR="00913A88" w:rsidRDefault="00913A88" w:rsidP="00E9349A">
            <w:pPr>
              <w:spacing w:before="240" w:after="240" w:line="480" w:lineRule="auto"/>
              <w:rPr>
                <w:sz w:val="20"/>
                <w:szCs w:val="20"/>
              </w:rPr>
            </w:pPr>
            <w:r>
              <w:rPr>
                <w:sz w:val="20"/>
                <w:szCs w:val="20"/>
              </w:rPr>
              <w:t>38</w:t>
            </w:r>
          </w:p>
        </w:tc>
        <w:tc>
          <w:tcPr>
            <w:tcW w:w="850" w:type="dxa"/>
            <w:tcBorders>
              <w:top w:val="nil"/>
              <w:left w:val="nil"/>
              <w:bottom w:val="single" w:sz="6" w:space="0" w:color="000000"/>
              <w:right w:val="nil"/>
            </w:tcBorders>
            <w:tcMar>
              <w:top w:w="100" w:type="dxa"/>
              <w:left w:w="100" w:type="dxa"/>
              <w:bottom w:w="100" w:type="dxa"/>
              <w:right w:w="100" w:type="dxa"/>
            </w:tcMar>
            <w:vAlign w:val="center"/>
          </w:tcPr>
          <w:p w14:paraId="7B224BD5" w14:textId="77777777" w:rsidR="00913A88" w:rsidRDefault="00913A88" w:rsidP="00E9349A">
            <w:pPr>
              <w:spacing w:before="240" w:after="240" w:line="480" w:lineRule="auto"/>
              <w:rPr>
                <w:sz w:val="20"/>
                <w:szCs w:val="20"/>
              </w:rPr>
            </w:pPr>
            <w:r>
              <w:rPr>
                <w:sz w:val="20"/>
                <w:szCs w:val="20"/>
              </w:rPr>
              <w:t>59</w:t>
            </w:r>
          </w:p>
        </w:tc>
        <w:tc>
          <w:tcPr>
            <w:tcW w:w="992" w:type="dxa"/>
            <w:tcBorders>
              <w:top w:val="nil"/>
              <w:left w:val="nil"/>
              <w:bottom w:val="single" w:sz="6" w:space="0" w:color="000000"/>
              <w:right w:val="nil"/>
            </w:tcBorders>
            <w:tcMar>
              <w:top w:w="100" w:type="dxa"/>
              <w:left w:w="100" w:type="dxa"/>
              <w:bottom w:w="100" w:type="dxa"/>
              <w:right w:w="100" w:type="dxa"/>
            </w:tcMar>
            <w:vAlign w:val="center"/>
          </w:tcPr>
          <w:p w14:paraId="6DC4167F" w14:textId="77777777" w:rsidR="00913A88" w:rsidRDefault="00913A88" w:rsidP="00E9349A">
            <w:pPr>
              <w:spacing w:before="240" w:after="240" w:line="480" w:lineRule="auto"/>
              <w:rPr>
                <w:sz w:val="20"/>
                <w:szCs w:val="20"/>
              </w:rPr>
            </w:pPr>
            <w:r>
              <w:rPr>
                <w:sz w:val="20"/>
                <w:szCs w:val="20"/>
              </w:rPr>
              <w:t>65</w:t>
            </w:r>
          </w:p>
        </w:tc>
        <w:tc>
          <w:tcPr>
            <w:tcW w:w="1276" w:type="dxa"/>
            <w:tcBorders>
              <w:top w:val="nil"/>
              <w:left w:val="nil"/>
              <w:bottom w:val="single" w:sz="6" w:space="0" w:color="000000"/>
              <w:right w:val="nil"/>
            </w:tcBorders>
            <w:tcMar>
              <w:top w:w="100" w:type="dxa"/>
              <w:left w:w="100" w:type="dxa"/>
              <w:bottom w:w="100" w:type="dxa"/>
              <w:right w:w="100" w:type="dxa"/>
            </w:tcMar>
            <w:vAlign w:val="center"/>
          </w:tcPr>
          <w:p w14:paraId="16A00A8A" w14:textId="77777777" w:rsidR="00913A88" w:rsidRDefault="00913A88" w:rsidP="00E9349A">
            <w:pPr>
              <w:spacing w:before="240" w:after="240" w:line="480" w:lineRule="auto"/>
              <w:rPr>
                <w:sz w:val="20"/>
                <w:szCs w:val="20"/>
              </w:rPr>
            </w:pPr>
            <w:r>
              <w:rPr>
                <w:sz w:val="20"/>
                <w:szCs w:val="20"/>
              </w:rPr>
              <w:t>79</w:t>
            </w:r>
          </w:p>
        </w:tc>
        <w:tc>
          <w:tcPr>
            <w:tcW w:w="2075" w:type="dxa"/>
            <w:tcBorders>
              <w:top w:val="nil"/>
              <w:left w:val="nil"/>
              <w:bottom w:val="single" w:sz="6" w:space="0" w:color="000000"/>
              <w:right w:val="nil"/>
            </w:tcBorders>
            <w:tcMar>
              <w:top w:w="100" w:type="dxa"/>
              <w:left w:w="100" w:type="dxa"/>
              <w:bottom w:w="100" w:type="dxa"/>
              <w:right w:w="100" w:type="dxa"/>
            </w:tcMar>
            <w:vAlign w:val="center"/>
          </w:tcPr>
          <w:p w14:paraId="14C1021D" w14:textId="77777777" w:rsidR="00913A88" w:rsidRDefault="00913A88" w:rsidP="00E9349A">
            <w:pPr>
              <w:spacing w:before="240" w:after="240" w:line="480" w:lineRule="auto"/>
              <w:rPr>
                <w:sz w:val="20"/>
                <w:szCs w:val="20"/>
              </w:rPr>
            </w:pPr>
            <w:r>
              <w:rPr>
                <w:sz w:val="20"/>
                <w:szCs w:val="20"/>
              </w:rPr>
              <w:t>55</w:t>
            </w:r>
          </w:p>
        </w:tc>
      </w:tr>
      <w:tr w:rsidR="00913A88" w14:paraId="2B93D28E" w14:textId="77777777" w:rsidTr="00E9349A">
        <w:trPr>
          <w:trHeight w:val="630"/>
          <w:jc w:val="center"/>
        </w:trPr>
        <w:tc>
          <w:tcPr>
            <w:tcW w:w="1701" w:type="dxa"/>
            <w:vMerge/>
            <w:tcBorders>
              <w:top w:val="nil"/>
              <w:left w:val="nil"/>
              <w:bottom w:val="single" w:sz="6" w:space="0" w:color="000000"/>
              <w:right w:val="nil"/>
            </w:tcBorders>
            <w:tcMar>
              <w:top w:w="100" w:type="dxa"/>
              <w:left w:w="100" w:type="dxa"/>
              <w:bottom w:w="100" w:type="dxa"/>
              <w:right w:w="100" w:type="dxa"/>
            </w:tcMar>
            <w:vAlign w:val="center"/>
          </w:tcPr>
          <w:p w14:paraId="40EE488C" w14:textId="77777777" w:rsidR="00913A88" w:rsidRDefault="00913A88" w:rsidP="00E9349A">
            <w:pPr>
              <w:spacing w:line="480" w:lineRule="auto"/>
            </w:pPr>
          </w:p>
        </w:tc>
        <w:tc>
          <w:tcPr>
            <w:tcW w:w="1560" w:type="dxa"/>
            <w:tcBorders>
              <w:top w:val="nil"/>
              <w:left w:val="nil"/>
              <w:bottom w:val="single" w:sz="6" w:space="0" w:color="000000"/>
              <w:right w:val="nil"/>
            </w:tcBorders>
            <w:tcMar>
              <w:top w:w="100" w:type="dxa"/>
              <w:left w:w="100" w:type="dxa"/>
              <w:bottom w:w="100" w:type="dxa"/>
              <w:right w:w="100" w:type="dxa"/>
            </w:tcMar>
            <w:vAlign w:val="center"/>
          </w:tcPr>
          <w:p w14:paraId="1061E998" w14:textId="77777777" w:rsidR="00913A88" w:rsidRDefault="00913A88" w:rsidP="00E9349A">
            <w:pPr>
              <w:spacing w:before="240" w:after="240" w:line="480" w:lineRule="auto"/>
              <w:rPr>
                <w:sz w:val="20"/>
                <w:szCs w:val="20"/>
              </w:rPr>
            </w:pPr>
            <w:r>
              <w:rPr>
                <w:sz w:val="20"/>
                <w:szCs w:val="20"/>
              </w:rPr>
              <w:t>Cohen’s kappa</w:t>
            </w:r>
          </w:p>
        </w:tc>
        <w:tc>
          <w:tcPr>
            <w:tcW w:w="850" w:type="dxa"/>
            <w:tcBorders>
              <w:top w:val="nil"/>
              <w:left w:val="nil"/>
              <w:bottom w:val="single" w:sz="6" w:space="0" w:color="000000"/>
              <w:right w:val="nil"/>
            </w:tcBorders>
            <w:tcMar>
              <w:top w:w="100" w:type="dxa"/>
              <w:left w:w="100" w:type="dxa"/>
              <w:bottom w:w="100" w:type="dxa"/>
              <w:right w:w="100" w:type="dxa"/>
            </w:tcMar>
            <w:vAlign w:val="center"/>
          </w:tcPr>
          <w:p w14:paraId="174B31AE" w14:textId="77777777" w:rsidR="00913A88" w:rsidRDefault="00913A88" w:rsidP="00E9349A">
            <w:pPr>
              <w:spacing w:before="240" w:after="240" w:line="480" w:lineRule="auto"/>
              <w:rPr>
                <w:sz w:val="20"/>
                <w:szCs w:val="20"/>
              </w:rPr>
            </w:pPr>
            <w:r>
              <w:rPr>
                <w:sz w:val="20"/>
                <w:szCs w:val="20"/>
              </w:rPr>
              <w:t>0.762</w:t>
            </w:r>
          </w:p>
        </w:tc>
        <w:tc>
          <w:tcPr>
            <w:tcW w:w="851" w:type="dxa"/>
            <w:tcBorders>
              <w:top w:val="nil"/>
              <w:left w:val="nil"/>
              <w:bottom w:val="single" w:sz="6" w:space="0" w:color="000000"/>
              <w:right w:val="nil"/>
            </w:tcBorders>
            <w:tcMar>
              <w:top w:w="100" w:type="dxa"/>
              <w:left w:w="100" w:type="dxa"/>
              <w:bottom w:w="100" w:type="dxa"/>
              <w:right w:w="100" w:type="dxa"/>
            </w:tcMar>
            <w:vAlign w:val="center"/>
          </w:tcPr>
          <w:p w14:paraId="3ABDA24C" w14:textId="77777777" w:rsidR="00913A88" w:rsidRDefault="00913A88" w:rsidP="00E9349A">
            <w:pPr>
              <w:spacing w:before="240" w:after="240" w:line="480" w:lineRule="auto"/>
              <w:rPr>
                <w:sz w:val="20"/>
                <w:szCs w:val="20"/>
              </w:rPr>
            </w:pPr>
            <w:r>
              <w:rPr>
                <w:sz w:val="20"/>
                <w:szCs w:val="20"/>
              </w:rPr>
              <w:t>0.742</w:t>
            </w:r>
          </w:p>
        </w:tc>
        <w:tc>
          <w:tcPr>
            <w:tcW w:w="850" w:type="dxa"/>
            <w:tcBorders>
              <w:top w:val="nil"/>
              <w:left w:val="nil"/>
              <w:bottom w:val="single" w:sz="6" w:space="0" w:color="000000"/>
              <w:right w:val="nil"/>
            </w:tcBorders>
            <w:tcMar>
              <w:top w:w="100" w:type="dxa"/>
              <w:left w:w="100" w:type="dxa"/>
              <w:bottom w:w="100" w:type="dxa"/>
              <w:right w:w="100" w:type="dxa"/>
            </w:tcMar>
            <w:vAlign w:val="center"/>
          </w:tcPr>
          <w:p w14:paraId="18081F65" w14:textId="77777777" w:rsidR="00913A88" w:rsidRDefault="00913A88" w:rsidP="00E9349A">
            <w:pPr>
              <w:spacing w:before="240" w:after="240" w:line="480" w:lineRule="auto"/>
              <w:rPr>
                <w:sz w:val="20"/>
                <w:szCs w:val="20"/>
              </w:rPr>
            </w:pPr>
            <w:r>
              <w:rPr>
                <w:sz w:val="20"/>
                <w:szCs w:val="20"/>
              </w:rPr>
              <w:t>0.778</w:t>
            </w:r>
          </w:p>
        </w:tc>
        <w:tc>
          <w:tcPr>
            <w:tcW w:w="992" w:type="dxa"/>
            <w:tcBorders>
              <w:top w:val="nil"/>
              <w:left w:val="nil"/>
              <w:bottom w:val="single" w:sz="6" w:space="0" w:color="000000"/>
              <w:right w:val="nil"/>
            </w:tcBorders>
            <w:tcMar>
              <w:top w:w="100" w:type="dxa"/>
              <w:left w:w="100" w:type="dxa"/>
              <w:bottom w:w="100" w:type="dxa"/>
              <w:right w:w="100" w:type="dxa"/>
            </w:tcMar>
            <w:vAlign w:val="center"/>
          </w:tcPr>
          <w:p w14:paraId="0AA91ABF" w14:textId="77777777" w:rsidR="00913A88" w:rsidRDefault="00913A88" w:rsidP="00E9349A">
            <w:pPr>
              <w:spacing w:before="240" w:after="240" w:line="480" w:lineRule="auto"/>
              <w:rPr>
                <w:sz w:val="20"/>
                <w:szCs w:val="20"/>
              </w:rPr>
            </w:pPr>
            <w:r>
              <w:rPr>
                <w:sz w:val="20"/>
                <w:szCs w:val="20"/>
              </w:rPr>
              <w:t>0.859</w:t>
            </w:r>
          </w:p>
        </w:tc>
        <w:tc>
          <w:tcPr>
            <w:tcW w:w="1276" w:type="dxa"/>
            <w:tcBorders>
              <w:top w:val="nil"/>
              <w:left w:val="nil"/>
              <w:bottom w:val="single" w:sz="6" w:space="0" w:color="000000"/>
              <w:right w:val="nil"/>
            </w:tcBorders>
            <w:tcMar>
              <w:top w:w="100" w:type="dxa"/>
              <w:left w:w="100" w:type="dxa"/>
              <w:bottom w:w="100" w:type="dxa"/>
              <w:right w:w="100" w:type="dxa"/>
            </w:tcMar>
            <w:vAlign w:val="center"/>
          </w:tcPr>
          <w:p w14:paraId="1473B594" w14:textId="77777777" w:rsidR="00913A88" w:rsidRDefault="00913A88" w:rsidP="00E9349A">
            <w:pPr>
              <w:spacing w:before="240" w:after="240" w:line="480" w:lineRule="auto"/>
              <w:rPr>
                <w:sz w:val="20"/>
                <w:szCs w:val="20"/>
              </w:rPr>
            </w:pPr>
            <w:r>
              <w:rPr>
                <w:sz w:val="20"/>
                <w:szCs w:val="20"/>
              </w:rPr>
              <w:t>0.794</w:t>
            </w:r>
          </w:p>
        </w:tc>
        <w:tc>
          <w:tcPr>
            <w:tcW w:w="2075" w:type="dxa"/>
            <w:tcBorders>
              <w:top w:val="nil"/>
              <w:left w:val="nil"/>
              <w:bottom w:val="single" w:sz="6" w:space="0" w:color="000000"/>
              <w:right w:val="nil"/>
            </w:tcBorders>
            <w:tcMar>
              <w:top w:w="100" w:type="dxa"/>
              <w:left w:w="100" w:type="dxa"/>
              <w:bottom w:w="100" w:type="dxa"/>
              <w:right w:w="100" w:type="dxa"/>
            </w:tcMar>
            <w:vAlign w:val="center"/>
          </w:tcPr>
          <w:p w14:paraId="3609BE57" w14:textId="77777777" w:rsidR="00913A88" w:rsidRDefault="00913A88" w:rsidP="00E9349A">
            <w:pPr>
              <w:spacing w:line="480" w:lineRule="auto"/>
              <w:rPr>
                <w:sz w:val="20"/>
                <w:szCs w:val="20"/>
              </w:rPr>
            </w:pPr>
          </w:p>
          <w:p w14:paraId="2ED7E5B3" w14:textId="77777777" w:rsidR="00913A88" w:rsidRDefault="00913A88" w:rsidP="00E9349A">
            <w:pPr>
              <w:spacing w:line="480" w:lineRule="auto"/>
              <w:rPr>
                <w:sz w:val="20"/>
                <w:szCs w:val="20"/>
              </w:rPr>
            </w:pPr>
            <w:r>
              <w:rPr>
                <w:sz w:val="20"/>
                <w:szCs w:val="20"/>
              </w:rPr>
              <w:t>—</w:t>
            </w:r>
          </w:p>
        </w:tc>
      </w:tr>
      <w:tr w:rsidR="00913A88" w14:paraId="666984F6" w14:textId="77777777" w:rsidTr="00E9349A">
        <w:trPr>
          <w:trHeight w:val="630"/>
          <w:jc w:val="center"/>
        </w:trPr>
        <w:tc>
          <w:tcPr>
            <w:tcW w:w="1701" w:type="dxa"/>
            <w:vMerge/>
            <w:tcBorders>
              <w:top w:val="nil"/>
              <w:left w:val="nil"/>
              <w:bottom w:val="single" w:sz="6" w:space="0" w:color="000000"/>
              <w:right w:val="nil"/>
            </w:tcBorders>
            <w:tcMar>
              <w:top w:w="100" w:type="dxa"/>
              <w:left w:w="100" w:type="dxa"/>
              <w:bottom w:w="100" w:type="dxa"/>
              <w:right w:w="100" w:type="dxa"/>
            </w:tcMar>
            <w:vAlign w:val="center"/>
          </w:tcPr>
          <w:p w14:paraId="610152D9" w14:textId="77777777" w:rsidR="00913A88" w:rsidRDefault="00913A88" w:rsidP="00E9349A">
            <w:pPr>
              <w:spacing w:line="480" w:lineRule="auto"/>
            </w:pPr>
          </w:p>
        </w:tc>
        <w:tc>
          <w:tcPr>
            <w:tcW w:w="1560" w:type="dxa"/>
            <w:tcBorders>
              <w:top w:val="nil"/>
              <w:left w:val="nil"/>
              <w:bottom w:val="single" w:sz="6" w:space="0" w:color="000000"/>
              <w:right w:val="nil"/>
            </w:tcBorders>
            <w:tcMar>
              <w:top w:w="100" w:type="dxa"/>
              <w:left w:w="100" w:type="dxa"/>
              <w:bottom w:w="100" w:type="dxa"/>
              <w:right w:w="100" w:type="dxa"/>
            </w:tcMar>
            <w:vAlign w:val="center"/>
          </w:tcPr>
          <w:p w14:paraId="0AD430B1" w14:textId="77777777" w:rsidR="00913A88" w:rsidRDefault="00913A88" w:rsidP="00E9349A">
            <w:pPr>
              <w:spacing w:after="160" w:line="480" w:lineRule="auto"/>
              <w:rPr>
                <w:sz w:val="20"/>
                <w:szCs w:val="20"/>
              </w:rPr>
            </w:pPr>
            <w:r>
              <w:rPr>
                <w:sz w:val="20"/>
                <w:szCs w:val="20"/>
              </w:rPr>
              <w:t>Gwet's AC1</w:t>
            </w:r>
          </w:p>
        </w:tc>
        <w:tc>
          <w:tcPr>
            <w:tcW w:w="850" w:type="dxa"/>
            <w:tcBorders>
              <w:top w:val="nil"/>
              <w:left w:val="nil"/>
              <w:bottom w:val="single" w:sz="6" w:space="0" w:color="000000"/>
              <w:right w:val="nil"/>
            </w:tcBorders>
            <w:tcMar>
              <w:top w:w="100" w:type="dxa"/>
              <w:left w:w="100" w:type="dxa"/>
              <w:bottom w:w="100" w:type="dxa"/>
              <w:right w:w="100" w:type="dxa"/>
            </w:tcMar>
            <w:vAlign w:val="center"/>
          </w:tcPr>
          <w:p w14:paraId="095CB252" w14:textId="77777777" w:rsidR="00913A88" w:rsidRDefault="00913A88" w:rsidP="00E9349A">
            <w:pPr>
              <w:spacing w:before="240" w:after="240" w:line="480" w:lineRule="auto"/>
              <w:rPr>
                <w:sz w:val="20"/>
                <w:szCs w:val="20"/>
              </w:rPr>
            </w:pPr>
            <w:r>
              <w:rPr>
                <w:sz w:val="20"/>
                <w:szCs w:val="20"/>
              </w:rPr>
              <w:t>0.977</w:t>
            </w:r>
          </w:p>
        </w:tc>
        <w:tc>
          <w:tcPr>
            <w:tcW w:w="851" w:type="dxa"/>
            <w:tcBorders>
              <w:top w:val="nil"/>
              <w:left w:val="nil"/>
              <w:bottom w:val="single" w:sz="6" w:space="0" w:color="000000"/>
              <w:right w:val="nil"/>
            </w:tcBorders>
            <w:tcMar>
              <w:top w:w="100" w:type="dxa"/>
              <w:left w:w="100" w:type="dxa"/>
              <w:bottom w:w="100" w:type="dxa"/>
              <w:right w:w="100" w:type="dxa"/>
            </w:tcMar>
            <w:vAlign w:val="center"/>
          </w:tcPr>
          <w:p w14:paraId="4431BA39" w14:textId="77777777" w:rsidR="00913A88" w:rsidRDefault="00913A88" w:rsidP="00E9349A">
            <w:pPr>
              <w:spacing w:before="240" w:after="240" w:line="480" w:lineRule="auto"/>
              <w:rPr>
                <w:sz w:val="20"/>
                <w:szCs w:val="20"/>
              </w:rPr>
            </w:pPr>
            <w:r>
              <w:rPr>
                <w:sz w:val="20"/>
                <w:szCs w:val="20"/>
              </w:rPr>
              <w:t>0.977</w:t>
            </w:r>
          </w:p>
        </w:tc>
        <w:tc>
          <w:tcPr>
            <w:tcW w:w="850" w:type="dxa"/>
            <w:tcBorders>
              <w:top w:val="nil"/>
              <w:left w:val="nil"/>
              <w:bottom w:val="single" w:sz="6" w:space="0" w:color="000000"/>
              <w:right w:val="nil"/>
            </w:tcBorders>
            <w:tcMar>
              <w:top w:w="100" w:type="dxa"/>
              <w:left w:w="100" w:type="dxa"/>
              <w:bottom w:w="100" w:type="dxa"/>
              <w:right w:w="100" w:type="dxa"/>
            </w:tcMar>
            <w:vAlign w:val="center"/>
          </w:tcPr>
          <w:p w14:paraId="42C1ECA8" w14:textId="77777777" w:rsidR="00913A88" w:rsidRDefault="00913A88" w:rsidP="00E9349A">
            <w:pPr>
              <w:spacing w:before="240" w:after="240" w:line="480" w:lineRule="auto"/>
              <w:rPr>
                <w:sz w:val="20"/>
                <w:szCs w:val="20"/>
              </w:rPr>
            </w:pPr>
            <w:r>
              <w:rPr>
                <w:sz w:val="20"/>
                <w:szCs w:val="20"/>
              </w:rPr>
              <w:t>0.976</w:t>
            </w:r>
          </w:p>
        </w:tc>
        <w:tc>
          <w:tcPr>
            <w:tcW w:w="992" w:type="dxa"/>
            <w:tcBorders>
              <w:top w:val="nil"/>
              <w:left w:val="nil"/>
              <w:bottom w:val="single" w:sz="6" w:space="0" w:color="000000"/>
              <w:right w:val="nil"/>
            </w:tcBorders>
            <w:tcMar>
              <w:top w:w="100" w:type="dxa"/>
              <w:left w:w="100" w:type="dxa"/>
              <w:bottom w:w="100" w:type="dxa"/>
              <w:right w:w="100" w:type="dxa"/>
            </w:tcMar>
            <w:vAlign w:val="center"/>
          </w:tcPr>
          <w:p w14:paraId="24A0BB9B" w14:textId="77777777" w:rsidR="00913A88" w:rsidRDefault="00913A88" w:rsidP="00E9349A">
            <w:pPr>
              <w:spacing w:before="240" w:after="240" w:line="480" w:lineRule="auto"/>
              <w:rPr>
                <w:sz w:val="20"/>
                <w:szCs w:val="20"/>
              </w:rPr>
            </w:pPr>
            <w:r>
              <w:rPr>
                <w:sz w:val="20"/>
                <w:szCs w:val="20"/>
              </w:rPr>
              <w:t>0.984</w:t>
            </w:r>
          </w:p>
        </w:tc>
        <w:tc>
          <w:tcPr>
            <w:tcW w:w="1276" w:type="dxa"/>
            <w:tcBorders>
              <w:top w:val="nil"/>
              <w:left w:val="nil"/>
              <w:bottom w:val="single" w:sz="6" w:space="0" w:color="000000"/>
              <w:right w:val="nil"/>
            </w:tcBorders>
            <w:tcMar>
              <w:top w:w="100" w:type="dxa"/>
              <w:left w:w="100" w:type="dxa"/>
              <w:bottom w:w="100" w:type="dxa"/>
              <w:right w:w="100" w:type="dxa"/>
            </w:tcMar>
            <w:vAlign w:val="center"/>
          </w:tcPr>
          <w:p w14:paraId="4549E33A" w14:textId="77777777" w:rsidR="00913A88" w:rsidRDefault="00913A88" w:rsidP="00E9349A">
            <w:pPr>
              <w:spacing w:before="240" w:after="240" w:line="480" w:lineRule="auto"/>
              <w:rPr>
                <w:sz w:val="20"/>
                <w:szCs w:val="20"/>
              </w:rPr>
            </w:pPr>
            <w:r>
              <w:rPr>
                <w:sz w:val="20"/>
                <w:szCs w:val="20"/>
              </w:rPr>
              <w:t>0.974</w:t>
            </w:r>
          </w:p>
        </w:tc>
        <w:tc>
          <w:tcPr>
            <w:tcW w:w="2075" w:type="dxa"/>
            <w:tcBorders>
              <w:top w:val="nil"/>
              <w:left w:val="nil"/>
              <w:bottom w:val="single" w:sz="6" w:space="0" w:color="000000"/>
              <w:right w:val="nil"/>
            </w:tcBorders>
            <w:tcMar>
              <w:top w:w="100" w:type="dxa"/>
              <w:left w:w="100" w:type="dxa"/>
              <w:bottom w:w="100" w:type="dxa"/>
              <w:right w:w="100" w:type="dxa"/>
            </w:tcMar>
            <w:vAlign w:val="center"/>
          </w:tcPr>
          <w:p w14:paraId="3E9F1192" w14:textId="77777777" w:rsidR="00913A88" w:rsidRDefault="00913A88" w:rsidP="00E9349A">
            <w:pPr>
              <w:spacing w:line="480" w:lineRule="auto"/>
              <w:rPr>
                <w:sz w:val="20"/>
                <w:szCs w:val="20"/>
              </w:rPr>
            </w:pPr>
          </w:p>
          <w:p w14:paraId="7771DE49" w14:textId="77777777" w:rsidR="00913A88" w:rsidRDefault="00913A88" w:rsidP="00E9349A">
            <w:pPr>
              <w:spacing w:line="480" w:lineRule="auto"/>
              <w:rPr>
                <w:sz w:val="20"/>
                <w:szCs w:val="20"/>
              </w:rPr>
            </w:pPr>
            <w:r>
              <w:rPr>
                <w:sz w:val="20"/>
                <w:szCs w:val="20"/>
              </w:rPr>
              <w:t>—</w:t>
            </w:r>
          </w:p>
        </w:tc>
      </w:tr>
    </w:tbl>
    <w:p w14:paraId="791EC787" w14:textId="77777777" w:rsidR="00913A88" w:rsidRPr="009B2CDB" w:rsidRDefault="00913A88" w:rsidP="00913A88">
      <w:pPr>
        <w:spacing w:before="240" w:after="240" w:line="480" w:lineRule="auto"/>
        <w:rPr>
          <w:lang w:val="en-US"/>
        </w:rPr>
      </w:pPr>
      <w:r>
        <w:t>Counts of non-referral and referral cases annotated by each of five ophthalmologists (A1–A5) and the corresponding Adjudicated label are shown for the HMADR_Clinic and HMADR_Screening datasets. For each annotator, agreement with the adjudicated label is summarised using Cohen’s kappa and Gwet's AC1 coefficient.</w:t>
      </w:r>
    </w:p>
    <w:p w14:paraId="02E85251" w14:textId="44EEC25A" w:rsidR="00377C00" w:rsidRPr="00913A88" w:rsidRDefault="00377C00" w:rsidP="00913A88">
      <w:pPr>
        <w:rPr>
          <w:lang w:val="en-US"/>
        </w:rPr>
      </w:pPr>
    </w:p>
    <w:sectPr w:rsidR="00377C00" w:rsidRPr="00913A88">
      <w:headerReference w:type="even" r:id="rId17"/>
      <w:headerReference w:type="default" r:id="rId18"/>
      <w:footerReference w:type="even" r:id="rId19"/>
      <w:footerReference w:type="default" r:id="rId20"/>
      <w:headerReference w:type="first" r:id="rId21"/>
      <w:footerReference w:type="first" r:id="rId22"/>
      <w:pgSz w:w="11906" w:h="16838"/>
      <w:pgMar w:top="873" w:right="873" w:bottom="873" w:left="873" w:header="720" w:footer="566"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AC00934" w14:textId="77777777" w:rsidR="00A41E17" w:rsidRDefault="00A41E17">
      <w:pPr>
        <w:spacing w:line="240" w:lineRule="auto"/>
      </w:pPr>
      <w:r>
        <w:separator/>
      </w:r>
    </w:p>
  </w:endnote>
  <w:endnote w:type="continuationSeparator" w:id="0">
    <w:p w14:paraId="325DC63C" w14:textId="77777777" w:rsidR="00A41E17" w:rsidRDefault="00A41E1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embedRegular r:id="rId1" w:fontKey="{BE6D7984-1495-B448-80C3-1F93BBA9665E}"/>
    <w:embedBold r:id="rId2" w:fontKey="{9739793C-9DBC-D841-9B52-D2708F669DDE}"/>
  </w:font>
  <w:font w:name="Arial">
    <w:panose1 w:val="020B0604020202020204"/>
    <w:charset w:val="00"/>
    <w:family w:val="swiss"/>
    <w:pitch w:val="variable"/>
    <w:sig w:usb0="E0002AFF" w:usb1="C0007843" w:usb2="00000009" w:usb3="00000000" w:csb0="000001FF" w:csb1="00000000"/>
    <w:embedRegular r:id="rId3" w:fontKey="{8D0355BA-AA62-084E-AA6C-F25C7EA25745}"/>
    <w:embedBold r:id="rId4" w:fontKey="{F753B659-6138-4649-87EA-512D57F36358}"/>
    <w:embedItalic r:id="rId5" w:fontKey="{52BAED3E-09F6-9243-A913-B98F13B17D5C}"/>
  </w:font>
  <w:font w:name="맑은 고딕">
    <w:panose1 w:val="020B0503020000020004"/>
    <w:charset w:val="81"/>
    <w:family w:val="swiss"/>
    <w:pitch w:val="variable"/>
    <w:sig w:usb0="9000002F" w:usb1="29D77CFB" w:usb2="00000012" w:usb3="00000000" w:csb0="00080001" w:csb1="00000000"/>
  </w:font>
  <w:font w:name="굴림">
    <w:altName w:val="Gulim"/>
    <w:panose1 w:val="020B0600000101010101"/>
    <w:charset w:val="81"/>
    <w:family w:val="swiss"/>
    <w:pitch w:val="variable"/>
    <w:sig w:usb0="B00002AF" w:usb1="69D77CFB" w:usb2="00000030" w:usb3="00000000" w:csb0="0008009F" w:csb1="00000000"/>
  </w:font>
  <w:font w:name="Calibri">
    <w:panose1 w:val="020F0502020204030204"/>
    <w:charset w:val="00"/>
    <w:family w:val="swiss"/>
    <w:pitch w:val="variable"/>
    <w:sig w:usb0="E0002AFF" w:usb1="C000247B" w:usb2="00000009" w:usb3="00000000" w:csb0="000001FF" w:csb1="00000000"/>
    <w:embedRegular r:id="rId6" w:fontKey="{EBD2BACD-D596-5844-84EF-8C4CE75C2450}"/>
  </w:font>
  <w:font w:name="Cambria">
    <w:panose1 w:val="02040503050406030204"/>
    <w:charset w:val="00"/>
    <w:family w:val="roman"/>
    <w:pitch w:val="variable"/>
    <w:sig w:usb0="E00002FF" w:usb1="400004FF" w:usb2="00000000" w:usb3="00000000" w:csb0="0000019F" w:csb1="00000000"/>
    <w:embedRegular r:id="rId7" w:fontKey="{D57039B4-A1A9-A942-A860-9C738D8F2987}"/>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3B2DCF" w14:textId="77777777" w:rsidR="00CE7D38" w:rsidRDefault="00CE7D38">
    <w:pPr>
      <w:pStyle w:val="a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DD577A" w14:textId="77777777" w:rsidR="00377C00" w:rsidRDefault="00B74FA8">
    <w:pPr>
      <w:jc w:val="right"/>
    </w:pPr>
    <w:r>
      <w:fldChar w:fldCharType="begin"/>
    </w:r>
    <w:r>
      <w:instrText>PAGE</w:instrText>
    </w:r>
    <w:r>
      <w:fldChar w:fldCharType="separate"/>
    </w:r>
    <w:r w:rsidR="006B0CF0">
      <w:rPr>
        <w:noProof/>
      </w:rPr>
      <w:t>1</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2F7BAC" w14:textId="77777777" w:rsidR="00CE7D38" w:rsidRDefault="00CE7D38">
    <w:pPr>
      <w:pStyle w:val="a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0D9D577" w14:textId="77777777" w:rsidR="00A41E17" w:rsidRDefault="00A41E17">
      <w:pPr>
        <w:spacing w:line="240" w:lineRule="auto"/>
      </w:pPr>
      <w:r>
        <w:separator/>
      </w:r>
    </w:p>
  </w:footnote>
  <w:footnote w:type="continuationSeparator" w:id="0">
    <w:p w14:paraId="06007332" w14:textId="77777777" w:rsidR="00A41E17" w:rsidRDefault="00A41E17">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20E7B7" w14:textId="77777777" w:rsidR="00560C57" w:rsidRDefault="00560C57">
    <w:pPr>
      <w:pStyle w:val="ad"/>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744288" w14:textId="77777777" w:rsidR="00560C57" w:rsidRDefault="00560C57">
    <w:pPr>
      <w:pStyle w:val="ad"/>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DCCD22" w14:textId="77777777" w:rsidR="00560C57" w:rsidRDefault="00560C57">
    <w:pPr>
      <w:pStyle w:val="ad"/>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C8574AE"/>
    <w:multiLevelType w:val="multilevel"/>
    <w:tmpl w:val="EFE841A2"/>
    <w:lvl w:ilvl="0">
      <w:start w:val="1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 w15:restartNumberingAfterBreak="0">
    <w:nsid w:val="0C92627B"/>
    <w:multiLevelType w:val="multilevel"/>
    <w:tmpl w:val="88B6571C"/>
    <w:lvl w:ilvl="0">
      <w:start w:val="14"/>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 w15:restartNumberingAfterBreak="0">
    <w:nsid w:val="0FB130DD"/>
    <w:multiLevelType w:val="multilevel"/>
    <w:tmpl w:val="A50E7766"/>
    <w:lvl w:ilvl="0">
      <w:start w:val="9"/>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3" w15:restartNumberingAfterBreak="0">
    <w:nsid w:val="11D41BAB"/>
    <w:multiLevelType w:val="multilevel"/>
    <w:tmpl w:val="39F2551A"/>
    <w:lvl w:ilvl="0">
      <w:start w:val="2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4" w15:restartNumberingAfterBreak="0">
    <w:nsid w:val="165E395C"/>
    <w:multiLevelType w:val="multilevel"/>
    <w:tmpl w:val="5D86378C"/>
    <w:lvl w:ilvl="0">
      <w:start w:val="20"/>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5" w15:restartNumberingAfterBreak="0">
    <w:nsid w:val="17CE6790"/>
    <w:multiLevelType w:val="multilevel"/>
    <w:tmpl w:val="AB08D240"/>
    <w:lvl w:ilvl="0">
      <w:start w:val="3"/>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6" w15:restartNumberingAfterBreak="0">
    <w:nsid w:val="1C4949CE"/>
    <w:multiLevelType w:val="multilevel"/>
    <w:tmpl w:val="40DA5D58"/>
    <w:lvl w:ilvl="0">
      <w:start w:val="16"/>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7" w15:restartNumberingAfterBreak="0">
    <w:nsid w:val="247A0DDA"/>
    <w:multiLevelType w:val="multilevel"/>
    <w:tmpl w:val="106C6D72"/>
    <w:lvl w:ilvl="0">
      <w:start w:val="10"/>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8" w15:restartNumberingAfterBreak="0">
    <w:nsid w:val="24B330D6"/>
    <w:multiLevelType w:val="multilevel"/>
    <w:tmpl w:val="83225258"/>
    <w:lvl w:ilvl="0">
      <w:start w:val="19"/>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9" w15:restartNumberingAfterBreak="0">
    <w:nsid w:val="2720207D"/>
    <w:multiLevelType w:val="multilevel"/>
    <w:tmpl w:val="33FE26BC"/>
    <w:lvl w:ilvl="0">
      <w:start w:val="12"/>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0" w15:restartNumberingAfterBreak="0">
    <w:nsid w:val="284E6C77"/>
    <w:multiLevelType w:val="multilevel"/>
    <w:tmpl w:val="DBF00A5A"/>
    <w:lvl w:ilvl="0">
      <w:start w:val="17"/>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1" w15:restartNumberingAfterBreak="0">
    <w:nsid w:val="2A5A7600"/>
    <w:multiLevelType w:val="multilevel"/>
    <w:tmpl w:val="7004E1D6"/>
    <w:lvl w:ilvl="0">
      <w:start w:val="2"/>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2" w15:restartNumberingAfterBreak="0">
    <w:nsid w:val="2F2C697D"/>
    <w:multiLevelType w:val="multilevel"/>
    <w:tmpl w:val="6B88C1C6"/>
    <w:lvl w:ilvl="0">
      <w:start w:val="18"/>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3" w15:restartNumberingAfterBreak="0">
    <w:nsid w:val="2F370A51"/>
    <w:multiLevelType w:val="multilevel"/>
    <w:tmpl w:val="051C6474"/>
    <w:lvl w:ilvl="0">
      <w:start w:val="6"/>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4" w15:restartNumberingAfterBreak="0">
    <w:nsid w:val="331F70FE"/>
    <w:multiLevelType w:val="multilevel"/>
    <w:tmpl w:val="FB2C8930"/>
    <w:lvl w:ilvl="0">
      <w:start w:val="13"/>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5" w15:restartNumberingAfterBreak="0">
    <w:nsid w:val="33BD0C9B"/>
    <w:multiLevelType w:val="multilevel"/>
    <w:tmpl w:val="9A183058"/>
    <w:lvl w:ilvl="0">
      <w:start w:val="5"/>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6" w15:restartNumberingAfterBreak="0">
    <w:nsid w:val="39884FA5"/>
    <w:multiLevelType w:val="multilevel"/>
    <w:tmpl w:val="6FC8D572"/>
    <w:lvl w:ilvl="0">
      <w:start w:val="15"/>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7" w15:restartNumberingAfterBreak="0">
    <w:nsid w:val="3CE02C4B"/>
    <w:multiLevelType w:val="multilevel"/>
    <w:tmpl w:val="D04C694C"/>
    <w:lvl w:ilvl="0">
      <w:start w:val="4"/>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8" w15:restartNumberingAfterBreak="0">
    <w:nsid w:val="3E48190C"/>
    <w:multiLevelType w:val="multilevel"/>
    <w:tmpl w:val="4C30417A"/>
    <w:lvl w:ilvl="0">
      <w:start w:val="8"/>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9" w15:restartNumberingAfterBreak="0">
    <w:nsid w:val="51822CFE"/>
    <w:multiLevelType w:val="multilevel"/>
    <w:tmpl w:val="7472D7BC"/>
    <w:lvl w:ilvl="0">
      <w:start w:val="7"/>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0" w15:restartNumberingAfterBreak="0">
    <w:nsid w:val="66214D56"/>
    <w:multiLevelType w:val="multilevel"/>
    <w:tmpl w:val="3D7654C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num w:numId="1" w16cid:durableId="1748113592">
    <w:abstractNumId w:val="18"/>
  </w:num>
  <w:num w:numId="2" w16cid:durableId="2096322198">
    <w:abstractNumId w:val="13"/>
  </w:num>
  <w:num w:numId="3" w16cid:durableId="1933976851">
    <w:abstractNumId w:val="10"/>
  </w:num>
  <w:num w:numId="4" w16cid:durableId="1810707528">
    <w:abstractNumId w:val="16"/>
  </w:num>
  <w:num w:numId="5" w16cid:durableId="924723883">
    <w:abstractNumId w:val="6"/>
  </w:num>
  <w:num w:numId="6" w16cid:durableId="638417110">
    <w:abstractNumId w:val="12"/>
  </w:num>
  <w:num w:numId="7" w16cid:durableId="2078744455">
    <w:abstractNumId w:val="7"/>
  </w:num>
  <w:num w:numId="8" w16cid:durableId="510798646">
    <w:abstractNumId w:val="4"/>
  </w:num>
  <w:num w:numId="9" w16cid:durableId="1023245691">
    <w:abstractNumId w:val="8"/>
  </w:num>
  <w:num w:numId="10" w16cid:durableId="1928004600">
    <w:abstractNumId w:val="9"/>
  </w:num>
  <w:num w:numId="11" w16cid:durableId="533201781">
    <w:abstractNumId w:val="11"/>
  </w:num>
  <w:num w:numId="12" w16cid:durableId="140772304">
    <w:abstractNumId w:val="15"/>
  </w:num>
  <w:num w:numId="13" w16cid:durableId="348605732">
    <w:abstractNumId w:val="1"/>
  </w:num>
  <w:num w:numId="14" w16cid:durableId="787554855">
    <w:abstractNumId w:val="2"/>
  </w:num>
  <w:num w:numId="15" w16cid:durableId="1275091899">
    <w:abstractNumId w:val="3"/>
  </w:num>
  <w:num w:numId="16" w16cid:durableId="570044512">
    <w:abstractNumId w:val="5"/>
  </w:num>
  <w:num w:numId="17" w16cid:durableId="936062296">
    <w:abstractNumId w:val="19"/>
  </w:num>
  <w:num w:numId="18" w16cid:durableId="1328053745">
    <w:abstractNumId w:val="20"/>
  </w:num>
  <w:num w:numId="19" w16cid:durableId="511460566">
    <w:abstractNumId w:val="0"/>
  </w:num>
  <w:num w:numId="20" w16cid:durableId="1524826141">
    <w:abstractNumId w:val="14"/>
  </w:num>
  <w:num w:numId="21" w16cid:durableId="2074229681">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displayBackgroundShape/>
  <w:embedTrueTypeFonts/>
  <w:bordersDoNotSurroundHeader/>
  <w:bordersDoNotSurroundFooter/>
  <w:proofState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Nature&lt;/Style&gt;&lt;LeftDelim&gt;{&lt;/LeftDelim&gt;&lt;RightDelim&gt;}&lt;/RightDelim&gt;&lt;FontName&gt;Arial&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2xdtx0xa42pwrce00eq5t20qztxtfarzf0fx&quot;&gt;benchmark_DR&lt;record-ids&gt;&lt;item&gt;1&lt;/item&gt;&lt;item&gt;3&lt;/item&gt;&lt;item&gt;5&lt;/item&gt;&lt;item&gt;6&lt;/item&gt;&lt;item&gt;7&lt;/item&gt;&lt;item&gt;8&lt;/item&gt;&lt;item&gt;9&lt;/item&gt;&lt;item&gt;10&lt;/item&gt;&lt;item&gt;12&lt;/item&gt;&lt;item&gt;13&lt;/item&gt;&lt;item&gt;14&lt;/item&gt;&lt;item&gt;15&lt;/item&gt;&lt;item&gt;17&lt;/item&gt;&lt;item&gt;18&lt;/item&gt;&lt;item&gt;19&lt;/item&gt;&lt;item&gt;21&lt;/item&gt;&lt;item&gt;24&lt;/item&gt;&lt;item&gt;26&lt;/item&gt;&lt;item&gt;27&lt;/item&gt;&lt;item&gt;28&lt;/item&gt;&lt;item&gt;30&lt;/item&gt;&lt;item&gt;31&lt;/item&gt;&lt;item&gt;32&lt;/item&gt;&lt;item&gt;33&lt;/item&gt;&lt;item&gt;34&lt;/item&gt;&lt;item&gt;35&lt;/item&gt;&lt;item&gt;36&lt;/item&gt;&lt;item&gt;37&lt;/item&gt;&lt;item&gt;38&lt;/item&gt;&lt;item&gt;39&lt;/item&gt;&lt;item&gt;41&lt;/item&gt;&lt;item&gt;43&lt;/item&gt;&lt;item&gt;44&lt;/item&gt;&lt;item&gt;46&lt;/item&gt;&lt;item&gt;48&lt;/item&gt;&lt;item&gt;50&lt;/item&gt;&lt;item&gt;53&lt;/item&gt;&lt;item&gt;54&lt;/item&gt;&lt;item&gt;55&lt;/item&gt;&lt;item&gt;56&lt;/item&gt;&lt;item&gt;57&lt;/item&gt;&lt;item&gt;58&lt;/item&gt;&lt;item&gt;59&lt;/item&gt;&lt;item&gt;60&lt;/item&gt;&lt;item&gt;62&lt;/item&gt;&lt;item&gt;64&lt;/item&gt;&lt;item&gt;65&lt;/item&gt;&lt;item&gt;66&lt;/item&gt;&lt;item&gt;68&lt;/item&gt;&lt;item&gt;69&lt;/item&gt;&lt;item&gt;71&lt;/item&gt;&lt;item&gt;73&lt;/item&gt;&lt;item&gt;75&lt;/item&gt;&lt;item&gt;77&lt;/item&gt;&lt;item&gt;79&lt;/item&gt;&lt;item&gt;81&lt;/item&gt;&lt;item&gt;83&lt;/item&gt;&lt;item&gt;85&lt;/item&gt;&lt;item&gt;86&lt;/item&gt;&lt;/record-ids&gt;&lt;/item&gt;&lt;/Libraries&gt;"/>
  </w:docVars>
  <w:rsids>
    <w:rsidRoot w:val="00377C00"/>
    <w:rsid w:val="00003808"/>
    <w:rsid w:val="000256BB"/>
    <w:rsid w:val="00032A16"/>
    <w:rsid w:val="0003309D"/>
    <w:rsid w:val="0004148D"/>
    <w:rsid w:val="0006679B"/>
    <w:rsid w:val="00072D29"/>
    <w:rsid w:val="000979CB"/>
    <w:rsid w:val="000A6B30"/>
    <w:rsid w:val="000D0330"/>
    <w:rsid w:val="000D5BA2"/>
    <w:rsid w:val="000E4814"/>
    <w:rsid w:val="00103CCF"/>
    <w:rsid w:val="00107673"/>
    <w:rsid w:val="001349CB"/>
    <w:rsid w:val="00140518"/>
    <w:rsid w:val="00151566"/>
    <w:rsid w:val="00155AC2"/>
    <w:rsid w:val="00176B3F"/>
    <w:rsid w:val="00182C50"/>
    <w:rsid w:val="001848D3"/>
    <w:rsid w:val="00184E8F"/>
    <w:rsid w:val="00187D7A"/>
    <w:rsid w:val="00192293"/>
    <w:rsid w:val="001A45AF"/>
    <w:rsid w:val="001E68B4"/>
    <w:rsid w:val="001F0A67"/>
    <w:rsid w:val="0021514B"/>
    <w:rsid w:val="00217495"/>
    <w:rsid w:val="00217936"/>
    <w:rsid w:val="00241B99"/>
    <w:rsid w:val="00243F10"/>
    <w:rsid w:val="00252E67"/>
    <w:rsid w:val="002572C4"/>
    <w:rsid w:val="00261C34"/>
    <w:rsid w:val="00297BAC"/>
    <w:rsid w:val="002C24FA"/>
    <w:rsid w:val="002E23A3"/>
    <w:rsid w:val="002E39DE"/>
    <w:rsid w:val="00312AE6"/>
    <w:rsid w:val="003259AA"/>
    <w:rsid w:val="0033401D"/>
    <w:rsid w:val="00361148"/>
    <w:rsid w:val="00377C00"/>
    <w:rsid w:val="00383859"/>
    <w:rsid w:val="00397570"/>
    <w:rsid w:val="003B078D"/>
    <w:rsid w:val="003C6E70"/>
    <w:rsid w:val="003D1E15"/>
    <w:rsid w:val="003D6389"/>
    <w:rsid w:val="003E1525"/>
    <w:rsid w:val="003E493A"/>
    <w:rsid w:val="00431D86"/>
    <w:rsid w:val="00455DF7"/>
    <w:rsid w:val="00464650"/>
    <w:rsid w:val="00492B62"/>
    <w:rsid w:val="004A3B59"/>
    <w:rsid w:val="004A6788"/>
    <w:rsid w:val="004B6B4B"/>
    <w:rsid w:val="005058A2"/>
    <w:rsid w:val="00505DF3"/>
    <w:rsid w:val="00512805"/>
    <w:rsid w:val="005168BE"/>
    <w:rsid w:val="00524BCB"/>
    <w:rsid w:val="00530489"/>
    <w:rsid w:val="00530E6B"/>
    <w:rsid w:val="005325E3"/>
    <w:rsid w:val="005526CE"/>
    <w:rsid w:val="00560C57"/>
    <w:rsid w:val="00594A01"/>
    <w:rsid w:val="005A543C"/>
    <w:rsid w:val="005C0408"/>
    <w:rsid w:val="005C2AFC"/>
    <w:rsid w:val="005E08BA"/>
    <w:rsid w:val="005F1F87"/>
    <w:rsid w:val="00614E1D"/>
    <w:rsid w:val="006365C2"/>
    <w:rsid w:val="0064586D"/>
    <w:rsid w:val="00657003"/>
    <w:rsid w:val="00672FEB"/>
    <w:rsid w:val="0067797D"/>
    <w:rsid w:val="006B0CF0"/>
    <w:rsid w:val="006B30AD"/>
    <w:rsid w:val="006D1122"/>
    <w:rsid w:val="006E29D0"/>
    <w:rsid w:val="006F586C"/>
    <w:rsid w:val="00721C85"/>
    <w:rsid w:val="0072415B"/>
    <w:rsid w:val="007274C7"/>
    <w:rsid w:val="00732942"/>
    <w:rsid w:val="00751005"/>
    <w:rsid w:val="00757675"/>
    <w:rsid w:val="007706A8"/>
    <w:rsid w:val="00776857"/>
    <w:rsid w:val="00794A26"/>
    <w:rsid w:val="007A0B53"/>
    <w:rsid w:val="007B28DD"/>
    <w:rsid w:val="007B7564"/>
    <w:rsid w:val="007B7B3B"/>
    <w:rsid w:val="007E2110"/>
    <w:rsid w:val="007F3340"/>
    <w:rsid w:val="00815301"/>
    <w:rsid w:val="00815381"/>
    <w:rsid w:val="00817CB0"/>
    <w:rsid w:val="00825AFB"/>
    <w:rsid w:val="00830396"/>
    <w:rsid w:val="00831FAE"/>
    <w:rsid w:val="00834796"/>
    <w:rsid w:val="008475D3"/>
    <w:rsid w:val="0087088F"/>
    <w:rsid w:val="00872FA3"/>
    <w:rsid w:val="00880265"/>
    <w:rsid w:val="00882611"/>
    <w:rsid w:val="00885D28"/>
    <w:rsid w:val="008C222B"/>
    <w:rsid w:val="008C6153"/>
    <w:rsid w:val="008D4FBD"/>
    <w:rsid w:val="008D5ACB"/>
    <w:rsid w:val="008F0EFC"/>
    <w:rsid w:val="008F1B74"/>
    <w:rsid w:val="00913A88"/>
    <w:rsid w:val="00991BE9"/>
    <w:rsid w:val="00994128"/>
    <w:rsid w:val="009964D0"/>
    <w:rsid w:val="009A61D4"/>
    <w:rsid w:val="009A67E4"/>
    <w:rsid w:val="009B2CDB"/>
    <w:rsid w:val="009B513A"/>
    <w:rsid w:val="009B77B9"/>
    <w:rsid w:val="009D6B0D"/>
    <w:rsid w:val="009E71DF"/>
    <w:rsid w:val="009F25FB"/>
    <w:rsid w:val="009F717D"/>
    <w:rsid w:val="00A05CE0"/>
    <w:rsid w:val="00A07667"/>
    <w:rsid w:val="00A079FD"/>
    <w:rsid w:val="00A171B7"/>
    <w:rsid w:val="00A36FC5"/>
    <w:rsid w:val="00A412F5"/>
    <w:rsid w:val="00A41E17"/>
    <w:rsid w:val="00A44392"/>
    <w:rsid w:val="00A45B3D"/>
    <w:rsid w:val="00A54B63"/>
    <w:rsid w:val="00A82C23"/>
    <w:rsid w:val="00A93EF9"/>
    <w:rsid w:val="00A960F0"/>
    <w:rsid w:val="00A96823"/>
    <w:rsid w:val="00AB603A"/>
    <w:rsid w:val="00AE6C0B"/>
    <w:rsid w:val="00AF67F1"/>
    <w:rsid w:val="00B21CB8"/>
    <w:rsid w:val="00B46AC7"/>
    <w:rsid w:val="00B47F9C"/>
    <w:rsid w:val="00B50F62"/>
    <w:rsid w:val="00B538AF"/>
    <w:rsid w:val="00B5623D"/>
    <w:rsid w:val="00B66063"/>
    <w:rsid w:val="00B74FA8"/>
    <w:rsid w:val="00BA290C"/>
    <w:rsid w:val="00BA3A15"/>
    <w:rsid w:val="00BD1B04"/>
    <w:rsid w:val="00BE3447"/>
    <w:rsid w:val="00BF2568"/>
    <w:rsid w:val="00C04B5E"/>
    <w:rsid w:val="00C07C34"/>
    <w:rsid w:val="00C16325"/>
    <w:rsid w:val="00C36CB6"/>
    <w:rsid w:val="00C6590B"/>
    <w:rsid w:val="00C71C53"/>
    <w:rsid w:val="00C7588F"/>
    <w:rsid w:val="00C75DE9"/>
    <w:rsid w:val="00C7768A"/>
    <w:rsid w:val="00C81C76"/>
    <w:rsid w:val="00C91B65"/>
    <w:rsid w:val="00CA2EE4"/>
    <w:rsid w:val="00CA5F15"/>
    <w:rsid w:val="00CB5F60"/>
    <w:rsid w:val="00CB664B"/>
    <w:rsid w:val="00CD0BF2"/>
    <w:rsid w:val="00CD1465"/>
    <w:rsid w:val="00CE2CBA"/>
    <w:rsid w:val="00CE6100"/>
    <w:rsid w:val="00CE7D38"/>
    <w:rsid w:val="00D0653B"/>
    <w:rsid w:val="00D256B6"/>
    <w:rsid w:val="00D33CAD"/>
    <w:rsid w:val="00D355E5"/>
    <w:rsid w:val="00D36421"/>
    <w:rsid w:val="00D51E3E"/>
    <w:rsid w:val="00D62540"/>
    <w:rsid w:val="00D904CA"/>
    <w:rsid w:val="00D9392C"/>
    <w:rsid w:val="00D9564C"/>
    <w:rsid w:val="00DB1AC6"/>
    <w:rsid w:val="00DB51B4"/>
    <w:rsid w:val="00DD1FCC"/>
    <w:rsid w:val="00E054F2"/>
    <w:rsid w:val="00E05E33"/>
    <w:rsid w:val="00E35E2D"/>
    <w:rsid w:val="00E42D72"/>
    <w:rsid w:val="00E52CBA"/>
    <w:rsid w:val="00E53C54"/>
    <w:rsid w:val="00E617AB"/>
    <w:rsid w:val="00E643B0"/>
    <w:rsid w:val="00E70B25"/>
    <w:rsid w:val="00E835D3"/>
    <w:rsid w:val="00E945B7"/>
    <w:rsid w:val="00EA35B5"/>
    <w:rsid w:val="00EA38B7"/>
    <w:rsid w:val="00EC4EA0"/>
    <w:rsid w:val="00EC5217"/>
    <w:rsid w:val="00ED2129"/>
    <w:rsid w:val="00F06081"/>
    <w:rsid w:val="00F422B9"/>
    <w:rsid w:val="00F53BDB"/>
    <w:rsid w:val="00F62471"/>
    <w:rsid w:val="00F64D21"/>
    <w:rsid w:val="00F70CB5"/>
    <w:rsid w:val="00F72A55"/>
    <w:rsid w:val="00F932A6"/>
    <w:rsid w:val="00FD66CB"/>
    <w:rsid w:val="00FF3386"/>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637BF6E"/>
  <w15:docId w15:val="{64A28D38-0528-464C-B847-7764876776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Theme="minorEastAsia" w:hAnsi="Arial" w:cs="Arial"/>
        <w:sz w:val="22"/>
        <w:szCs w:val="22"/>
        <w:lang w:val="en-GB" w:eastAsia="ko-KR"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uiPriority w:val="9"/>
    <w:qFormat/>
    <w:pPr>
      <w:keepNext/>
      <w:keepLines/>
      <w:spacing w:after="320" w:line="360" w:lineRule="auto"/>
      <w:outlineLvl w:val="0"/>
    </w:pPr>
    <w:rPr>
      <w:b/>
      <w:bCs/>
      <w:sz w:val="36"/>
      <w:szCs w:val="36"/>
    </w:rPr>
  </w:style>
  <w:style w:type="paragraph" w:styleId="2">
    <w:name w:val="heading 2"/>
    <w:basedOn w:val="a"/>
    <w:next w:val="a"/>
    <w:uiPriority w:val="9"/>
    <w:semiHidden/>
    <w:unhideWhenUsed/>
    <w:qFormat/>
    <w:pPr>
      <w:keepNext/>
      <w:keepLines/>
      <w:spacing w:before="360" w:after="120"/>
      <w:outlineLvl w:val="1"/>
    </w:pPr>
    <w:rPr>
      <w:sz w:val="32"/>
      <w:szCs w:val="32"/>
    </w:rPr>
  </w:style>
  <w:style w:type="paragraph" w:styleId="3">
    <w:name w:val="heading 3"/>
    <w:basedOn w:val="a"/>
    <w:next w:val="a"/>
    <w:uiPriority w:val="9"/>
    <w:semiHidden/>
    <w:unhideWhenUsed/>
    <w:qFormat/>
    <w:pPr>
      <w:keepNext/>
      <w:keepLines/>
      <w:spacing w:before="320" w:after="80"/>
      <w:outlineLvl w:val="2"/>
    </w:pPr>
    <w:rPr>
      <w:color w:val="434343"/>
      <w:sz w:val="28"/>
      <w:szCs w:val="28"/>
    </w:rPr>
  </w:style>
  <w:style w:type="paragraph" w:styleId="4">
    <w:name w:val="heading 4"/>
    <w:basedOn w:val="a"/>
    <w:next w:val="a"/>
    <w:uiPriority w:val="9"/>
    <w:semiHidden/>
    <w:unhideWhenUsed/>
    <w:qFormat/>
    <w:pPr>
      <w:keepNext/>
      <w:keepLines/>
      <w:spacing w:before="280" w:after="80"/>
      <w:outlineLvl w:val="3"/>
    </w:pPr>
    <w:rPr>
      <w:color w:val="666666"/>
      <w:sz w:val="24"/>
      <w:szCs w:val="24"/>
    </w:rPr>
  </w:style>
  <w:style w:type="paragraph" w:styleId="5">
    <w:name w:val="heading 5"/>
    <w:basedOn w:val="a"/>
    <w:next w:val="a"/>
    <w:uiPriority w:val="9"/>
    <w:semiHidden/>
    <w:unhideWhenUsed/>
    <w:qFormat/>
    <w:pPr>
      <w:keepNext/>
      <w:keepLines/>
      <w:spacing w:before="240" w:after="80"/>
      <w:outlineLvl w:val="4"/>
    </w:pPr>
    <w:rPr>
      <w:color w:val="666666"/>
    </w:rPr>
  </w:style>
  <w:style w:type="paragraph" w:styleId="6">
    <w:name w:val="heading 6"/>
    <w:basedOn w:val="a"/>
    <w:next w:val="a"/>
    <w:uiPriority w:val="9"/>
    <w:semiHidden/>
    <w:unhideWhenUsed/>
    <w:qFormat/>
    <w:pPr>
      <w:keepNext/>
      <w:keepLines/>
      <w:spacing w:before="240" w:after="80"/>
      <w:outlineLvl w:val="5"/>
    </w:pPr>
    <w:rPr>
      <w:i/>
      <w:iCs/>
      <w:color w:val="66666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a3">
    <w:name w:val="Title"/>
    <w:basedOn w:val="a"/>
    <w:next w:val="a"/>
    <w:uiPriority w:val="10"/>
    <w:qFormat/>
    <w:pPr>
      <w:keepNext/>
      <w:keepLines/>
      <w:spacing w:after="60"/>
    </w:pPr>
    <w:rPr>
      <w:sz w:val="52"/>
      <w:szCs w:val="52"/>
    </w:rPr>
  </w:style>
  <w:style w:type="paragraph" w:styleId="a4">
    <w:name w:val="Subtitle"/>
    <w:basedOn w:val="a"/>
    <w:next w:val="a"/>
    <w:uiPriority w:val="11"/>
    <w:qFormat/>
    <w:pPr>
      <w:keepNext/>
      <w:keepLines/>
      <w:spacing w:after="320"/>
    </w:pPr>
    <w:rPr>
      <w:color w:val="666666"/>
      <w:sz w:val="30"/>
      <w:szCs w:val="30"/>
    </w:rPr>
  </w:style>
  <w:style w:type="table" w:customStyle="1" w:styleId="a5">
    <w:basedOn w:val="TableNormal"/>
    <w:pPr>
      <w:spacing w:line="240" w:lineRule="auto"/>
    </w:pPr>
    <w:tblPr>
      <w:tblStyleRowBandSize w:val="1"/>
      <w:tblStyleColBandSize w:val="1"/>
      <w:tblCellMar>
        <w:top w:w="0" w:type="dxa"/>
        <w:left w:w="108" w:type="dxa"/>
        <w:bottom w:w="0" w:type="dxa"/>
        <w:right w:w="108" w:type="dxa"/>
      </w:tblCellMar>
    </w:tblPr>
  </w:style>
  <w:style w:type="table" w:customStyle="1" w:styleId="a6">
    <w:basedOn w:val="TableNormal"/>
    <w:tblPr>
      <w:tblStyleRowBandSize w:val="1"/>
      <w:tblStyleColBandSize w:val="1"/>
    </w:tblPr>
  </w:style>
  <w:style w:type="table" w:customStyle="1" w:styleId="a7">
    <w:basedOn w:val="TableNormal"/>
    <w:tblPr>
      <w:tblStyleRowBandSize w:val="1"/>
      <w:tblStyleColBandSize w:val="1"/>
    </w:tblPr>
  </w:style>
  <w:style w:type="table" w:customStyle="1" w:styleId="a8">
    <w:basedOn w:val="TableNormal"/>
    <w:tblPr>
      <w:tblStyleRowBandSize w:val="1"/>
      <w:tblStyleColBandSize w:val="1"/>
    </w:tblPr>
  </w:style>
  <w:style w:type="paragraph" w:styleId="a9">
    <w:name w:val="annotation text"/>
    <w:basedOn w:val="a"/>
    <w:link w:val="Char"/>
    <w:uiPriority w:val="99"/>
    <w:semiHidden/>
    <w:unhideWhenUsed/>
  </w:style>
  <w:style w:type="character" w:customStyle="1" w:styleId="Char">
    <w:name w:val="메모 텍스트 Char"/>
    <w:basedOn w:val="a0"/>
    <w:link w:val="a9"/>
    <w:uiPriority w:val="99"/>
    <w:semiHidden/>
  </w:style>
  <w:style w:type="character" w:styleId="aa">
    <w:name w:val="annotation reference"/>
    <w:basedOn w:val="a0"/>
    <w:uiPriority w:val="99"/>
    <w:semiHidden/>
    <w:unhideWhenUsed/>
    <w:rPr>
      <w:sz w:val="18"/>
      <w:szCs w:val="18"/>
    </w:rPr>
  </w:style>
  <w:style w:type="paragraph" w:customStyle="1" w:styleId="EndNoteBibliographyTitle">
    <w:name w:val="EndNote Bibliography Title"/>
    <w:basedOn w:val="a"/>
    <w:link w:val="EndNoteBibliographyTitleChar"/>
    <w:rsid w:val="006B0CF0"/>
    <w:pPr>
      <w:jc w:val="center"/>
    </w:pPr>
    <w:rPr>
      <w:noProof/>
    </w:rPr>
  </w:style>
  <w:style w:type="character" w:customStyle="1" w:styleId="EndNoteBibliographyTitleChar">
    <w:name w:val="EndNote Bibliography Title Char"/>
    <w:basedOn w:val="a0"/>
    <w:link w:val="EndNoteBibliographyTitle"/>
    <w:rsid w:val="006B0CF0"/>
    <w:rPr>
      <w:noProof/>
    </w:rPr>
  </w:style>
  <w:style w:type="paragraph" w:customStyle="1" w:styleId="EndNoteBibliography">
    <w:name w:val="EndNote Bibliography"/>
    <w:basedOn w:val="a"/>
    <w:link w:val="EndNoteBibliographyChar"/>
    <w:rsid w:val="006B0CF0"/>
    <w:pPr>
      <w:spacing w:line="240" w:lineRule="auto"/>
    </w:pPr>
    <w:rPr>
      <w:noProof/>
    </w:rPr>
  </w:style>
  <w:style w:type="character" w:customStyle="1" w:styleId="EndNoteBibliographyChar">
    <w:name w:val="EndNote Bibliography Char"/>
    <w:basedOn w:val="a0"/>
    <w:link w:val="EndNoteBibliography"/>
    <w:rsid w:val="006B0CF0"/>
    <w:rPr>
      <w:noProof/>
    </w:rPr>
  </w:style>
  <w:style w:type="character" w:styleId="ab">
    <w:name w:val="Hyperlink"/>
    <w:basedOn w:val="a0"/>
    <w:uiPriority w:val="99"/>
    <w:unhideWhenUsed/>
    <w:rsid w:val="002572C4"/>
    <w:rPr>
      <w:color w:val="0000FF" w:themeColor="hyperlink"/>
      <w:u w:val="single"/>
    </w:rPr>
  </w:style>
  <w:style w:type="character" w:styleId="ac">
    <w:name w:val="Unresolved Mention"/>
    <w:basedOn w:val="a0"/>
    <w:uiPriority w:val="99"/>
    <w:semiHidden/>
    <w:unhideWhenUsed/>
    <w:rsid w:val="002572C4"/>
    <w:rPr>
      <w:color w:val="605E5C"/>
      <w:shd w:val="clear" w:color="auto" w:fill="E1DFDD"/>
    </w:rPr>
  </w:style>
  <w:style w:type="paragraph" w:styleId="ad">
    <w:name w:val="header"/>
    <w:basedOn w:val="a"/>
    <w:link w:val="Char0"/>
    <w:uiPriority w:val="99"/>
    <w:unhideWhenUsed/>
    <w:rsid w:val="007A0B53"/>
    <w:pPr>
      <w:tabs>
        <w:tab w:val="center" w:pos="4513"/>
        <w:tab w:val="right" w:pos="9026"/>
      </w:tabs>
      <w:snapToGrid w:val="0"/>
    </w:pPr>
  </w:style>
  <w:style w:type="character" w:customStyle="1" w:styleId="Char0">
    <w:name w:val="머리글 Char"/>
    <w:basedOn w:val="a0"/>
    <w:link w:val="ad"/>
    <w:uiPriority w:val="99"/>
    <w:rsid w:val="007A0B53"/>
  </w:style>
  <w:style w:type="paragraph" w:styleId="ae">
    <w:name w:val="footer"/>
    <w:basedOn w:val="a"/>
    <w:link w:val="Char1"/>
    <w:uiPriority w:val="99"/>
    <w:unhideWhenUsed/>
    <w:rsid w:val="007A0B53"/>
    <w:pPr>
      <w:tabs>
        <w:tab w:val="center" w:pos="4513"/>
        <w:tab w:val="right" w:pos="9026"/>
      </w:tabs>
      <w:snapToGrid w:val="0"/>
    </w:pPr>
  </w:style>
  <w:style w:type="character" w:customStyle="1" w:styleId="Char1">
    <w:name w:val="바닥글 Char"/>
    <w:basedOn w:val="a0"/>
    <w:link w:val="ae"/>
    <w:uiPriority w:val="99"/>
    <w:rsid w:val="007A0B53"/>
  </w:style>
  <w:style w:type="paragraph" w:styleId="af">
    <w:name w:val="Revision"/>
    <w:hidden/>
    <w:uiPriority w:val="99"/>
    <w:semiHidden/>
    <w:rsid w:val="00DB51B4"/>
    <w:pPr>
      <w:spacing w:line="240" w:lineRule="auto"/>
    </w:pPr>
  </w:style>
  <w:style w:type="paragraph" w:styleId="af0">
    <w:name w:val="Normal (Web)"/>
    <w:basedOn w:val="a"/>
    <w:uiPriority w:val="99"/>
    <w:semiHidden/>
    <w:unhideWhenUsed/>
    <w:rsid w:val="00F62471"/>
    <w:pPr>
      <w:spacing w:before="100" w:beforeAutospacing="1" w:after="100" w:afterAutospacing="1" w:line="240" w:lineRule="auto"/>
    </w:pPr>
    <w:rPr>
      <w:rFonts w:ascii="굴림" w:eastAsia="굴림" w:hAnsi="굴림" w:cs="굴림"/>
      <w:sz w:val="24"/>
      <w:szCs w:val="24"/>
      <w:lang w:val="en-US"/>
    </w:rPr>
  </w:style>
  <w:style w:type="paragraph" w:styleId="af1">
    <w:name w:val="annotation subject"/>
    <w:basedOn w:val="a9"/>
    <w:next w:val="a9"/>
    <w:link w:val="Char2"/>
    <w:uiPriority w:val="99"/>
    <w:semiHidden/>
    <w:unhideWhenUsed/>
    <w:rsid w:val="00D33CAD"/>
    <w:rPr>
      <w:b/>
      <w:bCs/>
    </w:rPr>
  </w:style>
  <w:style w:type="character" w:customStyle="1" w:styleId="Char2">
    <w:name w:val="메모 주제 Char"/>
    <w:basedOn w:val="Char"/>
    <w:link w:val="af1"/>
    <w:uiPriority w:val="99"/>
    <w:semiHidden/>
    <w:rsid w:val="00D33CAD"/>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2552982">
      <w:bodyDiv w:val="1"/>
      <w:marLeft w:val="0"/>
      <w:marRight w:val="0"/>
      <w:marTop w:val="0"/>
      <w:marBottom w:val="0"/>
      <w:divBdr>
        <w:top w:val="none" w:sz="0" w:space="0" w:color="auto"/>
        <w:left w:val="none" w:sz="0" w:space="0" w:color="auto"/>
        <w:bottom w:val="none" w:sz="0" w:space="0" w:color="auto"/>
        <w:right w:val="none" w:sz="0" w:space="0" w:color="auto"/>
      </w:divBdr>
    </w:div>
    <w:div w:id="107504001">
      <w:bodyDiv w:val="1"/>
      <w:marLeft w:val="0"/>
      <w:marRight w:val="0"/>
      <w:marTop w:val="0"/>
      <w:marBottom w:val="0"/>
      <w:divBdr>
        <w:top w:val="none" w:sz="0" w:space="0" w:color="auto"/>
        <w:left w:val="none" w:sz="0" w:space="0" w:color="auto"/>
        <w:bottom w:val="none" w:sz="0" w:space="0" w:color="auto"/>
        <w:right w:val="none" w:sz="0" w:space="0" w:color="auto"/>
      </w:divBdr>
    </w:div>
    <w:div w:id="193539167">
      <w:bodyDiv w:val="1"/>
      <w:marLeft w:val="0"/>
      <w:marRight w:val="0"/>
      <w:marTop w:val="0"/>
      <w:marBottom w:val="0"/>
      <w:divBdr>
        <w:top w:val="none" w:sz="0" w:space="0" w:color="auto"/>
        <w:left w:val="none" w:sz="0" w:space="0" w:color="auto"/>
        <w:bottom w:val="none" w:sz="0" w:space="0" w:color="auto"/>
        <w:right w:val="none" w:sz="0" w:space="0" w:color="auto"/>
      </w:divBdr>
    </w:div>
    <w:div w:id="295767686">
      <w:bodyDiv w:val="1"/>
      <w:marLeft w:val="0"/>
      <w:marRight w:val="0"/>
      <w:marTop w:val="0"/>
      <w:marBottom w:val="0"/>
      <w:divBdr>
        <w:top w:val="none" w:sz="0" w:space="0" w:color="auto"/>
        <w:left w:val="none" w:sz="0" w:space="0" w:color="auto"/>
        <w:bottom w:val="none" w:sz="0" w:space="0" w:color="auto"/>
        <w:right w:val="none" w:sz="0" w:space="0" w:color="auto"/>
      </w:divBdr>
    </w:div>
    <w:div w:id="384447533">
      <w:bodyDiv w:val="1"/>
      <w:marLeft w:val="0"/>
      <w:marRight w:val="0"/>
      <w:marTop w:val="0"/>
      <w:marBottom w:val="0"/>
      <w:divBdr>
        <w:top w:val="none" w:sz="0" w:space="0" w:color="auto"/>
        <w:left w:val="none" w:sz="0" w:space="0" w:color="auto"/>
        <w:bottom w:val="none" w:sz="0" w:space="0" w:color="auto"/>
        <w:right w:val="none" w:sz="0" w:space="0" w:color="auto"/>
      </w:divBdr>
      <w:divsChild>
        <w:div w:id="1136099264">
          <w:marLeft w:val="0"/>
          <w:marRight w:val="0"/>
          <w:marTop w:val="0"/>
          <w:marBottom w:val="0"/>
          <w:divBdr>
            <w:top w:val="none" w:sz="0" w:space="0" w:color="auto"/>
            <w:left w:val="none" w:sz="0" w:space="0" w:color="auto"/>
            <w:bottom w:val="none" w:sz="0" w:space="0" w:color="auto"/>
            <w:right w:val="none" w:sz="0" w:space="0" w:color="auto"/>
          </w:divBdr>
          <w:divsChild>
            <w:div w:id="1819564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8755762">
      <w:bodyDiv w:val="1"/>
      <w:marLeft w:val="0"/>
      <w:marRight w:val="0"/>
      <w:marTop w:val="0"/>
      <w:marBottom w:val="0"/>
      <w:divBdr>
        <w:top w:val="none" w:sz="0" w:space="0" w:color="auto"/>
        <w:left w:val="none" w:sz="0" w:space="0" w:color="auto"/>
        <w:bottom w:val="none" w:sz="0" w:space="0" w:color="auto"/>
        <w:right w:val="none" w:sz="0" w:space="0" w:color="auto"/>
      </w:divBdr>
      <w:divsChild>
        <w:div w:id="1503546948">
          <w:marLeft w:val="0"/>
          <w:marRight w:val="0"/>
          <w:marTop w:val="0"/>
          <w:marBottom w:val="0"/>
          <w:divBdr>
            <w:top w:val="none" w:sz="0" w:space="0" w:color="auto"/>
            <w:left w:val="none" w:sz="0" w:space="0" w:color="auto"/>
            <w:bottom w:val="none" w:sz="0" w:space="0" w:color="auto"/>
            <w:right w:val="none" w:sz="0" w:space="0" w:color="auto"/>
          </w:divBdr>
          <w:divsChild>
            <w:div w:id="671643575">
              <w:marLeft w:val="0"/>
              <w:marRight w:val="0"/>
              <w:marTop w:val="0"/>
              <w:marBottom w:val="0"/>
              <w:divBdr>
                <w:top w:val="none" w:sz="0" w:space="0" w:color="auto"/>
                <w:left w:val="none" w:sz="0" w:space="0" w:color="auto"/>
                <w:bottom w:val="none" w:sz="0" w:space="0" w:color="auto"/>
                <w:right w:val="none" w:sz="0" w:space="0" w:color="auto"/>
              </w:divBdr>
              <w:divsChild>
                <w:div w:id="1605652643">
                  <w:marLeft w:val="0"/>
                  <w:marRight w:val="0"/>
                  <w:marTop w:val="0"/>
                  <w:marBottom w:val="0"/>
                  <w:divBdr>
                    <w:top w:val="none" w:sz="0" w:space="0" w:color="auto"/>
                    <w:left w:val="none" w:sz="0" w:space="0" w:color="auto"/>
                    <w:bottom w:val="none" w:sz="0" w:space="0" w:color="auto"/>
                    <w:right w:val="none" w:sz="0" w:space="0" w:color="auto"/>
                  </w:divBdr>
                  <w:divsChild>
                    <w:div w:id="802848622">
                      <w:marLeft w:val="0"/>
                      <w:marRight w:val="0"/>
                      <w:marTop w:val="0"/>
                      <w:marBottom w:val="0"/>
                      <w:divBdr>
                        <w:top w:val="none" w:sz="0" w:space="0" w:color="auto"/>
                        <w:left w:val="none" w:sz="0" w:space="0" w:color="auto"/>
                        <w:bottom w:val="none" w:sz="0" w:space="0" w:color="auto"/>
                        <w:right w:val="none" w:sz="0" w:space="0" w:color="auto"/>
                      </w:divBdr>
                      <w:divsChild>
                        <w:div w:id="1593507861">
                          <w:marLeft w:val="0"/>
                          <w:marRight w:val="0"/>
                          <w:marTop w:val="0"/>
                          <w:marBottom w:val="0"/>
                          <w:divBdr>
                            <w:top w:val="none" w:sz="0" w:space="0" w:color="auto"/>
                            <w:left w:val="none" w:sz="0" w:space="0" w:color="auto"/>
                            <w:bottom w:val="none" w:sz="0" w:space="0" w:color="auto"/>
                            <w:right w:val="none" w:sz="0" w:space="0" w:color="auto"/>
                          </w:divBdr>
                          <w:divsChild>
                            <w:div w:id="2041662225">
                              <w:marLeft w:val="0"/>
                              <w:marRight w:val="0"/>
                              <w:marTop w:val="0"/>
                              <w:marBottom w:val="0"/>
                              <w:divBdr>
                                <w:top w:val="none" w:sz="0" w:space="0" w:color="auto"/>
                                <w:left w:val="none" w:sz="0" w:space="0" w:color="auto"/>
                                <w:bottom w:val="none" w:sz="0" w:space="0" w:color="auto"/>
                                <w:right w:val="none" w:sz="0" w:space="0" w:color="auto"/>
                              </w:divBdr>
                              <w:divsChild>
                                <w:div w:id="1402174235">
                                  <w:marLeft w:val="0"/>
                                  <w:marRight w:val="0"/>
                                  <w:marTop w:val="0"/>
                                  <w:marBottom w:val="0"/>
                                  <w:divBdr>
                                    <w:top w:val="none" w:sz="0" w:space="0" w:color="auto"/>
                                    <w:left w:val="none" w:sz="0" w:space="0" w:color="auto"/>
                                    <w:bottom w:val="none" w:sz="0" w:space="0" w:color="auto"/>
                                    <w:right w:val="none" w:sz="0" w:space="0" w:color="auto"/>
                                  </w:divBdr>
                                  <w:divsChild>
                                    <w:div w:id="385614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08508297">
      <w:bodyDiv w:val="1"/>
      <w:marLeft w:val="0"/>
      <w:marRight w:val="0"/>
      <w:marTop w:val="0"/>
      <w:marBottom w:val="0"/>
      <w:divBdr>
        <w:top w:val="none" w:sz="0" w:space="0" w:color="auto"/>
        <w:left w:val="none" w:sz="0" w:space="0" w:color="auto"/>
        <w:bottom w:val="none" w:sz="0" w:space="0" w:color="auto"/>
        <w:right w:val="none" w:sz="0" w:space="0" w:color="auto"/>
      </w:divBdr>
    </w:div>
    <w:div w:id="1332371544">
      <w:bodyDiv w:val="1"/>
      <w:marLeft w:val="0"/>
      <w:marRight w:val="0"/>
      <w:marTop w:val="0"/>
      <w:marBottom w:val="0"/>
      <w:divBdr>
        <w:top w:val="none" w:sz="0" w:space="0" w:color="auto"/>
        <w:left w:val="none" w:sz="0" w:space="0" w:color="auto"/>
        <w:bottom w:val="none" w:sz="0" w:space="0" w:color="auto"/>
        <w:right w:val="none" w:sz="0" w:space="0" w:color="auto"/>
      </w:divBdr>
    </w:div>
    <w:div w:id="1493794475">
      <w:bodyDiv w:val="1"/>
      <w:marLeft w:val="0"/>
      <w:marRight w:val="0"/>
      <w:marTop w:val="0"/>
      <w:marBottom w:val="0"/>
      <w:divBdr>
        <w:top w:val="none" w:sz="0" w:space="0" w:color="auto"/>
        <w:left w:val="none" w:sz="0" w:space="0" w:color="auto"/>
        <w:bottom w:val="none" w:sz="0" w:space="0" w:color="auto"/>
        <w:right w:val="none" w:sz="0" w:space="0" w:color="auto"/>
      </w:divBdr>
    </w:div>
    <w:div w:id="1711953246">
      <w:bodyDiv w:val="1"/>
      <w:marLeft w:val="0"/>
      <w:marRight w:val="0"/>
      <w:marTop w:val="0"/>
      <w:marBottom w:val="0"/>
      <w:divBdr>
        <w:top w:val="none" w:sz="0" w:space="0" w:color="auto"/>
        <w:left w:val="none" w:sz="0" w:space="0" w:color="auto"/>
        <w:bottom w:val="none" w:sz="0" w:space="0" w:color="auto"/>
        <w:right w:val="none" w:sz="0" w:space="0" w:color="auto"/>
      </w:divBdr>
    </w:div>
    <w:div w:id="1898348482">
      <w:bodyDiv w:val="1"/>
      <w:marLeft w:val="0"/>
      <w:marRight w:val="0"/>
      <w:marTop w:val="0"/>
      <w:marBottom w:val="0"/>
      <w:divBdr>
        <w:top w:val="none" w:sz="0" w:space="0" w:color="auto"/>
        <w:left w:val="none" w:sz="0" w:space="0" w:color="auto"/>
        <w:bottom w:val="none" w:sz="0" w:space="0" w:color="auto"/>
        <w:right w:val="none" w:sz="0" w:space="0" w:color="auto"/>
      </w:divBdr>
      <w:divsChild>
        <w:div w:id="1799836384">
          <w:marLeft w:val="0"/>
          <w:marRight w:val="0"/>
          <w:marTop w:val="0"/>
          <w:marBottom w:val="0"/>
          <w:divBdr>
            <w:top w:val="none" w:sz="0" w:space="0" w:color="auto"/>
            <w:left w:val="none" w:sz="0" w:space="0" w:color="auto"/>
            <w:bottom w:val="none" w:sz="0" w:space="0" w:color="auto"/>
            <w:right w:val="none" w:sz="0" w:space="0" w:color="auto"/>
          </w:divBdr>
          <w:divsChild>
            <w:div w:id="452750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header" Target="header2.xml"/><Relationship Id="rId3" Type="http://schemas.openxmlformats.org/officeDocument/2006/relationships/numbering" Target="numbering.xml"/><Relationship Id="rId21" Type="http://schemas.openxmlformats.org/officeDocument/2006/relationships/header" Target="header3.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footer" Target="footer1.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footer" Target="footer3.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VT5AHjH3hOHQcxLOJ/oSmP2TI0g==">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</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00BDA10C-5920-0A46-85F4-999AC788B9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16</Pages>
  <Words>1691</Words>
  <Characters>9645</Characters>
  <Application>Microsoft Office Word</Application>
  <DocSecurity>0</DocSecurity>
  <Lines>80</Lines>
  <Paragraphs>22</Paragraphs>
  <ScaleCrop>false</ScaleCrop>
  <HeadingPairs>
    <vt:vector size="2" baseType="variant">
      <vt:variant>
        <vt:lpstr>제목</vt:lpstr>
      </vt:variant>
      <vt:variant>
        <vt:i4>1</vt:i4>
      </vt:variant>
    </vt:vector>
  </HeadingPairs>
  <TitlesOfParts>
    <vt:vector size="1" baseType="lpstr">
      <vt:lpstr/>
    </vt:vector>
  </TitlesOfParts>
  <Company/>
  <LinksUpToDate>false</LinksUpToDate>
  <CharactersWithSpaces>11314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김현민(컴퓨터공학과)</cp:lastModifiedBy>
  <cp:revision>2</cp:revision>
  <dcterms:created xsi:type="dcterms:W3CDTF">2026-05-29T09:15:00Z</dcterms:created>
  <dcterms:modified xsi:type="dcterms:W3CDTF">2026-05-29T09:15:00Z</dcterms:modified>
</cp:coreProperties>
</file>