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D3E5" w14:textId="77777777" w:rsidR="005273EF" w:rsidRPr="005273EF" w:rsidRDefault="005273EF" w:rsidP="008823FD">
      <w:pPr>
        <w:spacing w:after="0" w:line="360" w:lineRule="auto"/>
        <w:rPr>
          <w:rFonts w:ascii="Arial" w:hAnsi="Arial" w:cs="Arial"/>
          <w:b/>
          <w:bCs/>
        </w:rPr>
      </w:pPr>
      <w:r w:rsidRPr="005273EF">
        <w:rPr>
          <w:rFonts w:ascii="Arial" w:hAnsi="Arial" w:cs="Arial"/>
          <w:b/>
          <w:bCs/>
        </w:rPr>
        <w:t>Appendix C</w:t>
      </w:r>
    </w:p>
    <w:p w14:paraId="52AEA898" w14:textId="77777777" w:rsidR="005273EF" w:rsidRPr="005273EF" w:rsidRDefault="005273EF" w:rsidP="008823FD">
      <w:pPr>
        <w:spacing w:after="0" w:line="360" w:lineRule="auto"/>
        <w:rPr>
          <w:rFonts w:ascii="Arial" w:hAnsi="Arial" w:cs="Arial"/>
          <w:i/>
          <w:iCs/>
        </w:rPr>
      </w:pPr>
      <w:r w:rsidRPr="005273EF">
        <w:rPr>
          <w:rFonts w:ascii="Arial" w:hAnsi="Arial" w:cs="Arial"/>
          <w:i/>
          <w:iCs/>
        </w:rPr>
        <w:t>Detailed explanation of the Propensity Score Matching procedure</w:t>
      </w:r>
    </w:p>
    <w:p w14:paraId="78049F9E" w14:textId="15D1276E" w:rsidR="005273EF" w:rsidRDefault="005273EF" w:rsidP="008823FD">
      <w:pPr>
        <w:spacing w:after="0" w:line="360" w:lineRule="auto"/>
        <w:rPr>
          <w:rFonts w:ascii="Arial" w:hAnsi="Arial" w:cs="Arial"/>
        </w:rPr>
      </w:pPr>
      <w:r w:rsidRPr="005273EF">
        <w:rPr>
          <w:rFonts w:ascii="Arial" w:hAnsi="Arial" w:cs="Arial"/>
        </w:rPr>
        <w:t>Before matching, imbalance between the study group (n = 111) and the full pool of adult residents available for matching (n &gt; 400,000) was already small on the demographic characteristics, likely because the large donor pool increased the likelihood of identifying close or even exact matches for most demographic variables. After applying nearest-neighbor propensity score matching, the balance improved further and reached near-perfect levels. Standardized mean differences were reduced to 0% for all demographic variables, variance ratios were exactly 1.00, and global balance indicators (Pseudo-R² ≈ 0, Rubin’s B = 0.0, Rubin’s R = 1.00) all fell well within recommended thresholds. These results demonstrate that the matching procedure successfully created a propensity score matched sample that was statistically indistinguishable from the study group on all included demographic variables (Table 3).</w:t>
      </w:r>
    </w:p>
    <w:p w14:paraId="63D443A3" w14:textId="77777777" w:rsidR="005273EF" w:rsidRPr="005273EF" w:rsidRDefault="005273EF" w:rsidP="008823FD">
      <w:pPr>
        <w:spacing w:after="0" w:line="360" w:lineRule="auto"/>
        <w:rPr>
          <w:rFonts w:ascii="Arial" w:hAnsi="Arial" w:cs="Arial"/>
          <w:i/>
          <w:iCs/>
        </w:rPr>
      </w:pPr>
    </w:p>
    <w:p w14:paraId="646C55A0" w14:textId="77777777" w:rsidR="005273EF" w:rsidRPr="005273EF" w:rsidRDefault="005273EF" w:rsidP="008823FD">
      <w:pPr>
        <w:spacing w:after="0" w:line="240" w:lineRule="auto"/>
        <w:rPr>
          <w:rFonts w:ascii="Arial" w:hAnsi="Arial" w:cs="Arial"/>
          <w:i/>
          <w:iCs/>
        </w:rPr>
      </w:pPr>
      <w:r w:rsidRPr="005273EF">
        <w:rPr>
          <w:rFonts w:ascii="Arial" w:hAnsi="Arial" w:cs="Arial"/>
          <w:i/>
          <w:iCs/>
        </w:rPr>
        <w:t>Table 3. Propensity score matching balance check and number of individuals in the study group and propensity score matched sample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68"/>
        <w:gridCol w:w="512"/>
        <w:gridCol w:w="889"/>
        <w:gridCol w:w="889"/>
        <w:gridCol w:w="816"/>
        <w:gridCol w:w="1094"/>
        <w:gridCol w:w="823"/>
        <w:gridCol w:w="767"/>
        <w:gridCol w:w="1158"/>
      </w:tblGrid>
      <w:tr w:rsidR="005273EF" w:rsidRPr="005273EF" w14:paraId="5587998F" w14:textId="77777777" w:rsidTr="005273EF">
        <w:tc>
          <w:tcPr>
            <w:tcW w:w="2580" w:type="dxa"/>
            <w:gridSpan w:val="2"/>
            <w:vAlign w:val="bottom"/>
          </w:tcPr>
          <w:p w14:paraId="2FFE9F0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 xml:space="preserve">        Unmatched</w:t>
            </w:r>
          </w:p>
          <w:p w14:paraId="56275F80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Variable                        Matched</w:t>
            </w:r>
          </w:p>
        </w:tc>
        <w:tc>
          <w:tcPr>
            <w:tcW w:w="1778" w:type="dxa"/>
            <w:gridSpan w:val="2"/>
            <w:vAlign w:val="bottom"/>
          </w:tcPr>
          <w:p w14:paraId="3F87A5CA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Mean</w:t>
            </w:r>
          </w:p>
          <w:p w14:paraId="51F00CA0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Treated   Control</w:t>
            </w:r>
          </w:p>
        </w:tc>
        <w:tc>
          <w:tcPr>
            <w:tcW w:w="816" w:type="dxa"/>
            <w:vAlign w:val="bottom"/>
          </w:tcPr>
          <w:p w14:paraId="01213297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%bias</w:t>
            </w:r>
          </w:p>
        </w:tc>
        <w:tc>
          <w:tcPr>
            <w:tcW w:w="1094" w:type="dxa"/>
            <w:vAlign w:val="bottom"/>
          </w:tcPr>
          <w:p w14:paraId="719E83E0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%</w:t>
            </w:r>
            <w:proofErr w:type="spellStart"/>
            <w:r w:rsidRPr="005273EF">
              <w:rPr>
                <w:rFonts w:ascii="Arial" w:hAnsi="Arial" w:cs="Arial"/>
              </w:rPr>
              <w:t>reduct</w:t>
            </w:r>
            <w:proofErr w:type="spellEnd"/>
            <w:r w:rsidRPr="005273EF">
              <w:rPr>
                <w:rFonts w:ascii="Arial" w:hAnsi="Arial" w:cs="Arial"/>
              </w:rPr>
              <w:t xml:space="preserve"> |bias|</w:t>
            </w:r>
          </w:p>
        </w:tc>
        <w:tc>
          <w:tcPr>
            <w:tcW w:w="1590" w:type="dxa"/>
            <w:gridSpan w:val="2"/>
            <w:vAlign w:val="bottom"/>
          </w:tcPr>
          <w:p w14:paraId="69360AFB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t-test</w:t>
            </w:r>
          </w:p>
          <w:p w14:paraId="5950260F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 xml:space="preserve">  t       p&gt;|t|</w:t>
            </w:r>
          </w:p>
        </w:tc>
        <w:tc>
          <w:tcPr>
            <w:tcW w:w="1158" w:type="dxa"/>
            <w:vAlign w:val="bottom"/>
          </w:tcPr>
          <w:p w14:paraId="72D0F659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V(T)/ V(C)</w:t>
            </w:r>
          </w:p>
        </w:tc>
      </w:tr>
      <w:tr w:rsidR="005273EF" w:rsidRPr="005273EF" w14:paraId="67C91BA6" w14:textId="77777777" w:rsidTr="005273EF">
        <w:tc>
          <w:tcPr>
            <w:tcW w:w="2068" w:type="dxa"/>
          </w:tcPr>
          <w:p w14:paraId="4E1AEC13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Gender</w:t>
            </w:r>
          </w:p>
        </w:tc>
        <w:tc>
          <w:tcPr>
            <w:tcW w:w="512" w:type="dxa"/>
            <w:vAlign w:val="bottom"/>
          </w:tcPr>
          <w:p w14:paraId="79DF68A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U</w:t>
            </w:r>
          </w:p>
          <w:p w14:paraId="0ABF6B2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</w:t>
            </w:r>
          </w:p>
        </w:tc>
        <w:tc>
          <w:tcPr>
            <w:tcW w:w="889" w:type="dxa"/>
            <w:vAlign w:val="center"/>
          </w:tcPr>
          <w:p w14:paraId="6C7F44F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1.6847</w:t>
            </w:r>
          </w:p>
          <w:p w14:paraId="698654C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1.6847</w:t>
            </w:r>
          </w:p>
        </w:tc>
        <w:tc>
          <w:tcPr>
            <w:tcW w:w="889" w:type="dxa"/>
            <w:vAlign w:val="center"/>
          </w:tcPr>
          <w:p w14:paraId="616E6ED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1.6699</w:t>
            </w:r>
          </w:p>
          <w:p w14:paraId="649E27AF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1.6847</w:t>
            </w:r>
          </w:p>
        </w:tc>
        <w:tc>
          <w:tcPr>
            <w:tcW w:w="816" w:type="dxa"/>
            <w:vAlign w:val="center"/>
          </w:tcPr>
          <w:p w14:paraId="226543A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3.1</w:t>
            </w:r>
          </w:p>
          <w:p w14:paraId="21E1712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1094" w:type="dxa"/>
            <w:vAlign w:val="center"/>
          </w:tcPr>
          <w:p w14:paraId="60BDC472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</w:p>
          <w:p w14:paraId="6B2631D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100.0</w:t>
            </w:r>
          </w:p>
        </w:tc>
        <w:tc>
          <w:tcPr>
            <w:tcW w:w="823" w:type="dxa"/>
            <w:vAlign w:val="center"/>
          </w:tcPr>
          <w:p w14:paraId="3353CD1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0.23</w:t>
            </w:r>
          </w:p>
          <w:p w14:paraId="30EEE0AA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-0.00</w:t>
            </w:r>
          </w:p>
        </w:tc>
        <w:tc>
          <w:tcPr>
            <w:tcW w:w="767" w:type="dxa"/>
            <w:vAlign w:val="center"/>
          </w:tcPr>
          <w:p w14:paraId="572DAB47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0.818</w:t>
            </w:r>
          </w:p>
          <w:p w14:paraId="0E10B49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1.000</w:t>
            </w:r>
          </w:p>
        </w:tc>
        <w:tc>
          <w:tcPr>
            <w:tcW w:w="1158" w:type="dxa"/>
            <w:vAlign w:val="center"/>
          </w:tcPr>
          <w:p w14:paraId="31ED9B24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0.98</w:t>
            </w:r>
          </w:p>
          <w:p w14:paraId="03657F1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</w:tc>
      </w:tr>
      <w:tr w:rsidR="005273EF" w:rsidRPr="005273EF" w14:paraId="784F8FCF" w14:textId="77777777" w:rsidTr="005273EF">
        <w:tc>
          <w:tcPr>
            <w:tcW w:w="2068" w:type="dxa"/>
          </w:tcPr>
          <w:p w14:paraId="29369309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Age</w:t>
            </w:r>
          </w:p>
        </w:tc>
        <w:tc>
          <w:tcPr>
            <w:tcW w:w="512" w:type="dxa"/>
            <w:vAlign w:val="bottom"/>
          </w:tcPr>
          <w:p w14:paraId="2DB3910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U</w:t>
            </w:r>
          </w:p>
          <w:p w14:paraId="5CD0257E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</w:t>
            </w:r>
          </w:p>
        </w:tc>
        <w:tc>
          <w:tcPr>
            <w:tcW w:w="889" w:type="dxa"/>
            <w:vAlign w:val="center"/>
          </w:tcPr>
          <w:p w14:paraId="383B2C17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1.4685</w:t>
            </w:r>
          </w:p>
          <w:p w14:paraId="5117359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1.4685</w:t>
            </w:r>
          </w:p>
        </w:tc>
        <w:tc>
          <w:tcPr>
            <w:tcW w:w="889" w:type="dxa"/>
            <w:vAlign w:val="center"/>
          </w:tcPr>
          <w:p w14:paraId="027097EA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1.4951</w:t>
            </w:r>
          </w:p>
          <w:p w14:paraId="34809140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1.4685</w:t>
            </w:r>
          </w:p>
        </w:tc>
        <w:tc>
          <w:tcPr>
            <w:tcW w:w="816" w:type="dxa"/>
            <w:vAlign w:val="center"/>
          </w:tcPr>
          <w:p w14:paraId="4351024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-4.0</w:t>
            </w:r>
          </w:p>
          <w:p w14:paraId="15D1D103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1094" w:type="dxa"/>
            <w:vAlign w:val="center"/>
          </w:tcPr>
          <w:p w14:paraId="2D4C2AC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</w:p>
          <w:p w14:paraId="5E128B4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100.0</w:t>
            </w:r>
          </w:p>
        </w:tc>
        <w:tc>
          <w:tcPr>
            <w:tcW w:w="823" w:type="dxa"/>
            <w:vAlign w:val="center"/>
          </w:tcPr>
          <w:p w14:paraId="087530D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-0.29</w:t>
            </w:r>
          </w:p>
          <w:p w14:paraId="12DF044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-0.00</w:t>
            </w:r>
          </w:p>
        </w:tc>
        <w:tc>
          <w:tcPr>
            <w:tcW w:w="767" w:type="dxa"/>
            <w:vAlign w:val="center"/>
          </w:tcPr>
          <w:p w14:paraId="10B46B78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0.769</w:t>
            </w:r>
          </w:p>
          <w:p w14:paraId="748B933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1.000</w:t>
            </w:r>
          </w:p>
        </w:tc>
        <w:tc>
          <w:tcPr>
            <w:tcW w:w="1158" w:type="dxa"/>
            <w:vAlign w:val="center"/>
          </w:tcPr>
          <w:p w14:paraId="299C714A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0.97</w:t>
            </w:r>
          </w:p>
          <w:p w14:paraId="71B2ED8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</w:tc>
      </w:tr>
      <w:tr w:rsidR="005273EF" w:rsidRPr="005273EF" w14:paraId="7717DB56" w14:textId="77777777" w:rsidTr="005273EF">
        <w:tc>
          <w:tcPr>
            <w:tcW w:w="2068" w:type="dxa"/>
          </w:tcPr>
          <w:p w14:paraId="1F4CFFE6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Ethnicity</w:t>
            </w:r>
          </w:p>
        </w:tc>
        <w:tc>
          <w:tcPr>
            <w:tcW w:w="512" w:type="dxa"/>
            <w:vAlign w:val="bottom"/>
          </w:tcPr>
          <w:p w14:paraId="6801CC3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U</w:t>
            </w:r>
          </w:p>
          <w:p w14:paraId="2804DDAF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</w:t>
            </w:r>
          </w:p>
        </w:tc>
        <w:tc>
          <w:tcPr>
            <w:tcW w:w="889" w:type="dxa"/>
            <w:vAlign w:val="center"/>
          </w:tcPr>
          <w:p w14:paraId="5DB94BC7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1.4595</w:t>
            </w:r>
          </w:p>
          <w:p w14:paraId="289CFCE4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1.4595</w:t>
            </w:r>
          </w:p>
        </w:tc>
        <w:tc>
          <w:tcPr>
            <w:tcW w:w="889" w:type="dxa"/>
            <w:vAlign w:val="center"/>
          </w:tcPr>
          <w:p w14:paraId="299E8A60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1.466</w:t>
            </w:r>
          </w:p>
          <w:p w14:paraId="422F4CA8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1.4595</w:t>
            </w:r>
          </w:p>
        </w:tc>
        <w:tc>
          <w:tcPr>
            <w:tcW w:w="816" w:type="dxa"/>
            <w:vAlign w:val="center"/>
          </w:tcPr>
          <w:p w14:paraId="2B9CA352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-1.3</w:t>
            </w:r>
          </w:p>
          <w:p w14:paraId="333255E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1094" w:type="dxa"/>
            <w:vAlign w:val="center"/>
          </w:tcPr>
          <w:p w14:paraId="2D168C4F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</w:p>
          <w:p w14:paraId="5511832C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100.0</w:t>
            </w:r>
          </w:p>
        </w:tc>
        <w:tc>
          <w:tcPr>
            <w:tcW w:w="823" w:type="dxa"/>
            <w:vAlign w:val="center"/>
          </w:tcPr>
          <w:p w14:paraId="1BE20BF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-0.10</w:t>
            </w:r>
          </w:p>
          <w:p w14:paraId="49F212E4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0.00</w:t>
            </w:r>
          </w:p>
        </w:tc>
        <w:tc>
          <w:tcPr>
            <w:tcW w:w="767" w:type="dxa"/>
            <w:vAlign w:val="center"/>
          </w:tcPr>
          <w:p w14:paraId="66CBA0F3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0.924</w:t>
            </w:r>
          </w:p>
          <w:p w14:paraId="2CEA683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1.000</w:t>
            </w:r>
          </w:p>
        </w:tc>
        <w:tc>
          <w:tcPr>
            <w:tcW w:w="1158" w:type="dxa"/>
            <w:vAlign w:val="center"/>
          </w:tcPr>
          <w:p w14:paraId="37ADBD7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  <w:p w14:paraId="1F4A0E6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</w:tc>
      </w:tr>
      <w:tr w:rsidR="005273EF" w:rsidRPr="005273EF" w14:paraId="7E7ADEAB" w14:textId="77777777" w:rsidTr="005273EF">
        <w:tc>
          <w:tcPr>
            <w:tcW w:w="2068" w:type="dxa"/>
          </w:tcPr>
          <w:p w14:paraId="6946627C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Household size</w:t>
            </w:r>
          </w:p>
        </w:tc>
        <w:tc>
          <w:tcPr>
            <w:tcW w:w="512" w:type="dxa"/>
            <w:vAlign w:val="bottom"/>
          </w:tcPr>
          <w:p w14:paraId="4C3D0CC8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U</w:t>
            </w:r>
          </w:p>
          <w:p w14:paraId="5D20376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</w:t>
            </w:r>
          </w:p>
        </w:tc>
        <w:tc>
          <w:tcPr>
            <w:tcW w:w="889" w:type="dxa"/>
            <w:vAlign w:val="center"/>
          </w:tcPr>
          <w:p w14:paraId="37FAA06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1.8378</w:t>
            </w:r>
          </w:p>
          <w:p w14:paraId="24E90A94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1.8378</w:t>
            </w:r>
          </w:p>
        </w:tc>
        <w:tc>
          <w:tcPr>
            <w:tcW w:w="889" w:type="dxa"/>
            <w:vAlign w:val="center"/>
          </w:tcPr>
          <w:p w14:paraId="1B47A43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1.8252</w:t>
            </w:r>
          </w:p>
          <w:p w14:paraId="26737A4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1.8378</w:t>
            </w:r>
          </w:p>
        </w:tc>
        <w:tc>
          <w:tcPr>
            <w:tcW w:w="816" w:type="dxa"/>
            <w:vAlign w:val="center"/>
          </w:tcPr>
          <w:p w14:paraId="37275E72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1.6</w:t>
            </w:r>
          </w:p>
          <w:p w14:paraId="7C5F150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1094" w:type="dxa"/>
            <w:vAlign w:val="center"/>
          </w:tcPr>
          <w:p w14:paraId="66B690AC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</w:p>
          <w:p w14:paraId="04D8FC5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100.0</w:t>
            </w:r>
          </w:p>
        </w:tc>
        <w:tc>
          <w:tcPr>
            <w:tcW w:w="823" w:type="dxa"/>
            <w:vAlign w:val="center"/>
          </w:tcPr>
          <w:p w14:paraId="13545D23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0.11</w:t>
            </w:r>
          </w:p>
          <w:p w14:paraId="2685B38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0.00</w:t>
            </w:r>
          </w:p>
        </w:tc>
        <w:tc>
          <w:tcPr>
            <w:tcW w:w="767" w:type="dxa"/>
            <w:vAlign w:val="center"/>
          </w:tcPr>
          <w:p w14:paraId="7245E5A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0.909</w:t>
            </w:r>
          </w:p>
          <w:p w14:paraId="7E88827F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1.000</w:t>
            </w:r>
          </w:p>
        </w:tc>
        <w:tc>
          <w:tcPr>
            <w:tcW w:w="1158" w:type="dxa"/>
            <w:vAlign w:val="center"/>
          </w:tcPr>
          <w:p w14:paraId="560336F3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0.99</w:t>
            </w:r>
          </w:p>
          <w:p w14:paraId="545FE902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</w:tc>
      </w:tr>
      <w:tr w:rsidR="005273EF" w:rsidRPr="005273EF" w14:paraId="368DE2FC" w14:textId="77777777" w:rsidTr="005273EF">
        <w:tc>
          <w:tcPr>
            <w:tcW w:w="2068" w:type="dxa"/>
          </w:tcPr>
          <w:p w14:paraId="4ABD4A5F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Standardized disposable household income</w:t>
            </w:r>
          </w:p>
        </w:tc>
        <w:tc>
          <w:tcPr>
            <w:tcW w:w="512" w:type="dxa"/>
            <w:vAlign w:val="bottom"/>
          </w:tcPr>
          <w:p w14:paraId="5ADAE8EA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U</w:t>
            </w:r>
          </w:p>
          <w:p w14:paraId="1B264103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</w:t>
            </w:r>
          </w:p>
        </w:tc>
        <w:tc>
          <w:tcPr>
            <w:tcW w:w="889" w:type="dxa"/>
            <w:vAlign w:val="center"/>
          </w:tcPr>
          <w:p w14:paraId="2598C810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63.477</w:t>
            </w:r>
          </w:p>
          <w:p w14:paraId="713FDB9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63.477</w:t>
            </w:r>
          </w:p>
        </w:tc>
        <w:tc>
          <w:tcPr>
            <w:tcW w:w="889" w:type="dxa"/>
            <w:vAlign w:val="center"/>
          </w:tcPr>
          <w:p w14:paraId="39D7F82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63.223</w:t>
            </w:r>
          </w:p>
          <w:p w14:paraId="2D5821A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63.477</w:t>
            </w:r>
          </w:p>
        </w:tc>
        <w:tc>
          <w:tcPr>
            <w:tcW w:w="816" w:type="dxa"/>
            <w:vAlign w:val="center"/>
          </w:tcPr>
          <w:p w14:paraId="2910A917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1.4</w:t>
            </w:r>
          </w:p>
          <w:p w14:paraId="7F339684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1094" w:type="dxa"/>
            <w:vAlign w:val="center"/>
          </w:tcPr>
          <w:p w14:paraId="79224ADF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</w:p>
          <w:p w14:paraId="339F563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100.0</w:t>
            </w:r>
          </w:p>
        </w:tc>
        <w:tc>
          <w:tcPr>
            <w:tcW w:w="823" w:type="dxa"/>
            <w:vAlign w:val="center"/>
          </w:tcPr>
          <w:p w14:paraId="02BAF93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0.10</w:t>
            </w:r>
          </w:p>
          <w:p w14:paraId="59F74ACE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-0.00</w:t>
            </w:r>
          </w:p>
        </w:tc>
        <w:tc>
          <w:tcPr>
            <w:tcW w:w="767" w:type="dxa"/>
            <w:vAlign w:val="center"/>
          </w:tcPr>
          <w:p w14:paraId="7EFDB7E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0.921</w:t>
            </w:r>
          </w:p>
          <w:p w14:paraId="6684D51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1.000</w:t>
            </w:r>
          </w:p>
        </w:tc>
        <w:tc>
          <w:tcPr>
            <w:tcW w:w="1158" w:type="dxa"/>
            <w:vAlign w:val="center"/>
          </w:tcPr>
          <w:p w14:paraId="10EF817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  <w:p w14:paraId="4F45745D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</w:tc>
      </w:tr>
    </w:tbl>
    <w:p w14:paraId="7C49B728" w14:textId="77777777" w:rsidR="005273EF" w:rsidRPr="005273EF" w:rsidRDefault="005273EF" w:rsidP="008823FD">
      <w:pPr>
        <w:spacing w:after="0" w:line="240" w:lineRule="auto"/>
        <w:rPr>
          <w:rFonts w:ascii="Arial" w:hAnsi="Arial" w:cs="Arial"/>
        </w:rPr>
      </w:pPr>
      <w:r w:rsidRPr="005273EF">
        <w:rPr>
          <w:rFonts w:ascii="Arial" w:hAnsi="Arial" w:cs="Arial"/>
        </w:rPr>
        <w:t>*If variance ratio outside [0.69; 1.46] for U and [0.69; 1.69] for M</w:t>
      </w:r>
    </w:p>
    <w:p w14:paraId="33048307" w14:textId="77777777" w:rsidR="005273EF" w:rsidRPr="005273EF" w:rsidRDefault="005273EF" w:rsidP="008823FD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42"/>
        <w:gridCol w:w="890"/>
        <w:gridCol w:w="921"/>
        <w:gridCol w:w="1084"/>
        <w:gridCol w:w="1236"/>
        <w:gridCol w:w="1169"/>
        <w:gridCol w:w="799"/>
        <w:gridCol w:w="796"/>
        <w:gridCol w:w="779"/>
      </w:tblGrid>
      <w:tr w:rsidR="005273EF" w:rsidRPr="005273EF" w14:paraId="1F410362" w14:textId="77777777" w:rsidTr="005E4A9A">
        <w:tc>
          <w:tcPr>
            <w:tcW w:w="1133" w:type="dxa"/>
          </w:tcPr>
          <w:p w14:paraId="4F236302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Sample</w:t>
            </w:r>
          </w:p>
        </w:tc>
        <w:tc>
          <w:tcPr>
            <w:tcW w:w="913" w:type="dxa"/>
          </w:tcPr>
          <w:p w14:paraId="1B9A17CC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Ps R2</w:t>
            </w:r>
          </w:p>
        </w:tc>
        <w:tc>
          <w:tcPr>
            <w:tcW w:w="971" w:type="dxa"/>
          </w:tcPr>
          <w:p w14:paraId="018FBF4F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LR chi2</w:t>
            </w:r>
          </w:p>
        </w:tc>
        <w:tc>
          <w:tcPr>
            <w:tcW w:w="1114" w:type="dxa"/>
          </w:tcPr>
          <w:p w14:paraId="02AAF725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p&gt;Chi2</w:t>
            </w:r>
          </w:p>
        </w:tc>
        <w:tc>
          <w:tcPr>
            <w:tcW w:w="1244" w:type="dxa"/>
          </w:tcPr>
          <w:p w14:paraId="73D7F7D1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proofErr w:type="spellStart"/>
            <w:r w:rsidRPr="005273EF">
              <w:rPr>
                <w:rFonts w:ascii="Arial" w:hAnsi="Arial" w:cs="Arial"/>
              </w:rPr>
              <w:t>MeanBias</w:t>
            </w:r>
            <w:proofErr w:type="spellEnd"/>
          </w:p>
        </w:tc>
        <w:tc>
          <w:tcPr>
            <w:tcW w:w="1186" w:type="dxa"/>
          </w:tcPr>
          <w:p w14:paraId="3F4B0D2A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proofErr w:type="spellStart"/>
            <w:r w:rsidRPr="005273EF">
              <w:rPr>
                <w:rFonts w:ascii="Arial" w:hAnsi="Arial" w:cs="Arial"/>
              </w:rPr>
              <w:t>MedBias</w:t>
            </w:r>
            <w:proofErr w:type="spellEnd"/>
          </w:p>
        </w:tc>
        <w:tc>
          <w:tcPr>
            <w:tcW w:w="849" w:type="dxa"/>
          </w:tcPr>
          <w:p w14:paraId="3D44D5B5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B</w:t>
            </w:r>
          </w:p>
        </w:tc>
        <w:tc>
          <w:tcPr>
            <w:tcW w:w="823" w:type="dxa"/>
          </w:tcPr>
          <w:p w14:paraId="14C7453E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R</w:t>
            </w:r>
          </w:p>
        </w:tc>
        <w:tc>
          <w:tcPr>
            <w:tcW w:w="783" w:type="dxa"/>
          </w:tcPr>
          <w:p w14:paraId="3BB80FC0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%Var</w:t>
            </w:r>
          </w:p>
        </w:tc>
      </w:tr>
      <w:tr w:rsidR="005273EF" w:rsidRPr="005273EF" w14:paraId="6AEED607" w14:textId="77777777" w:rsidTr="005E4A9A">
        <w:tc>
          <w:tcPr>
            <w:tcW w:w="1133" w:type="dxa"/>
          </w:tcPr>
          <w:p w14:paraId="1C2B76C8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Unmatched</w:t>
            </w:r>
          </w:p>
          <w:p w14:paraId="4A78A8A1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Matched</w:t>
            </w:r>
          </w:p>
        </w:tc>
        <w:tc>
          <w:tcPr>
            <w:tcW w:w="913" w:type="dxa"/>
            <w:vAlign w:val="center"/>
          </w:tcPr>
          <w:p w14:paraId="11E9F764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0.001</w:t>
            </w:r>
          </w:p>
          <w:p w14:paraId="57C4751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-0.000</w:t>
            </w:r>
          </w:p>
        </w:tc>
        <w:tc>
          <w:tcPr>
            <w:tcW w:w="971" w:type="dxa"/>
            <w:vAlign w:val="center"/>
          </w:tcPr>
          <w:p w14:paraId="26CC00C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0.18</w:t>
            </w:r>
          </w:p>
          <w:p w14:paraId="7B4729A2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-0.00</w:t>
            </w:r>
          </w:p>
        </w:tc>
        <w:tc>
          <w:tcPr>
            <w:tcW w:w="1114" w:type="dxa"/>
            <w:vAlign w:val="center"/>
          </w:tcPr>
          <w:p w14:paraId="74152D6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0.999</w:t>
            </w:r>
          </w:p>
          <w:p w14:paraId="6B7BA481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1.000</w:t>
            </w:r>
          </w:p>
        </w:tc>
        <w:tc>
          <w:tcPr>
            <w:tcW w:w="1244" w:type="dxa"/>
            <w:vAlign w:val="center"/>
          </w:tcPr>
          <w:p w14:paraId="0162CBD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2.3</w:t>
            </w:r>
          </w:p>
          <w:p w14:paraId="4632F55C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1186" w:type="dxa"/>
            <w:vAlign w:val="center"/>
          </w:tcPr>
          <w:p w14:paraId="2BFBA6BC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1.6</w:t>
            </w:r>
          </w:p>
          <w:p w14:paraId="70385735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849" w:type="dxa"/>
            <w:vAlign w:val="center"/>
          </w:tcPr>
          <w:p w14:paraId="3C766F1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5.8</w:t>
            </w:r>
          </w:p>
          <w:p w14:paraId="269068F3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0.0</w:t>
            </w:r>
          </w:p>
        </w:tc>
        <w:tc>
          <w:tcPr>
            <w:tcW w:w="823" w:type="dxa"/>
            <w:vAlign w:val="center"/>
          </w:tcPr>
          <w:p w14:paraId="0D16F079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1.02</w:t>
            </w:r>
          </w:p>
          <w:p w14:paraId="4413FC4B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1.00</w:t>
            </w:r>
          </w:p>
        </w:tc>
        <w:tc>
          <w:tcPr>
            <w:tcW w:w="783" w:type="dxa"/>
            <w:vAlign w:val="center"/>
          </w:tcPr>
          <w:p w14:paraId="4DC294C6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</w:t>
            </w:r>
          </w:p>
          <w:p w14:paraId="3CD24D5E" w14:textId="77777777" w:rsidR="005273EF" w:rsidRPr="005273EF" w:rsidRDefault="005273EF" w:rsidP="008823FD">
            <w:pPr>
              <w:jc w:val="right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</w:t>
            </w:r>
          </w:p>
        </w:tc>
      </w:tr>
    </w:tbl>
    <w:p w14:paraId="6795C44D" w14:textId="77777777" w:rsidR="005273EF" w:rsidRPr="005273EF" w:rsidRDefault="005273EF" w:rsidP="008823FD">
      <w:pPr>
        <w:spacing w:after="0" w:line="240" w:lineRule="auto"/>
        <w:rPr>
          <w:rFonts w:ascii="Arial" w:hAnsi="Arial" w:cs="Arial"/>
        </w:rPr>
      </w:pPr>
      <w:r w:rsidRPr="005273EF">
        <w:rPr>
          <w:rFonts w:ascii="Arial" w:hAnsi="Arial" w:cs="Arial"/>
        </w:rPr>
        <w:t>* If B&gt;25%, R outside [0.5; 2]</w:t>
      </w:r>
    </w:p>
    <w:p w14:paraId="77989E41" w14:textId="77777777" w:rsidR="005273EF" w:rsidRPr="005273EF" w:rsidRDefault="005273EF" w:rsidP="008823FD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60"/>
        <w:gridCol w:w="706"/>
        <w:gridCol w:w="584"/>
        <w:gridCol w:w="584"/>
        <w:gridCol w:w="902"/>
      </w:tblGrid>
      <w:tr w:rsidR="005273EF" w:rsidRPr="005273EF" w14:paraId="5ED5A419" w14:textId="77777777" w:rsidTr="005E4A9A">
        <w:tc>
          <w:tcPr>
            <w:tcW w:w="1555" w:type="dxa"/>
            <w:gridSpan w:val="2"/>
            <w:vMerge w:val="restart"/>
          </w:tcPr>
          <w:p w14:paraId="34FC0D1D" w14:textId="77777777" w:rsidR="005273EF" w:rsidRPr="005273EF" w:rsidRDefault="005273EF" w:rsidP="008823FD">
            <w:pPr>
              <w:rPr>
                <w:rFonts w:ascii="Arial" w:hAnsi="Arial" w:cs="Arial"/>
              </w:rPr>
            </w:pPr>
          </w:p>
        </w:tc>
        <w:tc>
          <w:tcPr>
            <w:tcW w:w="2036" w:type="dxa"/>
            <w:gridSpan w:val="3"/>
            <w:vAlign w:val="center"/>
          </w:tcPr>
          <w:p w14:paraId="448FE1C9" w14:textId="77777777" w:rsidR="005273EF" w:rsidRPr="005273EF" w:rsidRDefault="005273EF" w:rsidP="008823FD">
            <w:pPr>
              <w:jc w:val="center"/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Matched control</w:t>
            </w:r>
          </w:p>
        </w:tc>
      </w:tr>
      <w:tr w:rsidR="005273EF" w:rsidRPr="005273EF" w14:paraId="0BA1D0B9" w14:textId="77777777" w:rsidTr="005E4A9A">
        <w:tc>
          <w:tcPr>
            <w:tcW w:w="1555" w:type="dxa"/>
            <w:gridSpan w:val="2"/>
            <w:vMerge/>
          </w:tcPr>
          <w:p w14:paraId="4505493E" w14:textId="77777777" w:rsidR="005273EF" w:rsidRPr="005273EF" w:rsidRDefault="005273EF" w:rsidP="008823F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6D7BA85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</w:tcPr>
          <w:p w14:paraId="4D1B68D7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</w:t>
            </w:r>
          </w:p>
        </w:tc>
        <w:tc>
          <w:tcPr>
            <w:tcW w:w="902" w:type="dxa"/>
          </w:tcPr>
          <w:p w14:paraId="2F91E8EE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Total</w:t>
            </w:r>
          </w:p>
        </w:tc>
      </w:tr>
      <w:tr w:rsidR="005273EF" w:rsidRPr="005273EF" w14:paraId="2267D4E1" w14:textId="77777777" w:rsidTr="005E4A9A">
        <w:tc>
          <w:tcPr>
            <w:tcW w:w="907" w:type="dxa"/>
            <w:vMerge w:val="restart"/>
            <w:vAlign w:val="center"/>
          </w:tcPr>
          <w:p w14:paraId="59D11003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Matched case</w:t>
            </w:r>
          </w:p>
        </w:tc>
        <w:tc>
          <w:tcPr>
            <w:tcW w:w="648" w:type="dxa"/>
          </w:tcPr>
          <w:p w14:paraId="446035E1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</w:tcPr>
          <w:p w14:paraId="39FFDD11" w14:textId="77777777" w:rsidR="005273EF" w:rsidRPr="005273EF" w:rsidRDefault="005273EF" w:rsidP="008823F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7D0B755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103</w:t>
            </w:r>
          </w:p>
        </w:tc>
        <w:tc>
          <w:tcPr>
            <w:tcW w:w="902" w:type="dxa"/>
          </w:tcPr>
          <w:p w14:paraId="0D160FC6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103</w:t>
            </w:r>
          </w:p>
        </w:tc>
      </w:tr>
      <w:tr w:rsidR="005273EF" w:rsidRPr="005273EF" w14:paraId="709FD97F" w14:textId="77777777" w:rsidTr="005E4A9A">
        <w:tc>
          <w:tcPr>
            <w:tcW w:w="907" w:type="dxa"/>
            <w:vMerge/>
          </w:tcPr>
          <w:p w14:paraId="045E8D30" w14:textId="77777777" w:rsidR="005273EF" w:rsidRPr="005273EF" w:rsidRDefault="005273EF" w:rsidP="008823FD">
            <w:pPr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3A5B2EEC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14:paraId="5723EE52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111</w:t>
            </w:r>
          </w:p>
        </w:tc>
        <w:tc>
          <w:tcPr>
            <w:tcW w:w="567" w:type="dxa"/>
          </w:tcPr>
          <w:p w14:paraId="187AB0C9" w14:textId="77777777" w:rsidR="005273EF" w:rsidRPr="005273EF" w:rsidRDefault="005273EF" w:rsidP="008823FD">
            <w:pPr>
              <w:rPr>
                <w:rFonts w:ascii="Arial" w:hAnsi="Arial" w:cs="Arial"/>
              </w:rPr>
            </w:pPr>
          </w:p>
        </w:tc>
        <w:tc>
          <w:tcPr>
            <w:tcW w:w="902" w:type="dxa"/>
          </w:tcPr>
          <w:p w14:paraId="35DCBF33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111</w:t>
            </w:r>
          </w:p>
        </w:tc>
      </w:tr>
      <w:tr w:rsidR="005273EF" w:rsidRPr="005273EF" w14:paraId="1B807194" w14:textId="77777777" w:rsidTr="005E4A9A">
        <w:tc>
          <w:tcPr>
            <w:tcW w:w="907" w:type="dxa"/>
            <w:vMerge/>
          </w:tcPr>
          <w:p w14:paraId="3F67D266" w14:textId="77777777" w:rsidR="005273EF" w:rsidRPr="005273EF" w:rsidRDefault="005273EF" w:rsidP="008823FD">
            <w:pPr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0CFF773D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Total</w:t>
            </w:r>
          </w:p>
        </w:tc>
        <w:tc>
          <w:tcPr>
            <w:tcW w:w="567" w:type="dxa"/>
          </w:tcPr>
          <w:p w14:paraId="3F8E0D04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111</w:t>
            </w:r>
          </w:p>
        </w:tc>
        <w:tc>
          <w:tcPr>
            <w:tcW w:w="567" w:type="dxa"/>
          </w:tcPr>
          <w:p w14:paraId="47963296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103</w:t>
            </w:r>
          </w:p>
        </w:tc>
        <w:tc>
          <w:tcPr>
            <w:tcW w:w="902" w:type="dxa"/>
          </w:tcPr>
          <w:p w14:paraId="681F800D" w14:textId="77777777" w:rsidR="005273EF" w:rsidRPr="005273EF" w:rsidRDefault="005273EF" w:rsidP="008823FD">
            <w:pPr>
              <w:rPr>
                <w:rFonts w:ascii="Arial" w:hAnsi="Arial" w:cs="Arial"/>
              </w:rPr>
            </w:pPr>
            <w:r w:rsidRPr="005273EF">
              <w:rPr>
                <w:rFonts w:ascii="Arial" w:hAnsi="Arial" w:cs="Arial"/>
              </w:rPr>
              <w:t>214</w:t>
            </w:r>
          </w:p>
        </w:tc>
      </w:tr>
    </w:tbl>
    <w:p w14:paraId="6E7155EA" w14:textId="77777777" w:rsidR="005273EF" w:rsidRPr="005273EF" w:rsidRDefault="005273EF" w:rsidP="008823FD">
      <w:pPr>
        <w:rPr>
          <w:rFonts w:ascii="Arial" w:hAnsi="Arial" w:cs="Arial"/>
        </w:rPr>
      </w:pPr>
    </w:p>
    <w:sectPr w:rsidR="005273EF" w:rsidRPr="00527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EF"/>
    <w:rsid w:val="005273EF"/>
    <w:rsid w:val="008750D6"/>
    <w:rsid w:val="0088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F67C"/>
  <w15:chartTrackingRefBased/>
  <w15:docId w15:val="{55B6E551-6D93-4DD7-B937-7D3497D6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73EF"/>
    <w:pPr>
      <w:spacing w:line="259" w:lineRule="auto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273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73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73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73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73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73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73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nl-N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73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nl-N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73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7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7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7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73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73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73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73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73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73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7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527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73E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7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73E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005273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73EF"/>
    <w:pPr>
      <w:spacing w:line="278" w:lineRule="auto"/>
      <w:ind w:left="720"/>
      <w:contextualSpacing/>
    </w:pPr>
    <w:rPr>
      <w:sz w:val="2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5273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7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73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73E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273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Lammeren, Roos van (PHEG - LUMC)</dc:creator>
  <cp:keywords/>
  <dc:description/>
  <cp:lastModifiedBy>Lammeren, Roos van (PHEG - LUMC)</cp:lastModifiedBy>
  <cp:revision>2</cp:revision>
  <dcterms:created xsi:type="dcterms:W3CDTF">2026-05-28T15:00:00Z</dcterms:created>
  <dcterms:modified xsi:type="dcterms:W3CDTF">2026-05-28T15:05:00Z</dcterms:modified>
</cp:coreProperties>
</file>