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33D15" w14:textId="77777777" w:rsidR="007A4BE9" w:rsidRDefault="007A4BE9" w:rsidP="007A4BE9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Appendix B</w:t>
      </w:r>
    </w:p>
    <w:p w14:paraId="0FFB526E" w14:textId="77777777" w:rsidR="007A4BE9" w:rsidRPr="007851F4" w:rsidRDefault="007A4BE9" w:rsidP="007A4BE9">
      <w:pPr>
        <w:spacing w:line="360" w:lineRule="auto"/>
        <w:rPr>
          <w:rFonts w:ascii="Arial" w:hAnsi="Arial" w:cs="Arial"/>
          <w:i/>
          <w:iCs/>
        </w:rPr>
      </w:pPr>
      <w:r w:rsidRPr="007851F4">
        <w:rPr>
          <w:rFonts w:ascii="Arial" w:hAnsi="Arial" w:cs="Arial"/>
          <w:i/>
          <w:iCs/>
        </w:rPr>
        <w:t>Overview of descriptive variable definitions specified by demographic characteristics and socioeconomic characteristics, healthcare and social care utilization and healthcare expenditures, including definition, categories, time period and data source</w:t>
      </w:r>
      <w:r>
        <w:rPr>
          <w:rFonts w:ascii="Arial" w:hAnsi="Arial" w:cs="Arial"/>
          <w:i/>
          <w:iCs/>
        </w:rPr>
        <w:t>.</w:t>
      </w:r>
    </w:p>
    <w:tbl>
      <w:tblPr>
        <w:tblStyle w:val="Tabelraster"/>
        <w:tblW w:w="10060" w:type="dxa"/>
        <w:tblLayout w:type="fixed"/>
        <w:tblLook w:val="04A0" w:firstRow="1" w:lastRow="0" w:firstColumn="1" w:lastColumn="0" w:noHBand="0" w:noVBand="1"/>
      </w:tblPr>
      <w:tblGrid>
        <w:gridCol w:w="1977"/>
        <w:gridCol w:w="3121"/>
        <w:gridCol w:w="2410"/>
        <w:gridCol w:w="1011"/>
        <w:gridCol w:w="1541"/>
      </w:tblGrid>
      <w:tr w:rsidR="007A4BE9" w:rsidRPr="007851F4" w14:paraId="785E155D" w14:textId="77777777" w:rsidTr="005E4A9A">
        <w:tc>
          <w:tcPr>
            <w:tcW w:w="1977" w:type="dxa"/>
          </w:tcPr>
          <w:p w14:paraId="37960CEB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  <w:b/>
                <w:bCs/>
              </w:rPr>
              <w:t>Variable</w:t>
            </w:r>
          </w:p>
        </w:tc>
        <w:tc>
          <w:tcPr>
            <w:tcW w:w="3121" w:type="dxa"/>
          </w:tcPr>
          <w:p w14:paraId="127A6DB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  <w:b/>
                <w:bCs/>
              </w:rPr>
              <w:t>Definition</w:t>
            </w:r>
          </w:p>
        </w:tc>
        <w:tc>
          <w:tcPr>
            <w:tcW w:w="2410" w:type="dxa"/>
          </w:tcPr>
          <w:p w14:paraId="7DD0A161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  <w:b/>
                <w:bCs/>
              </w:rPr>
              <w:t>Unit of measurement (categories)</w:t>
            </w:r>
          </w:p>
        </w:tc>
        <w:tc>
          <w:tcPr>
            <w:tcW w:w="1011" w:type="dxa"/>
          </w:tcPr>
          <w:p w14:paraId="47CC0F82" w14:textId="77777777" w:rsidR="007A4BE9" w:rsidRPr="007851F4" w:rsidRDefault="007A4BE9" w:rsidP="005E4A9A">
            <w:pPr>
              <w:rPr>
                <w:rFonts w:ascii="Arial" w:hAnsi="Arial" w:cs="Arial"/>
                <w:b/>
                <w:bCs/>
              </w:rPr>
            </w:pPr>
            <w:r w:rsidRPr="007851F4">
              <w:rPr>
                <w:rFonts w:ascii="Arial" w:hAnsi="Arial" w:cs="Arial"/>
                <w:b/>
                <w:bCs/>
              </w:rPr>
              <w:t>Time period</w:t>
            </w:r>
          </w:p>
        </w:tc>
        <w:tc>
          <w:tcPr>
            <w:tcW w:w="1541" w:type="dxa"/>
          </w:tcPr>
          <w:p w14:paraId="7A7BBF12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  <w:b/>
                <w:bCs/>
              </w:rPr>
              <w:t>Data source*</w:t>
            </w:r>
          </w:p>
        </w:tc>
      </w:tr>
      <w:tr w:rsidR="007A4BE9" w:rsidRPr="007851F4" w14:paraId="1528936B" w14:textId="77777777" w:rsidTr="005E4A9A">
        <w:tc>
          <w:tcPr>
            <w:tcW w:w="10060" w:type="dxa"/>
            <w:gridSpan w:val="5"/>
            <w:shd w:val="clear" w:color="auto" w:fill="D1D1D1" w:themeFill="background2" w:themeFillShade="E6"/>
          </w:tcPr>
          <w:p w14:paraId="4C668C7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  <w:b/>
                <w:bCs/>
              </w:rPr>
              <w:t>Demographic and socioeconomic characteristics</w:t>
            </w:r>
          </w:p>
        </w:tc>
      </w:tr>
      <w:tr w:rsidR="007A4BE9" w:rsidRPr="007851F4" w14:paraId="3F3008E3" w14:textId="77777777" w:rsidTr="005E4A9A">
        <w:tc>
          <w:tcPr>
            <w:tcW w:w="1977" w:type="dxa"/>
          </w:tcPr>
          <w:p w14:paraId="50AC3AF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eastAsia="Times New Roman" w:hAnsi="Arial" w:cs="Arial"/>
                <w:color w:val="000000"/>
                <w:lang w:eastAsia="nl-NL"/>
              </w:rPr>
              <w:t>Age</w:t>
            </w:r>
          </w:p>
        </w:tc>
        <w:tc>
          <w:tcPr>
            <w:tcW w:w="3121" w:type="dxa"/>
          </w:tcPr>
          <w:p w14:paraId="7A5E564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Age of the included individuals, both continuous and categorical </w:t>
            </w:r>
          </w:p>
        </w:tc>
        <w:tc>
          <w:tcPr>
            <w:tcW w:w="2410" w:type="dxa"/>
          </w:tcPr>
          <w:p w14:paraId="10204E51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18-35 years, </w:t>
            </w:r>
          </w:p>
          <w:p w14:paraId="4269243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36-50 years,</w:t>
            </w:r>
          </w:p>
          <w:p w14:paraId="569EFA9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51-65 years,</w:t>
            </w:r>
          </w:p>
          <w:p w14:paraId="2C005DE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66-80 years,</w:t>
            </w:r>
          </w:p>
          <w:p w14:paraId="25203C98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80+ years</w:t>
            </w:r>
          </w:p>
        </w:tc>
        <w:tc>
          <w:tcPr>
            <w:tcW w:w="1011" w:type="dxa"/>
          </w:tcPr>
          <w:p w14:paraId="60C1517C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</w:t>
            </w:r>
          </w:p>
        </w:tc>
        <w:tc>
          <w:tcPr>
            <w:tcW w:w="1541" w:type="dxa"/>
          </w:tcPr>
          <w:p w14:paraId="735FD9B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SN – SSD </w:t>
            </w:r>
          </w:p>
        </w:tc>
      </w:tr>
      <w:tr w:rsidR="007A4BE9" w:rsidRPr="007851F4" w14:paraId="09A75E27" w14:textId="77777777" w:rsidTr="005E4A9A">
        <w:tc>
          <w:tcPr>
            <w:tcW w:w="1977" w:type="dxa"/>
          </w:tcPr>
          <w:p w14:paraId="30D1CA5A" w14:textId="77777777" w:rsidR="007A4BE9" w:rsidRPr="007851F4" w:rsidRDefault="007A4BE9" w:rsidP="005E4A9A">
            <w:pPr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851F4">
              <w:rPr>
                <w:rFonts w:ascii="Arial" w:eastAsia="Times New Roman" w:hAnsi="Arial" w:cs="Arial"/>
                <w:color w:val="000000"/>
                <w:lang w:eastAsia="nl-NL"/>
              </w:rPr>
              <w:t>Gender</w:t>
            </w:r>
          </w:p>
        </w:tc>
        <w:tc>
          <w:tcPr>
            <w:tcW w:w="3121" w:type="dxa"/>
          </w:tcPr>
          <w:p w14:paraId="7B4CA905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The gender of the individual as registered by SN</w:t>
            </w:r>
          </w:p>
        </w:tc>
        <w:tc>
          <w:tcPr>
            <w:tcW w:w="2410" w:type="dxa"/>
          </w:tcPr>
          <w:p w14:paraId="46FD2C3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Male,</w:t>
            </w:r>
          </w:p>
          <w:p w14:paraId="7995F625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Female</w:t>
            </w:r>
          </w:p>
        </w:tc>
        <w:tc>
          <w:tcPr>
            <w:tcW w:w="1011" w:type="dxa"/>
          </w:tcPr>
          <w:p w14:paraId="0910E42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</w:t>
            </w:r>
          </w:p>
        </w:tc>
        <w:tc>
          <w:tcPr>
            <w:tcW w:w="1541" w:type="dxa"/>
          </w:tcPr>
          <w:p w14:paraId="680E5A34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SN – SSD </w:t>
            </w:r>
          </w:p>
        </w:tc>
      </w:tr>
      <w:tr w:rsidR="007A4BE9" w:rsidRPr="007851F4" w14:paraId="2E1629B1" w14:textId="77777777" w:rsidTr="005E4A9A">
        <w:tc>
          <w:tcPr>
            <w:tcW w:w="1977" w:type="dxa"/>
          </w:tcPr>
          <w:p w14:paraId="74D3A8C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Ethnicity</w:t>
            </w:r>
          </w:p>
        </w:tc>
        <w:tc>
          <w:tcPr>
            <w:tcW w:w="3121" w:type="dxa"/>
          </w:tcPr>
          <w:p w14:paraId="76FFA7DF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Migration status of the individual based on birthplace of parents, following categorization of Statistics Netherlands. A person with a migration background is a person of whom at least one parent was born abroad.</w:t>
            </w:r>
          </w:p>
        </w:tc>
        <w:tc>
          <w:tcPr>
            <w:tcW w:w="2410" w:type="dxa"/>
          </w:tcPr>
          <w:p w14:paraId="48D8095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Native Dutch, Non-native Dutch</w:t>
            </w:r>
          </w:p>
        </w:tc>
        <w:tc>
          <w:tcPr>
            <w:tcW w:w="1011" w:type="dxa"/>
          </w:tcPr>
          <w:p w14:paraId="22EAA3F9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</w:t>
            </w:r>
          </w:p>
        </w:tc>
        <w:tc>
          <w:tcPr>
            <w:tcW w:w="1541" w:type="dxa"/>
          </w:tcPr>
          <w:p w14:paraId="1EA153B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SN – SSD </w:t>
            </w:r>
          </w:p>
        </w:tc>
      </w:tr>
      <w:tr w:rsidR="007A4BE9" w:rsidRPr="007851F4" w14:paraId="175AE742" w14:textId="77777777" w:rsidTr="005E4A9A">
        <w:tc>
          <w:tcPr>
            <w:tcW w:w="1977" w:type="dxa"/>
          </w:tcPr>
          <w:p w14:paraId="234A2F5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Household size</w:t>
            </w:r>
          </w:p>
        </w:tc>
        <w:tc>
          <w:tcPr>
            <w:tcW w:w="3121" w:type="dxa"/>
          </w:tcPr>
          <w:p w14:paraId="7006CD62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Number of persons in the household</w:t>
            </w:r>
          </w:p>
        </w:tc>
        <w:tc>
          <w:tcPr>
            <w:tcW w:w="2410" w:type="dxa"/>
          </w:tcPr>
          <w:p w14:paraId="50020BF5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One person,</w:t>
            </w:r>
          </w:p>
          <w:p w14:paraId="79918A72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Two persons,</w:t>
            </w:r>
          </w:p>
          <w:p w14:paraId="5F792C7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Three or more persons</w:t>
            </w:r>
          </w:p>
        </w:tc>
        <w:tc>
          <w:tcPr>
            <w:tcW w:w="1011" w:type="dxa"/>
          </w:tcPr>
          <w:p w14:paraId="46AB2D7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</w:t>
            </w:r>
          </w:p>
        </w:tc>
        <w:tc>
          <w:tcPr>
            <w:tcW w:w="1541" w:type="dxa"/>
          </w:tcPr>
          <w:p w14:paraId="2FFCFBF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SN – SSD </w:t>
            </w:r>
          </w:p>
        </w:tc>
      </w:tr>
      <w:tr w:rsidR="007A4BE9" w:rsidRPr="007851F4" w14:paraId="5D3C6336" w14:textId="77777777" w:rsidTr="005E4A9A">
        <w:tc>
          <w:tcPr>
            <w:tcW w:w="1977" w:type="dxa"/>
          </w:tcPr>
          <w:p w14:paraId="15668F1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Standardized disposable household income</w:t>
            </w:r>
          </w:p>
        </w:tc>
        <w:tc>
          <w:tcPr>
            <w:tcW w:w="3121" w:type="dxa"/>
          </w:tcPr>
          <w:p w14:paraId="1A8D37F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Percentile groups standardized income private households excluding student households</w:t>
            </w:r>
          </w:p>
          <w:p w14:paraId="36A8857A" w14:textId="77777777" w:rsidR="007A4BE9" w:rsidRPr="007851F4" w:rsidRDefault="007A4BE9" w:rsidP="005E4A9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A155A21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Low (percentiles 1-33), </w:t>
            </w:r>
          </w:p>
          <w:p w14:paraId="202FA8C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Moderate (percentiles 34-66), </w:t>
            </w:r>
          </w:p>
          <w:p w14:paraId="5F6A1595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High (percentiles 67-100)</w:t>
            </w:r>
          </w:p>
        </w:tc>
        <w:tc>
          <w:tcPr>
            <w:tcW w:w="1011" w:type="dxa"/>
          </w:tcPr>
          <w:p w14:paraId="03CADFA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</w:t>
            </w:r>
          </w:p>
        </w:tc>
        <w:tc>
          <w:tcPr>
            <w:tcW w:w="1541" w:type="dxa"/>
          </w:tcPr>
          <w:p w14:paraId="18F3D4E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SN – SSD</w:t>
            </w:r>
          </w:p>
        </w:tc>
      </w:tr>
      <w:tr w:rsidR="007A4BE9" w:rsidRPr="007851F4" w14:paraId="3348AA74" w14:textId="77777777" w:rsidTr="005E4A9A">
        <w:tc>
          <w:tcPr>
            <w:tcW w:w="10060" w:type="dxa"/>
            <w:gridSpan w:val="5"/>
            <w:shd w:val="clear" w:color="auto" w:fill="D1D1D1" w:themeFill="background2" w:themeFillShade="E6"/>
          </w:tcPr>
          <w:p w14:paraId="70B6E3A8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  <w:b/>
                <w:bCs/>
              </w:rPr>
              <w:t>Healthcare and social care utilization</w:t>
            </w:r>
          </w:p>
        </w:tc>
      </w:tr>
      <w:tr w:rsidR="007A4BE9" w:rsidRPr="007851F4" w14:paraId="4F0EA4BD" w14:textId="77777777" w:rsidTr="005E4A9A">
        <w:tc>
          <w:tcPr>
            <w:tcW w:w="1977" w:type="dxa"/>
            <w:shd w:val="clear" w:color="auto" w:fill="FFFFFF" w:themeFill="background1"/>
          </w:tcPr>
          <w:p w14:paraId="05BFF8E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Social care act</w:t>
            </w:r>
          </w:p>
        </w:tc>
        <w:tc>
          <w:tcPr>
            <w:tcW w:w="3121" w:type="dxa"/>
            <w:shd w:val="clear" w:color="auto" w:fill="FFFFFF" w:themeFill="background1"/>
          </w:tcPr>
          <w:p w14:paraId="30BBE0A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Person makes use of the Social Support Act in the relevant year</w:t>
            </w:r>
          </w:p>
        </w:tc>
        <w:tc>
          <w:tcPr>
            <w:tcW w:w="2410" w:type="dxa"/>
            <w:shd w:val="clear" w:color="auto" w:fill="FFFFFF" w:themeFill="background1"/>
          </w:tcPr>
          <w:p w14:paraId="32A62562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Yes/no</w:t>
            </w:r>
          </w:p>
        </w:tc>
        <w:tc>
          <w:tcPr>
            <w:tcW w:w="1011" w:type="dxa"/>
            <w:shd w:val="clear" w:color="auto" w:fill="FFFFFF" w:themeFill="background1"/>
          </w:tcPr>
          <w:p w14:paraId="2AF4FBB7" w14:textId="77777777" w:rsidR="007A4BE9" w:rsidRPr="007851F4" w:rsidDel="00AE0FBB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2019-2022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1369708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ELAN</w:t>
            </w:r>
          </w:p>
        </w:tc>
      </w:tr>
      <w:tr w:rsidR="007A4BE9" w:rsidRPr="007851F4" w14:paraId="11B869E6" w14:textId="77777777" w:rsidTr="005E4A9A">
        <w:tc>
          <w:tcPr>
            <w:tcW w:w="1977" w:type="dxa"/>
            <w:shd w:val="clear" w:color="auto" w:fill="FFFFFF" w:themeFill="background1"/>
          </w:tcPr>
          <w:p w14:paraId="7FD2BB40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Social care act arrangements</w:t>
            </w:r>
          </w:p>
        </w:tc>
        <w:tc>
          <w:tcPr>
            <w:tcW w:w="3121" w:type="dxa"/>
            <w:shd w:val="clear" w:color="auto" w:fill="FFFFFF" w:themeFill="background1"/>
          </w:tcPr>
          <w:p w14:paraId="52668939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The type of assistance used under the Social Support Act</w:t>
            </w:r>
          </w:p>
          <w:p w14:paraId="42AB3D0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E510FE8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Aids, </w:t>
            </w:r>
          </w:p>
          <w:p w14:paraId="46DC135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Transportation,</w:t>
            </w:r>
          </w:p>
          <w:p w14:paraId="03DFE00F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support,</w:t>
            </w:r>
          </w:p>
          <w:p w14:paraId="3EA349EF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Shelter</w:t>
            </w:r>
          </w:p>
        </w:tc>
        <w:tc>
          <w:tcPr>
            <w:tcW w:w="1011" w:type="dxa"/>
            <w:shd w:val="clear" w:color="auto" w:fill="FFFFFF" w:themeFill="background1"/>
          </w:tcPr>
          <w:p w14:paraId="19582F4B" w14:textId="77777777" w:rsidR="007A4BE9" w:rsidRPr="007851F4" w:rsidDel="00AE0FBB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671AFF1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ELAN</w:t>
            </w:r>
          </w:p>
        </w:tc>
      </w:tr>
      <w:tr w:rsidR="007A4BE9" w:rsidRPr="007851F4" w14:paraId="7501B159" w14:textId="77777777" w:rsidTr="005E4A9A">
        <w:tc>
          <w:tcPr>
            <w:tcW w:w="1977" w:type="dxa"/>
            <w:shd w:val="clear" w:color="auto" w:fill="FFFFFF" w:themeFill="background1"/>
          </w:tcPr>
          <w:p w14:paraId="6AC368E8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Medication use</w:t>
            </w:r>
          </w:p>
        </w:tc>
        <w:tc>
          <w:tcPr>
            <w:tcW w:w="3121" w:type="dxa"/>
            <w:shd w:val="clear" w:color="auto" w:fill="FFFFFF" w:themeFill="background1"/>
          </w:tcPr>
          <w:p w14:paraId="659C69A4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Number of different medicines a person uses (excluding dermatological medication)</w:t>
            </w:r>
          </w:p>
        </w:tc>
        <w:tc>
          <w:tcPr>
            <w:tcW w:w="2410" w:type="dxa"/>
            <w:shd w:val="clear" w:color="auto" w:fill="FFFFFF" w:themeFill="background1"/>
          </w:tcPr>
          <w:p w14:paraId="3C8D9EDB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Number of medicines used</w:t>
            </w:r>
          </w:p>
        </w:tc>
        <w:tc>
          <w:tcPr>
            <w:tcW w:w="1011" w:type="dxa"/>
            <w:shd w:val="clear" w:color="auto" w:fill="FFFFFF" w:themeFill="background1"/>
          </w:tcPr>
          <w:p w14:paraId="20140F14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3C932BBC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SN – SSD </w:t>
            </w:r>
          </w:p>
        </w:tc>
      </w:tr>
      <w:tr w:rsidR="007A4BE9" w:rsidRPr="007851F4" w14:paraId="34EFA364" w14:textId="77777777" w:rsidTr="005E4A9A">
        <w:tc>
          <w:tcPr>
            <w:tcW w:w="1977" w:type="dxa"/>
            <w:shd w:val="clear" w:color="auto" w:fill="FFFFFF" w:themeFill="background1"/>
          </w:tcPr>
          <w:p w14:paraId="5CFD8C4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Polypharmacy</w:t>
            </w:r>
          </w:p>
        </w:tc>
        <w:tc>
          <w:tcPr>
            <w:tcW w:w="3121" w:type="dxa"/>
            <w:shd w:val="clear" w:color="auto" w:fill="FFFFFF" w:themeFill="background1"/>
          </w:tcPr>
          <w:p w14:paraId="05FC789C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When someone uses five or more medications, they fall into the category of </w:t>
            </w:r>
            <w:r w:rsidRPr="007851F4">
              <w:rPr>
                <w:rFonts w:ascii="Arial" w:hAnsi="Arial" w:cs="Arial"/>
              </w:rPr>
              <w:lastRenderedPageBreak/>
              <w:t>polypharmacy (excluding dermatological medication)</w:t>
            </w:r>
          </w:p>
          <w:p w14:paraId="41ABBE35" w14:textId="77777777" w:rsidR="007A4BE9" w:rsidRPr="007851F4" w:rsidRDefault="007A4BE9" w:rsidP="005E4A9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4ACC04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lastRenderedPageBreak/>
              <w:t>Yes/no</w:t>
            </w:r>
          </w:p>
        </w:tc>
        <w:tc>
          <w:tcPr>
            <w:tcW w:w="1011" w:type="dxa"/>
            <w:shd w:val="clear" w:color="auto" w:fill="FFFFFF" w:themeFill="background1"/>
          </w:tcPr>
          <w:p w14:paraId="225A745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032EC95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SN – SSD</w:t>
            </w:r>
          </w:p>
        </w:tc>
      </w:tr>
      <w:tr w:rsidR="007A4BE9" w:rsidRPr="007851F4" w14:paraId="1FCCE1DA" w14:textId="77777777" w:rsidTr="005E4A9A">
        <w:tc>
          <w:tcPr>
            <w:tcW w:w="1977" w:type="dxa"/>
            <w:shd w:val="clear" w:color="auto" w:fill="FFFFFF" w:themeFill="background1"/>
          </w:tcPr>
          <w:p w14:paraId="685C0C6B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Chronic care management </w:t>
            </w:r>
          </w:p>
        </w:tc>
        <w:tc>
          <w:tcPr>
            <w:tcW w:w="3121" w:type="dxa"/>
            <w:shd w:val="clear" w:color="auto" w:fill="FFFFFF" w:themeFill="background1"/>
          </w:tcPr>
          <w:p w14:paraId="2E55549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When expenditures are incurred for multidisciplinary care within the basic insurance, we consider this to be a chronic illness. This type of care involves providing care to patients with a chronic condition, whereby care providers from various disciplines work together to provide care, which does not include GP care. Available for four chronic patient groups:</w:t>
            </w:r>
          </w:p>
          <w:p w14:paraId="1A9AF80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- Type 2 diabetes mellitus</w:t>
            </w:r>
          </w:p>
          <w:p w14:paraId="4629EFD9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- Vascular risk management</w:t>
            </w:r>
          </w:p>
          <w:p w14:paraId="51E3205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- COPD</w:t>
            </w:r>
          </w:p>
          <w:p w14:paraId="115D6309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- Asthma</w:t>
            </w:r>
          </w:p>
        </w:tc>
        <w:tc>
          <w:tcPr>
            <w:tcW w:w="2410" w:type="dxa"/>
            <w:shd w:val="clear" w:color="auto" w:fill="FFFFFF" w:themeFill="background1"/>
          </w:tcPr>
          <w:p w14:paraId="46ACFC2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Yes/no</w:t>
            </w:r>
          </w:p>
        </w:tc>
        <w:tc>
          <w:tcPr>
            <w:tcW w:w="1011" w:type="dxa"/>
            <w:shd w:val="clear" w:color="auto" w:fill="FFFFFF" w:themeFill="background1"/>
          </w:tcPr>
          <w:p w14:paraId="7553351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1429B9E2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SN – SSD</w:t>
            </w:r>
          </w:p>
        </w:tc>
      </w:tr>
      <w:tr w:rsidR="007A4BE9" w:rsidRPr="007851F4" w14:paraId="54C24B47" w14:textId="77777777" w:rsidTr="005E4A9A">
        <w:tc>
          <w:tcPr>
            <w:tcW w:w="10060" w:type="dxa"/>
            <w:gridSpan w:val="5"/>
            <w:shd w:val="clear" w:color="auto" w:fill="D1D1D1" w:themeFill="background2" w:themeFillShade="E6"/>
          </w:tcPr>
          <w:p w14:paraId="12013E5E" w14:textId="77777777" w:rsidR="007A4BE9" w:rsidRPr="007851F4" w:rsidRDefault="007A4BE9" w:rsidP="005E4A9A">
            <w:pPr>
              <w:rPr>
                <w:rFonts w:ascii="Arial" w:hAnsi="Arial" w:cs="Arial"/>
                <w:b/>
                <w:bCs/>
              </w:rPr>
            </w:pPr>
            <w:r w:rsidRPr="007851F4">
              <w:rPr>
                <w:rFonts w:ascii="Arial" w:hAnsi="Arial" w:cs="Arial"/>
                <w:b/>
                <w:bCs/>
              </w:rPr>
              <w:t>Healthcare and social care expenditures</w:t>
            </w:r>
          </w:p>
        </w:tc>
      </w:tr>
      <w:tr w:rsidR="007A4BE9" w:rsidRPr="007851F4" w14:paraId="4EEB45E9" w14:textId="77777777" w:rsidTr="005E4A9A">
        <w:tc>
          <w:tcPr>
            <w:tcW w:w="1977" w:type="dxa"/>
            <w:shd w:val="clear" w:color="auto" w:fill="FFFFFF" w:themeFill="background1"/>
          </w:tcPr>
          <w:p w14:paraId="3CCEC64C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Total Healthcare expenditure</w:t>
            </w:r>
          </w:p>
        </w:tc>
        <w:tc>
          <w:tcPr>
            <w:tcW w:w="3121" w:type="dxa"/>
            <w:shd w:val="clear" w:color="auto" w:fill="FFFFFF" w:themeFill="background1"/>
          </w:tcPr>
          <w:p w14:paraId="639A33D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The total healthcare expenditures covered by the Health Insurance Act</w:t>
            </w:r>
          </w:p>
        </w:tc>
        <w:tc>
          <w:tcPr>
            <w:tcW w:w="2410" w:type="dxa"/>
            <w:shd w:val="clear" w:color="auto" w:fill="FFFFFF" w:themeFill="background1"/>
          </w:tcPr>
          <w:p w14:paraId="2DC39DF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In euro per year</w:t>
            </w:r>
          </w:p>
        </w:tc>
        <w:tc>
          <w:tcPr>
            <w:tcW w:w="1011" w:type="dxa"/>
            <w:shd w:val="clear" w:color="auto" w:fill="FFFFFF" w:themeFill="background1"/>
          </w:tcPr>
          <w:p w14:paraId="448FE4EC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2019-2022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5F4E038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SN – SSD</w:t>
            </w:r>
          </w:p>
        </w:tc>
      </w:tr>
      <w:tr w:rsidR="007A4BE9" w:rsidRPr="007851F4" w14:paraId="35DC36B1" w14:textId="77777777" w:rsidTr="005E4A9A">
        <w:tc>
          <w:tcPr>
            <w:tcW w:w="1977" w:type="dxa"/>
            <w:shd w:val="clear" w:color="auto" w:fill="FFFFFF" w:themeFill="background1"/>
          </w:tcPr>
          <w:p w14:paraId="32E5E7F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GP care expenditure</w:t>
            </w:r>
          </w:p>
        </w:tc>
        <w:tc>
          <w:tcPr>
            <w:tcW w:w="3121" w:type="dxa"/>
            <w:shd w:val="clear" w:color="auto" w:fill="FFFFFF" w:themeFill="background1"/>
          </w:tcPr>
          <w:p w14:paraId="3901C7C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Expenditures of general practitioner care covered by the Health Insurance Act</w:t>
            </w:r>
          </w:p>
        </w:tc>
        <w:tc>
          <w:tcPr>
            <w:tcW w:w="2410" w:type="dxa"/>
            <w:shd w:val="clear" w:color="auto" w:fill="FFFFFF" w:themeFill="background1"/>
          </w:tcPr>
          <w:p w14:paraId="1459E23B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In euro per year</w:t>
            </w:r>
          </w:p>
        </w:tc>
        <w:tc>
          <w:tcPr>
            <w:tcW w:w="1011" w:type="dxa"/>
            <w:shd w:val="clear" w:color="auto" w:fill="FFFFFF" w:themeFill="background1"/>
          </w:tcPr>
          <w:p w14:paraId="5748A91B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2019-2022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198C4914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SN – SSD</w:t>
            </w:r>
          </w:p>
        </w:tc>
      </w:tr>
      <w:tr w:rsidR="007A4BE9" w:rsidRPr="007851F4" w14:paraId="5ABF2B91" w14:textId="77777777" w:rsidTr="005E4A9A">
        <w:tc>
          <w:tcPr>
            <w:tcW w:w="1977" w:type="dxa"/>
            <w:shd w:val="clear" w:color="auto" w:fill="FFFFFF" w:themeFill="background1"/>
          </w:tcPr>
          <w:p w14:paraId="5C2B0781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GP care registration fee</w:t>
            </w:r>
          </w:p>
        </w:tc>
        <w:tc>
          <w:tcPr>
            <w:tcW w:w="3121" w:type="dxa"/>
            <w:shd w:val="clear" w:color="auto" w:fill="FFFFFF" w:themeFill="background1"/>
          </w:tcPr>
          <w:p w14:paraId="79CBCC95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Expenditures of registration fee for general practitioner covered by the Health Insurance Act</w:t>
            </w:r>
          </w:p>
        </w:tc>
        <w:tc>
          <w:tcPr>
            <w:tcW w:w="2410" w:type="dxa"/>
            <w:shd w:val="clear" w:color="auto" w:fill="FFFFFF" w:themeFill="background1"/>
          </w:tcPr>
          <w:p w14:paraId="1A745F7A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In euro per year</w:t>
            </w:r>
          </w:p>
        </w:tc>
        <w:tc>
          <w:tcPr>
            <w:tcW w:w="1011" w:type="dxa"/>
            <w:shd w:val="clear" w:color="auto" w:fill="FFFFFF" w:themeFill="background1"/>
          </w:tcPr>
          <w:p w14:paraId="7D7F7BCC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2019-2022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1EBD2EF5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SN – SSD</w:t>
            </w:r>
          </w:p>
        </w:tc>
      </w:tr>
      <w:tr w:rsidR="007A4BE9" w:rsidRPr="007851F4" w14:paraId="62138B51" w14:textId="77777777" w:rsidTr="005E4A9A">
        <w:tc>
          <w:tcPr>
            <w:tcW w:w="1977" w:type="dxa"/>
            <w:shd w:val="clear" w:color="auto" w:fill="FFFFFF" w:themeFill="background1"/>
          </w:tcPr>
          <w:p w14:paraId="72F74D3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GP care consultation expenditures</w:t>
            </w:r>
          </w:p>
        </w:tc>
        <w:tc>
          <w:tcPr>
            <w:tcW w:w="3121" w:type="dxa"/>
            <w:shd w:val="clear" w:color="auto" w:fill="FFFFFF" w:themeFill="background1"/>
          </w:tcPr>
          <w:p w14:paraId="145A1445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Expenditures of consultations with a general practitioner covered by the Health Insurance Act</w:t>
            </w:r>
          </w:p>
        </w:tc>
        <w:tc>
          <w:tcPr>
            <w:tcW w:w="2410" w:type="dxa"/>
            <w:shd w:val="clear" w:color="auto" w:fill="FFFFFF" w:themeFill="background1"/>
          </w:tcPr>
          <w:p w14:paraId="5EC8541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In euro per year</w:t>
            </w:r>
          </w:p>
        </w:tc>
        <w:tc>
          <w:tcPr>
            <w:tcW w:w="1011" w:type="dxa"/>
            <w:shd w:val="clear" w:color="auto" w:fill="FFFFFF" w:themeFill="background1"/>
          </w:tcPr>
          <w:p w14:paraId="464EB299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2019-2022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542672EB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SN – SSD</w:t>
            </w:r>
          </w:p>
        </w:tc>
      </w:tr>
      <w:tr w:rsidR="007A4BE9" w:rsidRPr="007851F4" w14:paraId="7D5151B9" w14:textId="77777777" w:rsidTr="005E4A9A">
        <w:tc>
          <w:tcPr>
            <w:tcW w:w="1977" w:type="dxa"/>
            <w:shd w:val="clear" w:color="auto" w:fill="FFFFFF" w:themeFill="background1"/>
          </w:tcPr>
          <w:p w14:paraId="22D49C7C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GP care expenditures for other services</w:t>
            </w:r>
          </w:p>
        </w:tc>
        <w:tc>
          <w:tcPr>
            <w:tcW w:w="3121" w:type="dxa"/>
            <w:shd w:val="clear" w:color="auto" w:fill="FFFFFF" w:themeFill="background1"/>
          </w:tcPr>
          <w:p w14:paraId="518416C4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Expenditures of other services provided by general practitioners covered by the Health Insurance Act</w:t>
            </w:r>
          </w:p>
        </w:tc>
        <w:tc>
          <w:tcPr>
            <w:tcW w:w="2410" w:type="dxa"/>
            <w:shd w:val="clear" w:color="auto" w:fill="FFFFFF" w:themeFill="background1"/>
          </w:tcPr>
          <w:p w14:paraId="536A2F40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In euro per year</w:t>
            </w:r>
          </w:p>
        </w:tc>
        <w:tc>
          <w:tcPr>
            <w:tcW w:w="1011" w:type="dxa"/>
            <w:shd w:val="clear" w:color="auto" w:fill="FFFFFF" w:themeFill="background1"/>
          </w:tcPr>
          <w:p w14:paraId="2BA3801F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2019-2022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3A76DEE2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SN – SSD</w:t>
            </w:r>
          </w:p>
        </w:tc>
      </w:tr>
      <w:tr w:rsidR="007A4BE9" w:rsidRPr="007851F4" w14:paraId="07BB62D9" w14:textId="77777777" w:rsidTr="005E4A9A">
        <w:tc>
          <w:tcPr>
            <w:tcW w:w="1977" w:type="dxa"/>
            <w:shd w:val="clear" w:color="auto" w:fill="FFFFFF" w:themeFill="background1"/>
          </w:tcPr>
          <w:p w14:paraId="33B92D4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Mental health care expenditures</w:t>
            </w:r>
          </w:p>
        </w:tc>
        <w:tc>
          <w:tcPr>
            <w:tcW w:w="3121" w:type="dxa"/>
            <w:shd w:val="clear" w:color="auto" w:fill="FFFFFF" w:themeFill="background1"/>
          </w:tcPr>
          <w:p w14:paraId="620BCFFE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Expenditures of mental health care services covered by the Health Insurance Act</w:t>
            </w:r>
          </w:p>
        </w:tc>
        <w:tc>
          <w:tcPr>
            <w:tcW w:w="2410" w:type="dxa"/>
            <w:shd w:val="clear" w:color="auto" w:fill="FFFFFF" w:themeFill="background1"/>
          </w:tcPr>
          <w:p w14:paraId="7A372820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In euro per year</w:t>
            </w:r>
          </w:p>
        </w:tc>
        <w:tc>
          <w:tcPr>
            <w:tcW w:w="1011" w:type="dxa"/>
            <w:shd w:val="clear" w:color="auto" w:fill="FFFFFF" w:themeFill="background1"/>
          </w:tcPr>
          <w:p w14:paraId="310B403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17AA9FA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SN – SSD </w:t>
            </w:r>
          </w:p>
        </w:tc>
      </w:tr>
      <w:tr w:rsidR="007A4BE9" w:rsidRPr="007851F4" w14:paraId="0195DAB9" w14:textId="77777777" w:rsidTr="005E4A9A">
        <w:tc>
          <w:tcPr>
            <w:tcW w:w="1977" w:type="dxa"/>
            <w:shd w:val="clear" w:color="auto" w:fill="FFFFFF" w:themeFill="background1"/>
          </w:tcPr>
          <w:p w14:paraId="3ACBD382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Social care expenditures</w:t>
            </w:r>
          </w:p>
        </w:tc>
        <w:tc>
          <w:tcPr>
            <w:tcW w:w="3121" w:type="dxa"/>
            <w:shd w:val="clear" w:color="auto" w:fill="FFFFFF" w:themeFill="background1"/>
          </w:tcPr>
          <w:p w14:paraId="387DF04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the expenditures incurred within the Social Care Act</w:t>
            </w:r>
          </w:p>
        </w:tc>
        <w:tc>
          <w:tcPr>
            <w:tcW w:w="2410" w:type="dxa"/>
            <w:shd w:val="clear" w:color="auto" w:fill="FFFFFF" w:themeFill="background1"/>
          </w:tcPr>
          <w:p w14:paraId="52789E2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In euro per year</w:t>
            </w:r>
          </w:p>
        </w:tc>
        <w:tc>
          <w:tcPr>
            <w:tcW w:w="1011" w:type="dxa"/>
            <w:shd w:val="clear" w:color="auto" w:fill="FFFFFF" w:themeFill="background1"/>
          </w:tcPr>
          <w:p w14:paraId="78581262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2019-2022</w:t>
            </w:r>
          </w:p>
        </w:tc>
        <w:tc>
          <w:tcPr>
            <w:tcW w:w="1541" w:type="dxa"/>
            <w:shd w:val="clear" w:color="auto" w:fill="FFFFFF" w:themeFill="background1"/>
          </w:tcPr>
          <w:p w14:paraId="65C64019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 xml:space="preserve">SN – SSD </w:t>
            </w:r>
          </w:p>
        </w:tc>
      </w:tr>
      <w:tr w:rsidR="007A4BE9" w:rsidRPr="007851F4" w14:paraId="0050078D" w14:textId="77777777" w:rsidTr="005E4A9A">
        <w:tc>
          <w:tcPr>
            <w:tcW w:w="10060" w:type="dxa"/>
            <w:gridSpan w:val="5"/>
            <w:shd w:val="clear" w:color="auto" w:fill="D1D1D1" w:themeFill="background2" w:themeFillShade="E6"/>
          </w:tcPr>
          <w:p w14:paraId="6CF4A44D" w14:textId="77777777" w:rsidR="007A4BE9" w:rsidRPr="007851F4" w:rsidRDefault="007A4BE9" w:rsidP="005E4A9A">
            <w:pPr>
              <w:rPr>
                <w:rFonts w:ascii="Arial" w:hAnsi="Arial" w:cs="Arial"/>
                <w:b/>
                <w:bCs/>
              </w:rPr>
            </w:pPr>
            <w:r w:rsidRPr="007851F4">
              <w:rPr>
                <w:rFonts w:ascii="Arial" w:hAnsi="Arial" w:cs="Arial"/>
                <w:b/>
                <w:bCs/>
              </w:rPr>
              <w:t>Social prescribing trajectories</w:t>
            </w:r>
          </w:p>
        </w:tc>
      </w:tr>
      <w:tr w:rsidR="007A4BE9" w:rsidRPr="007851F4" w14:paraId="21DC9C94" w14:textId="77777777" w:rsidTr="005E4A9A">
        <w:tc>
          <w:tcPr>
            <w:tcW w:w="1977" w:type="dxa"/>
            <w:shd w:val="clear" w:color="auto" w:fill="FFFFFF" w:themeFill="background1"/>
          </w:tcPr>
          <w:p w14:paraId="193E68B1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Help request formulated by the GP</w:t>
            </w:r>
          </w:p>
        </w:tc>
        <w:tc>
          <w:tcPr>
            <w:tcW w:w="3121" w:type="dxa"/>
            <w:shd w:val="clear" w:color="auto" w:fill="FFFFFF" w:themeFill="background1"/>
          </w:tcPr>
          <w:p w14:paraId="0A43182F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The GP formulates the help request of the individual after their consultation, before the GP refers the individual to the link worker.</w:t>
            </w:r>
          </w:p>
          <w:p w14:paraId="4B0388AA" w14:textId="77777777" w:rsidR="007A4BE9" w:rsidRPr="007851F4" w:rsidRDefault="007A4BE9" w:rsidP="005E4A9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19EB9A1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lastRenderedPageBreak/>
              <w:t>Being active and participating,</w:t>
            </w:r>
          </w:p>
          <w:p w14:paraId="214439AB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Financial matters and regulations,</w:t>
            </w:r>
          </w:p>
          <w:p w14:paraId="5165295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lastRenderedPageBreak/>
              <w:t>Housing living transport and living environment,</w:t>
            </w:r>
          </w:p>
          <w:p w14:paraId="30EFCEB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Mental well-being and sense of purpose,</w:t>
            </w:r>
          </w:p>
          <w:p w14:paraId="7ADB0438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Transport and living environment,</w:t>
            </w:r>
          </w:p>
          <w:p w14:paraId="3F3DD73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Other</w:t>
            </w:r>
          </w:p>
        </w:tc>
        <w:tc>
          <w:tcPr>
            <w:tcW w:w="1011" w:type="dxa"/>
            <w:shd w:val="clear" w:color="auto" w:fill="FFFFFF" w:themeFill="background1"/>
          </w:tcPr>
          <w:p w14:paraId="427586EF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lastRenderedPageBreak/>
              <w:t>2022-2024</w:t>
            </w:r>
          </w:p>
        </w:tc>
        <w:tc>
          <w:tcPr>
            <w:tcW w:w="1541" w:type="dxa"/>
            <w:shd w:val="clear" w:color="auto" w:fill="FFFFFF" w:themeFill="background1"/>
          </w:tcPr>
          <w:p w14:paraId="31C65CA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Social welfare organization</w:t>
            </w:r>
          </w:p>
        </w:tc>
      </w:tr>
      <w:tr w:rsidR="007A4BE9" w:rsidRPr="007851F4" w14:paraId="310EAE38" w14:textId="77777777" w:rsidTr="005E4A9A">
        <w:tc>
          <w:tcPr>
            <w:tcW w:w="1977" w:type="dxa"/>
            <w:shd w:val="clear" w:color="auto" w:fill="FFFFFF" w:themeFill="background1"/>
          </w:tcPr>
          <w:p w14:paraId="276F988F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Help request formulated by the link worker</w:t>
            </w:r>
          </w:p>
        </w:tc>
        <w:tc>
          <w:tcPr>
            <w:tcW w:w="3121" w:type="dxa"/>
            <w:shd w:val="clear" w:color="auto" w:fill="FFFFFF" w:themeFill="background1"/>
          </w:tcPr>
          <w:p w14:paraId="7F3C61AA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The link worker formulates the help request of the individual after their first introductory meeting.</w:t>
            </w:r>
          </w:p>
          <w:p w14:paraId="4A7BAE0B" w14:textId="77777777" w:rsidR="007A4BE9" w:rsidRPr="007851F4" w:rsidRDefault="007A4BE9" w:rsidP="005E4A9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5D0BC6F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Being active and participating,</w:t>
            </w:r>
          </w:p>
          <w:p w14:paraId="33D99909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Financial matters and regulations,</w:t>
            </w:r>
          </w:p>
          <w:p w14:paraId="3DD0B647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Housing living transport and living environment,</w:t>
            </w:r>
          </w:p>
          <w:p w14:paraId="0AED8AA0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Mental well-being and sense of purpose,</w:t>
            </w:r>
          </w:p>
          <w:p w14:paraId="55EBE4E1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Transport and living environment,</w:t>
            </w:r>
          </w:p>
          <w:p w14:paraId="55B873E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Other</w:t>
            </w:r>
          </w:p>
        </w:tc>
        <w:tc>
          <w:tcPr>
            <w:tcW w:w="1011" w:type="dxa"/>
            <w:shd w:val="clear" w:color="auto" w:fill="FFFFFF" w:themeFill="background1"/>
          </w:tcPr>
          <w:p w14:paraId="2042B7BD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2022-2024</w:t>
            </w:r>
          </w:p>
        </w:tc>
        <w:tc>
          <w:tcPr>
            <w:tcW w:w="1541" w:type="dxa"/>
            <w:shd w:val="clear" w:color="auto" w:fill="FFFFFF" w:themeFill="background1"/>
          </w:tcPr>
          <w:p w14:paraId="3A8F9332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Social welfare organization</w:t>
            </w:r>
          </w:p>
        </w:tc>
      </w:tr>
      <w:tr w:rsidR="007A4BE9" w:rsidRPr="007851F4" w14:paraId="35B20A2B" w14:textId="77777777" w:rsidTr="005E4A9A">
        <w:tc>
          <w:tcPr>
            <w:tcW w:w="1977" w:type="dxa"/>
            <w:shd w:val="clear" w:color="auto" w:fill="FFFFFF" w:themeFill="background1"/>
          </w:tcPr>
          <w:p w14:paraId="1B3E7802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Distribution of the prescription by the link worker</w:t>
            </w:r>
          </w:p>
        </w:tc>
        <w:tc>
          <w:tcPr>
            <w:tcW w:w="3121" w:type="dxa"/>
            <w:shd w:val="clear" w:color="auto" w:fill="FFFFFF" w:themeFill="background1"/>
          </w:tcPr>
          <w:p w14:paraId="468E9A2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The link worker co-develops together with the individual a personalized wellbeing plan. The link worker then connects the individual to appropriate non-medical or social activities. These activities are distributed in categories, which are the so called ‘prescriptions’ of the link worker to the individual.</w:t>
            </w:r>
          </w:p>
        </w:tc>
        <w:tc>
          <w:tcPr>
            <w:tcW w:w="2410" w:type="dxa"/>
            <w:shd w:val="clear" w:color="auto" w:fill="FFFFFF" w:themeFill="background1"/>
          </w:tcPr>
          <w:p w14:paraId="67BC913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Finance and administration,</w:t>
            </w:r>
          </w:p>
          <w:p w14:paraId="481B32DC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Assistance and (voluntary) support,</w:t>
            </w:r>
          </w:p>
          <w:p w14:paraId="567AF9E3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Buddy or meet-up,</w:t>
            </w:r>
          </w:p>
          <w:p w14:paraId="46D15CBF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Discover and do,</w:t>
            </w:r>
          </w:p>
          <w:p w14:paraId="68DFD8B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Reference (to another specified organization),</w:t>
            </w:r>
          </w:p>
          <w:p w14:paraId="6E89A956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Other</w:t>
            </w:r>
          </w:p>
        </w:tc>
        <w:tc>
          <w:tcPr>
            <w:tcW w:w="1011" w:type="dxa"/>
            <w:shd w:val="clear" w:color="auto" w:fill="FFFFFF" w:themeFill="background1"/>
          </w:tcPr>
          <w:p w14:paraId="323245AC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2022-2024</w:t>
            </w:r>
          </w:p>
        </w:tc>
        <w:tc>
          <w:tcPr>
            <w:tcW w:w="1541" w:type="dxa"/>
            <w:shd w:val="clear" w:color="auto" w:fill="FFFFFF" w:themeFill="background1"/>
          </w:tcPr>
          <w:p w14:paraId="4DA7B405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Social welfare organization</w:t>
            </w:r>
          </w:p>
        </w:tc>
      </w:tr>
      <w:tr w:rsidR="007A4BE9" w:rsidRPr="007851F4" w14:paraId="7B1EA771" w14:textId="77777777" w:rsidTr="005E4A9A">
        <w:tc>
          <w:tcPr>
            <w:tcW w:w="1977" w:type="dxa"/>
            <w:shd w:val="clear" w:color="auto" w:fill="FFFFFF" w:themeFill="background1"/>
          </w:tcPr>
          <w:p w14:paraId="0A3CF21C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Contact moments with the link worker</w:t>
            </w:r>
          </w:p>
        </w:tc>
        <w:tc>
          <w:tcPr>
            <w:tcW w:w="3121" w:type="dxa"/>
            <w:shd w:val="clear" w:color="auto" w:fill="FFFFFF" w:themeFill="background1"/>
          </w:tcPr>
          <w:p w14:paraId="5F20D185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Number of contact moments of the individual with the link worker</w:t>
            </w:r>
          </w:p>
        </w:tc>
        <w:tc>
          <w:tcPr>
            <w:tcW w:w="2410" w:type="dxa"/>
            <w:shd w:val="clear" w:color="auto" w:fill="FFFFFF" w:themeFill="background1"/>
          </w:tcPr>
          <w:p w14:paraId="0912C1BF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Number of contact moments</w:t>
            </w:r>
          </w:p>
        </w:tc>
        <w:tc>
          <w:tcPr>
            <w:tcW w:w="1011" w:type="dxa"/>
            <w:shd w:val="clear" w:color="auto" w:fill="FFFFFF" w:themeFill="background1"/>
          </w:tcPr>
          <w:p w14:paraId="2F9F7B7A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2022-2024</w:t>
            </w:r>
          </w:p>
        </w:tc>
        <w:tc>
          <w:tcPr>
            <w:tcW w:w="1541" w:type="dxa"/>
            <w:shd w:val="clear" w:color="auto" w:fill="FFFFFF" w:themeFill="background1"/>
          </w:tcPr>
          <w:p w14:paraId="1450CEEA" w14:textId="77777777" w:rsidR="007A4BE9" w:rsidRPr="007851F4" w:rsidRDefault="007A4BE9" w:rsidP="005E4A9A">
            <w:pPr>
              <w:rPr>
                <w:rFonts w:ascii="Arial" w:hAnsi="Arial" w:cs="Arial"/>
              </w:rPr>
            </w:pPr>
            <w:r w:rsidRPr="007851F4">
              <w:rPr>
                <w:rFonts w:ascii="Arial" w:hAnsi="Arial" w:cs="Arial"/>
              </w:rPr>
              <w:t>Social welfare organization</w:t>
            </w:r>
          </w:p>
        </w:tc>
      </w:tr>
    </w:tbl>
    <w:p w14:paraId="620AA258" w14:textId="77777777" w:rsidR="007A4BE9" w:rsidRPr="007851F4" w:rsidRDefault="007A4BE9" w:rsidP="007A4BE9">
      <w:pPr>
        <w:spacing w:line="240" w:lineRule="auto"/>
        <w:rPr>
          <w:rFonts w:ascii="Arial" w:hAnsi="Arial" w:cs="Arial"/>
        </w:rPr>
      </w:pPr>
      <w:r w:rsidRPr="007851F4">
        <w:rPr>
          <w:rFonts w:ascii="Arial" w:hAnsi="Arial" w:cs="Arial"/>
        </w:rPr>
        <w:t>*Abbreviations of data sources:</w:t>
      </w:r>
    </w:p>
    <w:p w14:paraId="4D02F364" w14:textId="77777777" w:rsidR="007A4BE9" w:rsidRPr="007851F4" w:rsidRDefault="007A4BE9" w:rsidP="007A4BE9">
      <w:pPr>
        <w:spacing w:line="240" w:lineRule="auto"/>
        <w:rPr>
          <w:rFonts w:ascii="Arial" w:hAnsi="Arial" w:cs="Arial"/>
        </w:rPr>
      </w:pPr>
      <w:r w:rsidRPr="007851F4">
        <w:rPr>
          <w:rFonts w:ascii="Arial" w:hAnsi="Arial" w:cs="Arial"/>
        </w:rPr>
        <w:t>SN-SSD = Statistics Netherlands – Social Statistical Datasets</w:t>
      </w:r>
    </w:p>
    <w:p w14:paraId="3AA4B64B" w14:textId="054032FA" w:rsidR="007A4BE9" w:rsidRDefault="007A4BE9" w:rsidP="007A4BE9">
      <w:r w:rsidRPr="007851F4">
        <w:rPr>
          <w:rFonts w:ascii="Arial" w:hAnsi="Arial" w:cs="Arial"/>
        </w:rPr>
        <w:t>ELAN = Extramural LUMC Academic Network</w:t>
      </w:r>
    </w:p>
    <w:sectPr w:rsidR="007A4B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BE9"/>
    <w:rsid w:val="007A4BE9"/>
    <w:rsid w:val="0087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4029"/>
  <w15:chartTrackingRefBased/>
  <w15:docId w15:val="{E80D8D5C-435C-4E89-9F27-B4A3B455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BE9"/>
    <w:pPr>
      <w:spacing w:line="259" w:lineRule="auto"/>
    </w:pPr>
    <w:rPr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A4B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A4B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A4B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A4B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A4B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nl-N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A4BE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A4BE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nl-N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A4BE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nl-N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A4BE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4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A4B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A4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A4BE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4BE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4B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4B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4B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4B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A4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7A4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4BE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4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4BE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007A4B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A4BE9"/>
    <w:pPr>
      <w:spacing w:line="278" w:lineRule="auto"/>
      <w:ind w:left="720"/>
      <w:contextualSpacing/>
    </w:pPr>
    <w:rPr>
      <w:sz w:val="24"/>
      <w:szCs w:val="24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7A4B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4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4B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A4BE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A4BE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4260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Lammeren, Roos van (PHEG - LUMC)</dc:creator>
  <cp:keywords/>
  <dc:description/>
  <cp:lastModifiedBy>Lammeren, Roos van (PHEG - LUMC)</cp:lastModifiedBy>
  <cp:revision>1</cp:revision>
  <dcterms:created xsi:type="dcterms:W3CDTF">2026-05-28T15:00:00Z</dcterms:created>
  <dcterms:modified xsi:type="dcterms:W3CDTF">2026-05-28T15:00:00Z</dcterms:modified>
</cp:coreProperties>
</file>