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62A75" w14:textId="77777777" w:rsidR="00C800DA" w:rsidRPr="005544E4" w:rsidRDefault="00C800DA" w:rsidP="00C800DA">
      <w:pPr>
        <w:spacing w:after="120" w:line="360" w:lineRule="auto"/>
        <w:jc w:val="center"/>
        <w:rPr>
          <w:rFonts w:cs="Times New Roman"/>
          <w:b/>
          <w:bCs/>
          <w:sz w:val="32"/>
          <w:szCs w:val="32"/>
        </w:rPr>
      </w:pPr>
      <w:bookmarkStart w:id="0" w:name="_Hlk136526890"/>
      <w:bookmarkEnd w:id="0"/>
      <w:r w:rsidRPr="005544E4">
        <w:rPr>
          <w:rFonts w:cs="Times New Roman"/>
          <w:b/>
          <w:bCs/>
          <w:sz w:val="32"/>
          <w:szCs w:val="32"/>
        </w:rPr>
        <w:t>Supplementary Materials</w:t>
      </w:r>
    </w:p>
    <w:p w14:paraId="49729E45" w14:textId="77777777" w:rsidR="00CB64B7" w:rsidRPr="002E3CD4" w:rsidRDefault="00CB64B7" w:rsidP="00CB64B7">
      <w:pPr>
        <w:pStyle w:val="Titel"/>
        <w:rPr>
          <w:rFonts w:ascii="Arial" w:hAnsi="Arial" w:cs="Arial"/>
          <w:b/>
          <w:sz w:val="28"/>
          <w:lang w:val="en-GB"/>
        </w:rPr>
      </w:pPr>
      <w:bookmarkStart w:id="1" w:name="_Hlk192693345"/>
      <w:r w:rsidRPr="002E3CD4">
        <w:rPr>
          <w:rFonts w:ascii="Arial" w:hAnsi="Arial" w:cs="Arial"/>
          <w:b/>
          <w:sz w:val="28"/>
          <w:lang w:val="en-GB"/>
        </w:rPr>
        <w:t xml:space="preserve">Establishment and Comparative Secondary Metabolite Production of Callus and Cambial Meristematic Cells of </w:t>
      </w:r>
      <w:r w:rsidRPr="002E3CD4">
        <w:rPr>
          <w:rFonts w:ascii="Arial" w:hAnsi="Arial" w:cs="Arial"/>
          <w:b/>
          <w:i/>
          <w:sz w:val="28"/>
          <w:lang w:val="en-GB"/>
        </w:rPr>
        <w:t xml:space="preserve">Coffea arabica </w:t>
      </w:r>
      <w:r w:rsidRPr="002E3CD4">
        <w:rPr>
          <w:rFonts w:ascii="Arial" w:hAnsi="Arial" w:cs="Arial"/>
          <w:b/>
          <w:sz w:val="28"/>
          <w:lang w:val="en-GB"/>
        </w:rPr>
        <w:t xml:space="preserve">and </w:t>
      </w:r>
      <w:r w:rsidRPr="002E3CD4">
        <w:rPr>
          <w:rFonts w:ascii="Arial" w:hAnsi="Arial" w:cs="Arial"/>
          <w:b/>
          <w:i/>
          <w:sz w:val="28"/>
          <w:lang w:val="en-GB"/>
        </w:rPr>
        <w:t>Coffea canephora</w:t>
      </w:r>
    </w:p>
    <w:p w14:paraId="4D2E98DA" w14:textId="77777777" w:rsidR="00CB64B7" w:rsidRPr="002E3CD4" w:rsidRDefault="00CB64B7" w:rsidP="00CB64B7">
      <w:pPr>
        <w:rPr>
          <w:rFonts w:ascii="Arial" w:hAnsi="Arial" w:cs="Arial"/>
        </w:rPr>
      </w:pPr>
      <w:bookmarkStart w:id="2" w:name="_GoBack"/>
      <w:bookmarkEnd w:id="2"/>
    </w:p>
    <w:p w14:paraId="0FAAD098" w14:textId="79967B95" w:rsidR="00CB64B7" w:rsidRPr="00CB64B7" w:rsidRDefault="00CB64B7" w:rsidP="00CB64B7">
      <w:pPr>
        <w:rPr>
          <w:rFonts w:cs="Times New Roman"/>
          <w:sz w:val="20"/>
          <w:szCs w:val="20"/>
          <w:lang w:val="de-DE"/>
        </w:rPr>
      </w:pPr>
      <w:r w:rsidRPr="00CB64B7">
        <w:rPr>
          <w:rFonts w:cs="Times New Roman"/>
          <w:sz w:val="20"/>
          <w:szCs w:val="20"/>
          <w:lang w:val="de-DE"/>
        </w:rPr>
        <w:t>Janik Haffelder</w:t>
      </w:r>
      <w:r w:rsidRPr="00CB64B7">
        <w:rPr>
          <w:rFonts w:cs="Times New Roman"/>
          <w:sz w:val="20"/>
          <w:szCs w:val="20"/>
          <w:vertAlign w:val="superscript"/>
          <w:lang w:val="de-DE"/>
        </w:rPr>
        <w:t>1</w:t>
      </w:r>
      <w:r w:rsidRPr="00CB64B7">
        <w:rPr>
          <w:rFonts w:cs="Times New Roman"/>
          <w:sz w:val="20"/>
          <w:szCs w:val="20"/>
          <w:lang w:val="de-DE"/>
        </w:rPr>
        <w:t>(0009-0003-9933-9257), Torben Simon</w:t>
      </w:r>
      <w:r w:rsidRPr="00CB64B7">
        <w:rPr>
          <w:rFonts w:cs="Times New Roman"/>
          <w:sz w:val="20"/>
          <w:szCs w:val="20"/>
          <w:vertAlign w:val="superscript"/>
          <w:lang w:val="de-DE"/>
        </w:rPr>
        <w:t>1</w:t>
      </w:r>
      <w:r w:rsidRPr="00CB64B7">
        <w:rPr>
          <w:rFonts w:cs="Times New Roman"/>
          <w:sz w:val="20"/>
          <w:szCs w:val="20"/>
          <w:lang w:val="de-DE"/>
        </w:rPr>
        <w:t>, Judith Stiefelmaier</w:t>
      </w:r>
      <w:r w:rsidRPr="00CB64B7">
        <w:rPr>
          <w:rFonts w:cs="Times New Roman"/>
          <w:sz w:val="20"/>
          <w:szCs w:val="20"/>
          <w:vertAlign w:val="superscript"/>
          <w:lang w:val="de-DE"/>
        </w:rPr>
        <w:t>1</w:t>
      </w:r>
      <w:r w:rsidRPr="00CB64B7">
        <w:rPr>
          <w:rFonts w:cs="Times New Roman"/>
          <w:sz w:val="20"/>
          <w:szCs w:val="20"/>
          <w:lang w:val="de-DE"/>
        </w:rPr>
        <w:t>(0000-0002-5628-1927), Ahmed Zayed</w:t>
      </w:r>
      <w:r w:rsidRPr="00CB64B7">
        <w:rPr>
          <w:rFonts w:cs="Times New Roman"/>
          <w:sz w:val="20"/>
          <w:szCs w:val="20"/>
          <w:vertAlign w:val="superscript"/>
          <w:lang w:val="de-DE"/>
        </w:rPr>
        <w:t xml:space="preserve">2 </w:t>
      </w:r>
      <w:r w:rsidRPr="00CB64B7">
        <w:rPr>
          <w:rFonts w:cs="Times New Roman"/>
          <w:sz w:val="20"/>
          <w:szCs w:val="20"/>
          <w:lang w:val="de-DE"/>
        </w:rPr>
        <w:t>(0000-0001-5747-6972), Roland Ulber</w:t>
      </w:r>
      <w:r w:rsidRPr="00CB64B7">
        <w:rPr>
          <w:rFonts w:cs="Times New Roman"/>
          <w:sz w:val="20"/>
          <w:szCs w:val="20"/>
          <w:vertAlign w:val="superscript"/>
          <w:lang w:val="de-DE"/>
        </w:rPr>
        <w:t>1</w:t>
      </w:r>
      <w:r w:rsidRPr="00CB64B7">
        <w:rPr>
          <w:rFonts w:cs="Times New Roman"/>
          <w:sz w:val="20"/>
          <w:szCs w:val="20"/>
          <w:lang w:val="de-DE"/>
        </w:rPr>
        <w:t>(0000-0002-7674-0967)</w:t>
      </w:r>
    </w:p>
    <w:p w14:paraId="27111230" w14:textId="77777777" w:rsidR="00CB64B7" w:rsidRPr="002E3CD4" w:rsidRDefault="00CB64B7" w:rsidP="00CB64B7">
      <w:pPr>
        <w:rPr>
          <w:rFonts w:cs="Times New Roman"/>
          <w:sz w:val="20"/>
          <w:szCs w:val="20"/>
        </w:rPr>
      </w:pPr>
      <w:r w:rsidRPr="002E3CD4">
        <w:rPr>
          <w:rFonts w:cs="Times New Roman"/>
          <w:sz w:val="20"/>
          <w:szCs w:val="20"/>
          <w:vertAlign w:val="superscript"/>
        </w:rPr>
        <w:t>1</w:t>
      </w:r>
      <w:r w:rsidRPr="002E3CD4">
        <w:rPr>
          <w:rFonts w:cs="Times New Roman"/>
          <w:sz w:val="20"/>
          <w:szCs w:val="20"/>
        </w:rPr>
        <w:t>Institute of Bioprocess Engineering, RPTU Kaiserslautern Landau, Gottlieb-Daimler-</w:t>
      </w:r>
      <w:proofErr w:type="spellStart"/>
      <w:r w:rsidRPr="002E3CD4">
        <w:rPr>
          <w:rFonts w:cs="Times New Roman"/>
          <w:sz w:val="20"/>
          <w:szCs w:val="20"/>
        </w:rPr>
        <w:t>Straße</w:t>
      </w:r>
      <w:proofErr w:type="spellEnd"/>
      <w:r w:rsidRPr="002E3CD4">
        <w:rPr>
          <w:rFonts w:cs="Times New Roman"/>
          <w:sz w:val="20"/>
          <w:szCs w:val="20"/>
        </w:rPr>
        <w:t xml:space="preserve"> 49, 67663 Kaiserslautern, Germany</w:t>
      </w:r>
    </w:p>
    <w:p w14:paraId="54F39367" w14:textId="77777777" w:rsidR="00CB64B7" w:rsidRPr="002E3CD4" w:rsidRDefault="00CB64B7" w:rsidP="00CB64B7">
      <w:pPr>
        <w:rPr>
          <w:rFonts w:cs="Times New Roman"/>
          <w:sz w:val="20"/>
          <w:szCs w:val="20"/>
        </w:rPr>
      </w:pPr>
      <w:r w:rsidRPr="002E3CD4">
        <w:rPr>
          <w:rFonts w:cs="Times New Roman"/>
          <w:sz w:val="20"/>
          <w:szCs w:val="20"/>
          <w:vertAlign w:val="superscript"/>
        </w:rPr>
        <w:t>2</w:t>
      </w:r>
      <w:r w:rsidRPr="002E3CD4">
        <w:rPr>
          <w:rFonts w:cs="Times New Roman"/>
          <w:sz w:val="20"/>
          <w:szCs w:val="20"/>
        </w:rPr>
        <w:t xml:space="preserve">Department of Pharmacognosy, College of Pharmacy, Tanta University, </w:t>
      </w:r>
      <w:proofErr w:type="spellStart"/>
      <w:r w:rsidRPr="002E3CD4">
        <w:rPr>
          <w:rFonts w:cs="Times New Roman"/>
          <w:sz w:val="20"/>
          <w:szCs w:val="20"/>
        </w:rPr>
        <w:t>Elguish</w:t>
      </w:r>
      <w:proofErr w:type="spellEnd"/>
      <w:r w:rsidRPr="002E3CD4">
        <w:rPr>
          <w:rFonts w:cs="Times New Roman"/>
          <w:sz w:val="20"/>
          <w:szCs w:val="20"/>
        </w:rPr>
        <w:t xml:space="preserve"> street, 31527, Tanta, Egypt</w:t>
      </w:r>
    </w:p>
    <w:bookmarkEnd w:id="1"/>
    <w:p w14:paraId="2C8F9A50" w14:textId="77777777" w:rsidR="001A58D1" w:rsidRDefault="001A58D1" w:rsidP="001A58D1"/>
    <w:p w14:paraId="1C1FC336" w14:textId="77777777" w:rsidR="001A58D1" w:rsidRDefault="001A58D1" w:rsidP="001A58D1">
      <w:pPr>
        <w:keepNext/>
        <w:jc w:val="center"/>
      </w:pPr>
      <w:r w:rsidRPr="005532F3">
        <w:rPr>
          <w:rFonts w:ascii="Arial" w:hAnsi="Arial" w:cs="Arial"/>
          <w:b/>
          <w:noProof/>
          <w:sz w:val="28"/>
        </w:rPr>
        <w:drawing>
          <wp:inline distT="0" distB="0" distL="0" distR="0" wp14:anchorId="33DBF9E7" wp14:editId="190EE74A">
            <wp:extent cx="5798456" cy="2686050"/>
            <wp:effectExtent l="19050" t="19050" r="12065" b="19050"/>
            <wp:docPr id="7" name="Inhaltsplatzhalter 6">
              <a:extLst xmlns:a="http://schemas.openxmlformats.org/drawingml/2006/main">
                <a:ext uri="{FF2B5EF4-FFF2-40B4-BE49-F238E27FC236}">
                  <a16:creationId xmlns:a16="http://schemas.microsoft.com/office/drawing/2014/main" id="{5473842E-6D97-4BC3-AC12-642EC9C20A9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haltsplatzhalter 6">
                      <a:extLst>
                        <a:ext uri="{FF2B5EF4-FFF2-40B4-BE49-F238E27FC236}">
                          <a16:creationId xmlns:a16="http://schemas.microsoft.com/office/drawing/2014/main" id="{5473842E-6D97-4BC3-AC12-642EC9C20A9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232" cy="269706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90A16C" w14:textId="244ED490" w:rsidR="001A58D1" w:rsidRPr="005532F3" w:rsidRDefault="001A58D1" w:rsidP="001A58D1">
      <w:pPr>
        <w:pStyle w:val="Beschriftung"/>
        <w:jc w:val="both"/>
        <w:rPr>
          <w:rFonts w:cs="Times New Roman"/>
          <w:b/>
          <w:i w:val="0"/>
          <w:noProof/>
          <w:color w:val="auto"/>
          <w:sz w:val="28"/>
        </w:rPr>
      </w:pPr>
      <w:r w:rsidRPr="00E3239C">
        <w:rPr>
          <w:rFonts w:cs="Times New Roman"/>
          <w:b/>
          <w:i w:val="0"/>
          <w:color w:val="auto"/>
        </w:rPr>
        <w:t xml:space="preserve">Figure </w:t>
      </w:r>
      <w:r>
        <w:rPr>
          <w:rFonts w:cs="Times New Roman"/>
          <w:b/>
          <w:i w:val="0"/>
          <w:color w:val="auto"/>
        </w:rPr>
        <w:t>S</w:t>
      </w:r>
      <w:r w:rsidRPr="00E3239C">
        <w:rPr>
          <w:rFonts w:cs="Times New Roman"/>
          <w:b/>
          <w:i w:val="0"/>
          <w:color w:val="auto"/>
        </w:rPr>
        <w:fldChar w:fldCharType="begin"/>
      </w:r>
      <w:r w:rsidRPr="00E3239C">
        <w:rPr>
          <w:rFonts w:cs="Times New Roman"/>
          <w:b/>
          <w:i w:val="0"/>
          <w:color w:val="auto"/>
        </w:rPr>
        <w:instrText xml:space="preserve"> SEQ Figure \* ARABIC </w:instrText>
      </w:r>
      <w:r w:rsidRPr="00E3239C">
        <w:rPr>
          <w:rFonts w:cs="Times New Roman"/>
          <w:b/>
          <w:i w:val="0"/>
          <w:color w:val="auto"/>
        </w:rPr>
        <w:fldChar w:fldCharType="separate"/>
      </w:r>
      <w:r w:rsidR="00CB64B7">
        <w:rPr>
          <w:rFonts w:cs="Times New Roman"/>
          <w:b/>
          <w:i w:val="0"/>
          <w:noProof/>
          <w:color w:val="auto"/>
        </w:rPr>
        <w:t>1</w:t>
      </w:r>
      <w:r w:rsidRPr="00E3239C">
        <w:rPr>
          <w:rFonts w:cs="Times New Roman"/>
          <w:b/>
          <w:i w:val="0"/>
          <w:color w:val="auto"/>
        </w:rPr>
        <w:fldChar w:fldCharType="end"/>
      </w:r>
      <w:r w:rsidRPr="00E3239C">
        <w:rPr>
          <w:rFonts w:cs="Times New Roman"/>
          <w:b/>
          <w:i w:val="0"/>
          <w:color w:val="auto"/>
        </w:rPr>
        <w:t>:</w:t>
      </w:r>
      <w:r w:rsidRPr="005532F3">
        <w:rPr>
          <w:rFonts w:cs="Times New Roman"/>
          <w:i w:val="0"/>
          <w:color w:val="auto"/>
        </w:rPr>
        <w:t xml:space="preserve"> </w:t>
      </w:r>
      <w:r w:rsidRPr="00A33B6B">
        <w:rPr>
          <w:rFonts w:cs="Times New Roman"/>
          <w:i w:val="0"/>
          <w:color w:val="auto"/>
        </w:rPr>
        <w:t xml:space="preserve">Visual differentiation in freshly induced </w:t>
      </w:r>
      <w:r w:rsidRPr="0050257E">
        <w:rPr>
          <w:rFonts w:cs="Times New Roman"/>
          <w:color w:val="auto"/>
        </w:rPr>
        <w:t>Coffea arabica</w:t>
      </w:r>
      <w:r w:rsidRPr="00A33B6B">
        <w:rPr>
          <w:rFonts w:cs="Times New Roman"/>
          <w:i w:val="0"/>
          <w:color w:val="auto"/>
        </w:rPr>
        <w:t xml:space="preserve"> cell cultures. </w:t>
      </w:r>
      <w:r w:rsidRPr="00A33B6B">
        <w:rPr>
          <w:rFonts w:cs="Times New Roman"/>
          <w:b/>
          <w:i w:val="0"/>
          <w:color w:val="auto"/>
        </w:rPr>
        <w:t>(A)</w:t>
      </w:r>
      <w:r w:rsidRPr="00A33B6B">
        <w:rPr>
          <w:rFonts w:cs="Times New Roman"/>
          <w:i w:val="0"/>
          <w:color w:val="auto"/>
        </w:rPr>
        <w:t xml:space="preserve"> Dedifferentiated cells (DDCs) </w:t>
      </w:r>
      <w:r w:rsidR="0006153D">
        <w:rPr>
          <w:rFonts w:cs="Times New Roman"/>
          <w:i w:val="0"/>
          <w:color w:val="auto"/>
        </w:rPr>
        <w:t xml:space="preserve">adhere to the leaf explant; </w:t>
      </w:r>
      <w:r w:rsidR="0006153D" w:rsidRPr="00815A48">
        <w:rPr>
          <w:rFonts w:cs="Times New Roman"/>
          <w:b/>
          <w:i w:val="0"/>
          <w:color w:val="auto"/>
        </w:rPr>
        <w:t>(B</w:t>
      </w:r>
      <w:r w:rsidR="0006153D">
        <w:rPr>
          <w:rFonts w:cs="Times New Roman"/>
          <w:i w:val="0"/>
          <w:color w:val="auto"/>
        </w:rPr>
        <w:t xml:space="preserve">) Cambial meristematic cells (CMCs) </w:t>
      </w:r>
      <w:r w:rsidR="001D74CC">
        <w:rPr>
          <w:rFonts w:cs="Times New Roman"/>
          <w:i w:val="0"/>
          <w:color w:val="auto"/>
        </w:rPr>
        <w:t>cover entirely</w:t>
      </w:r>
      <w:r w:rsidRPr="00A33B6B">
        <w:rPr>
          <w:rFonts w:cs="Times New Roman"/>
          <w:i w:val="0"/>
          <w:color w:val="auto"/>
        </w:rPr>
        <w:t xml:space="preserve"> the shoots.</w:t>
      </w:r>
    </w:p>
    <w:p w14:paraId="20BC543F" w14:textId="77777777" w:rsidR="00914455" w:rsidRDefault="00914455" w:rsidP="00914455">
      <w:pPr>
        <w:keepNext/>
      </w:pPr>
      <w:r>
        <w:rPr>
          <w:noProof/>
        </w:rPr>
        <w:lastRenderedPageBreak/>
        <w:drawing>
          <wp:inline distT="0" distB="0" distL="0" distR="0" wp14:anchorId="47928C96" wp14:editId="5C283D24">
            <wp:extent cx="5724000" cy="2315969"/>
            <wp:effectExtent l="0" t="0" r="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2315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8B9F8" w14:textId="59010B10" w:rsidR="00C10491" w:rsidRPr="00914455" w:rsidRDefault="00914455" w:rsidP="00914455">
      <w:pPr>
        <w:pStyle w:val="Beschriftung"/>
        <w:rPr>
          <w:rFonts w:cs="Times New Roman"/>
          <w:b/>
          <w:i w:val="0"/>
          <w:color w:val="auto"/>
        </w:rPr>
      </w:pPr>
      <w:r w:rsidRPr="00914455">
        <w:rPr>
          <w:rFonts w:cs="Times New Roman"/>
          <w:b/>
          <w:i w:val="0"/>
          <w:color w:val="auto"/>
        </w:rPr>
        <w:t xml:space="preserve">Figure </w:t>
      </w:r>
      <w:r>
        <w:rPr>
          <w:rFonts w:cs="Times New Roman"/>
          <w:b/>
          <w:i w:val="0"/>
          <w:color w:val="auto"/>
        </w:rPr>
        <w:t>S</w:t>
      </w:r>
      <w:r w:rsidRPr="00914455">
        <w:rPr>
          <w:rFonts w:cs="Times New Roman"/>
          <w:b/>
          <w:i w:val="0"/>
          <w:color w:val="auto"/>
        </w:rPr>
        <w:fldChar w:fldCharType="begin"/>
      </w:r>
      <w:r w:rsidRPr="00914455">
        <w:rPr>
          <w:rFonts w:cs="Times New Roman"/>
          <w:b/>
          <w:i w:val="0"/>
          <w:color w:val="auto"/>
        </w:rPr>
        <w:instrText xml:space="preserve"> SEQ Figure \* ARABIC </w:instrText>
      </w:r>
      <w:r w:rsidRPr="00914455">
        <w:rPr>
          <w:rFonts w:cs="Times New Roman"/>
          <w:b/>
          <w:i w:val="0"/>
          <w:color w:val="auto"/>
        </w:rPr>
        <w:fldChar w:fldCharType="separate"/>
      </w:r>
      <w:r w:rsidR="00715AEA">
        <w:rPr>
          <w:rFonts w:cs="Times New Roman"/>
          <w:b/>
          <w:i w:val="0"/>
          <w:noProof/>
          <w:color w:val="auto"/>
        </w:rPr>
        <w:t>2</w:t>
      </w:r>
      <w:r w:rsidRPr="00914455">
        <w:rPr>
          <w:rFonts w:cs="Times New Roman"/>
          <w:b/>
          <w:i w:val="0"/>
          <w:color w:val="auto"/>
        </w:rPr>
        <w:fldChar w:fldCharType="end"/>
      </w:r>
      <w:r>
        <w:rPr>
          <w:rFonts w:cs="Times New Roman"/>
          <w:b/>
          <w:i w:val="0"/>
          <w:color w:val="auto"/>
        </w:rPr>
        <w:t xml:space="preserve">: </w:t>
      </w:r>
      <w:proofErr w:type="spellStart"/>
      <w:r w:rsidR="00815A48" w:rsidRPr="00815A48">
        <w:rPr>
          <w:rFonts w:cs="Times New Roman"/>
          <w:i w:val="0"/>
          <w:color w:val="auto"/>
        </w:rPr>
        <w:t>Amyloplast</w:t>
      </w:r>
      <w:proofErr w:type="spellEnd"/>
      <w:r w:rsidR="00815A48" w:rsidRPr="00815A48">
        <w:rPr>
          <w:rFonts w:cs="Times New Roman"/>
          <w:i w:val="0"/>
          <w:color w:val="auto"/>
        </w:rPr>
        <w:t xml:space="preserve"> visualization in </w:t>
      </w:r>
      <w:r w:rsidR="00815A48" w:rsidRPr="00815A48">
        <w:rPr>
          <w:rFonts w:cs="Times New Roman"/>
          <w:color w:val="auto"/>
        </w:rPr>
        <w:t>Coffea arabica</w:t>
      </w:r>
      <w:r w:rsidR="00815A48" w:rsidRPr="00815A48">
        <w:rPr>
          <w:rFonts w:cs="Times New Roman"/>
          <w:i w:val="0"/>
          <w:color w:val="auto"/>
        </w:rPr>
        <w:t xml:space="preserve"> callus cells. Light microscopy of </w:t>
      </w:r>
      <w:r w:rsidR="00815A48" w:rsidRPr="00815A48">
        <w:rPr>
          <w:rFonts w:cs="Times New Roman"/>
          <w:color w:val="auto"/>
        </w:rPr>
        <w:t>C. arabica</w:t>
      </w:r>
      <w:r w:rsidR="00815A48" w:rsidRPr="00815A48">
        <w:rPr>
          <w:rFonts w:cs="Times New Roman"/>
          <w:i w:val="0"/>
          <w:color w:val="auto"/>
        </w:rPr>
        <w:t xml:space="preserve"> callus cells stained with 2% </w:t>
      </w:r>
      <w:proofErr w:type="spellStart"/>
      <w:r w:rsidR="00815A48" w:rsidRPr="00815A48">
        <w:rPr>
          <w:rFonts w:cs="Times New Roman"/>
          <w:i w:val="0"/>
          <w:color w:val="auto"/>
        </w:rPr>
        <w:t>Lugol's</w:t>
      </w:r>
      <w:proofErr w:type="spellEnd"/>
      <w:r w:rsidR="00815A48" w:rsidRPr="00815A48">
        <w:rPr>
          <w:rFonts w:cs="Times New Roman"/>
          <w:i w:val="0"/>
          <w:color w:val="auto"/>
        </w:rPr>
        <w:t xml:space="preserve"> iodine solution. Red arrows indicate starch-containing amyloplasts, which appear dark blue to black due to iodine–starch complex formation. Scale bar = 25 µm.</w:t>
      </w:r>
    </w:p>
    <w:p w14:paraId="28034B11" w14:textId="77777777" w:rsidR="00C10491" w:rsidRDefault="00C10491" w:rsidP="00C10491"/>
    <w:p w14:paraId="21639B47" w14:textId="77777777" w:rsidR="00797A63" w:rsidRDefault="00797A63" w:rsidP="00797A63">
      <w:pPr>
        <w:keepNext/>
        <w:jc w:val="center"/>
      </w:pPr>
      <w:r>
        <w:rPr>
          <w:noProof/>
        </w:rPr>
        <w:drawing>
          <wp:inline distT="0" distB="0" distL="0" distR="0" wp14:anchorId="0F015B62" wp14:editId="421B8855">
            <wp:extent cx="5400000" cy="3443454"/>
            <wp:effectExtent l="0" t="0" r="0" b="508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43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8ACF1" w14:textId="7AC2B7EC" w:rsidR="00797A63" w:rsidRPr="00797A63" w:rsidRDefault="00797A63" w:rsidP="00797A63">
      <w:pPr>
        <w:pStyle w:val="Beschriftung"/>
        <w:rPr>
          <w:rFonts w:cs="Times New Roman"/>
          <w:i w:val="0"/>
          <w:color w:val="auto"/>
        </w:rPr>
      </w:pPr>
      <w:r w:rsidRPr="00797A63">
        <w:rPr>
          <w:rFonts w:cs="Times New Roman"/>
          <w:b/>
          <w:i w:val="0"/>
          <w:color w:val="auto"/>
        </w:rPr>
        <w:t xml:space="preserve">Figure </w:t>
      </w:r>
      <w:r>
        <w:rPr>
          <w:rFonts w:cs="Times New Roman"/>
          <w:b/>
          <w:i w:val="0"/>
          <w:color w:val="auto"/>
        </w:rPr>
        <w:t>S</w:t>
      </w:r>
      <w:r w:rsidRPr="00797A63">
        <w:rPr>
          <w:rFonts w:cs="Times New Roman"/>
          <w:b/>
          <w:i w:val="0"/>
          <w:color w:val="auto"/>
        </w:rPr>
        <w:fldChar w:fldCharType="begin"/>
      </w:r>
      <w:r w:rsidRPr="00797A63">
        <w:rPr>
          <w:rFonts w:cs="Times New Roman"/>
          <w:b/>
          <w:i w:val="0"/>
          <w:color w:val="auto"/>
        </w:rPr>
        <w:instrText xml:space="preserve"> SEQ Figure \* ARABIC </w:instrText>
      </w:r>
      <w:r w:rsidRPr="00797A63">
        <w:rPr>
          <w:rFonts w:cs="Times New Roman"/>
          <w:b/>
          <w:i w:val="0"/>
          <w:color w:val="auto"/>
        </w:rPr>
        <w:fldChar w:fldCharType="separate"/>
      </w:r>
      <w:r w:rsidR="00C90F12">
        <w:rPr>
          <w:rFonts w:cs="Times New Roman"/>
          <w:b/>
          <w:i w:val="0"/>
          <w:noProof/>
          <w:color w:val="auto"/>
        </w:rPr>
        <w:t>3</w:t>
      </w:r>
      <w:r w:rsidRPr="00797A63">
        <w:rPr>
          <w:rFonts w:cs="Times New Roman"/>
          <w:b/>
          <w:i w:val="0"/>
          <w:color w:val="auto"/>
        </w:rPr>
        <w:fldChar w:fldCharType="end"/>
      </w:r>
      <w:r>
        <w:rPr>
          <w:rFonts w:cs="Times New Roman"/>
          <w:b/>
          <w:i w:val="0"/>
          <w:color w:val="auto"/>
        </w:rPr>
        <w:t xml:space="preserve">: </w:t>
      </w:r>
      <w:r w:rsidR="00F631CC" w:rsidRPr="00F631CC">
        <w:rPr>
          <w:rFonts w:cs="Times New Roman"/>
          <w:i w:val="0"/>
          <w:color w:val="auto"/>
        </w:rPr>
        <w:t xml:space="preserve">Donor plants used for explant isolation. Representative </w:t>
      </w:r>
      <w:r w:rsidR="00F631CC" w:rsidRPr="00F631CC">
        <w:rPr>
          <w:rFonts w:cs="Times New Roman"/>
          <w:color w:val="auto"/>
        </w:rPr>
        <w:t>Coffea arabica</w:t>
      </w:r>
      <w:r w:rsidR="00F631CC" w:rsidRPr="00F631CC">
        <w:rPr>
          <w:rFonts w:cs="Times New Roman"/>
          <w:i w:val="0"/>
          <w:color w:val="auto"/>
        </w:rPr>
        <w:t xml:space="preserve"> </w:t>
      </w:r>
      <w:r w:rsidR="00F631CC" w:rsidRPr="00F631CC">
        <w:rPr>
          <w:rFonts w:cs="Times New Roman"/>
          <w:b/>
          <w:i w:val="0"/>
          <w:color w:val="auto"/>
        </w:rPr>
        <w:t>(A)</w:t>
      </w:r>
      <w:r w:rsidR="00F631CC" w:rsidRPr="00F631CC">
        <w:rPr>
          <w:rFonts w:cs="Times New Roman"/>
          <w:i w:val="0"/>
          <w:color w:val="auto"/>
        </w:rPr>
        <w:t xml:space="preserve"> and </w:t>
      </w:r>
      <w:r w:rsidR="00F631CC" w:rsidRPr="00F631CC">
        <w:rPr>
          <w:rFonts w:cs="Times New Roman"/>
          <w:color w:val="auto"/>
        </w:rPr>
        <w:t>Coffea canephora</w:t>
      </w:r>
      <w:r w:rsidR="00F631CC" w:rsidRPr="00F631CC">
        <w:rPr>
          <w:rFonts w:cs="Times New Roman"/>
          <w:i w:val="0"/>
          <w:color w:val="auto"/>
        </w:rPr>
        <w:t xml:space="preserve"> </w:t>
      </w:r>
      <w:r w:rsidR="00F631CC" w:rsidRPr="00F631CC">
        <w:rPr>
          <w:rFonts w:cs="Times New Roman"/>
          <w:b/>
          <w:i w:val="0"/>
          <w:color w:val="auto"/>
        </w:rPr>
        <w:t>(B)</w:t>
      </w:r>
      <w:r w:rsidR="00F631CC" w:rsidRPr="00F631CC">
        <w:rPr>
          <w:rFonts w:cs="Times New Roman"/>
          <w:i w:val="0"/>
          <w:color w:val="auto"/>
        </w:rPr>
        <w:t xml:space="preserve"> plants serving as explant sources for </w:t>
      </w:r>
      <w:r w:rsidR="00F631CC">
        <w:rPr>
          <w:rFonts w:cs="Times New Roman"/>
          <w:i w:val="0"/>
          <w:color w:val="auto"/>
        </w:rPr>
        <w:t>DDC and CMC</w:t>
      </w:r>
      <w:r w:rsidR="00F631CC" w:rsidRPr="00F631CC">
        <w:rPr>
          <w:rFonts w:cs="Times New Roman"/>
          <w:i w:val="0"/>
          <w:color w:val="auto"/>
        </w:rPr>
        <w:t xml:space="preserve"> induction and subsequent suspension culture establishment. Plants were cultivated under controlled greenhouse conditions prior to </w:t>
      </w:r>
      <w:r w:rsidR="00F631CC">
        <w:rPr>
          <w:rFonts w:cs="Times New Roman"/>
          <w:i w:val="0"/>
          <w:color w:val="auto"/>
        </w:rPr>
        <w:t>explant</w:t>
      </w:r>
      <w:r w:rsidR="00F631CC" w:rsidRPr="00F631CC">
        <w:rPr>
          <w:rFonts w:cs="Times New Roman"/>
          <w:i w:val="0"/>
          <w:color w:val="auto"/>
        </w:rPr>
        <w:t xml:space="preserve"> harvest.</w:t>
      </w:r>
    </w:p>
    <w:p w14:paraId="2D8711C1" w14:textId="487151FA" w:rsidR="002E38B6" w:rsidRPr="002E38B6" w:rsidRDefault="002E38B6" w:rsidP="002E38B6">
      <w:pPr>
        <w:pStyle w:val="Beschriftung"/>
        <w:rPr>
          <w:b/>
          <w:i w:val="0"/>
          <w:color w:val="auto"/>
        </w:rPr>
      </w:pPr>
    </w:p>
    <w:p w14:paraId="7357EB74" w14:textId="77777777" w:rsidR="002E38B6" w:rsidRPr="002E38B6" w:rsidRDefault="002E38B6" w:rsidP="002E38B6"/>
    <w:p w14:paraId="1EE544FF" w14:textId="77777777" w:rsidR="00C10491" w:rsidRPr="00AE5EEA" w:rsidRDefault="00C10491" w:rsidP="00C10491">
      <w:pPr>
        <w:pStyle w:val="Beschriftung"/>
        <w:keepNext/>
        <w:rPr>
          <w:i w:val="0"/>
          <w:color w:val="auto"/>
        </w:rPr>
      </w:pPr>
      <w:r w:rsidRPr="00E400F6">
        <w:rPr>
          <w:b/>
          <w:i w:val="0"/>
          <w:color w:val="auto"/>
        </w:rPr>
        <w:lastRenderedPageBreak/>
        <w:t>Table S</w:t>
      </w:r>
      <w:r w:rsidRPr="00E400F6">
        <w:rPr>
          <w:b/>
          <w:i w:val="0"/>
          <w:color w:val="auto"/>
        </w:rPr>
        <w:fldChar w:fldCharType="begin"/>
      </w:r>
      <w:r w:rsidRPr="00E400F6">
        <w:rPr>
          <w:b/>
          <w:i w:val="0"/>
          <w:color w:val="auto"/>
        </w:rPr>
        <w:instrText xml:space="preserve"> SEQ Table \* ARABIC </w:instrText>
      </w:r>
      <w:r w:rsidRPr="00E400F6">
        <w:rPr>
          <w:b/>
          <w:i w:val="0"/>
          <w:color w:val="auto"/>
        </w:rPr>
        <w:fldChar w:fldCharType="separate"/>
      </w:r>
      <w:r w:rsidRPr="00E400F6">
        <w:rPr>
          <w:b/>
          <w:i w:val="0"/>
          <w:noProof/>
          <w:color w:val="auto"/>
        </w:rPr>
        <w:t>1</w:t>
      </w:r>
      <w:r w:rsidRPr="00E400F6">
        <w:rPr>
          <w:b/>
          <w:i w:val="0"/>
          <w:color w:val="auto"/>
        </w:rPr>
        <w:fldChar w:fldCharType="end"/>
      </w:r>
      <w:r w:rsidRPr="00AE5EEA">
        <w:rPr>
          <w:i w:val="0"/>
          <w:color w:val="auto"/>
        </w:rPr>
        <w:t>: Cell culture media.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2350"/>
        <w:gridCol w:w="3063"/>
      </w:tblGrid>
      <w:tr w:rsidR="00AE5EEA" w:rsidRPr="001D74CC" w14:paraId="5F1322BB" w14:textId="77777777" w:rsidTr="00914455">
        <w:trPr>
          <w:trHeight w:val="597"/>
        </w:trPr>
        <w:tc>
          <w:tcPr>
            <w:tcW w:w="3659" w:type="dxa"/>
            <w:vMerge w:val="restart"/>
            <w:tcBorders>
              <w:top w:val="single" w:sz="12" w:space="0" w:color="auto"/>
            </w:tcBorders>
            <w:vAlign w:val="center"/>
          </w:tcPr>
          <w:p w14:paraId="5C94AFDE" w14:textId="77777777" w:rsidR="00AE5EEA" w:rsidRPr="001D74CC" w:rsidRDefault="00AE5EEA" w:rsidP="00AE5EEA">
            <w:pPr>
              <w:rPr>
                <w:b/>
                <w:bCs/>
                <w:color w:val="000000" w:themeColor="text1"/>
              </w:rPr>
            </w:pPr>
            <w:r w:rsidRPr="001D74CC">
              <w:t>Composition</w:t>
            </w:r>
          </w:p>
        </w:tc>
        <w:tc>
          <w:tcPr>
            <w:tcW w:w="5413" w:type="dxa"/>
            <w:gridSpan w:val="2"/>
            <w:tcBorders>
              <w:top w:val="single" w:sz="12" w:space="0" w:color="auto"/>
            </w:tcBorders>
          </w:tcPr>
          <w:p w14:paraId="4F2BD18E" w14:textId="77777777" w:rsidR="00AE5EEA" w:rsidRPr="001D74CC" w:rsidRDefault="00AE5EEA" w:rsidP="00914455">
            <w:pPr>
              <w:jc w:val="center"/>
              <w:rPr>
                <w:b/>
                <w:bCs/>
                <w:color w:val="000000" w:themeColor="text1"/>
                <w:vertAlign w:val="superscript"/>
              </w:rPr>
            </w:pPr>
            <w:r w:rsidRPr="001D74CC">
              <w:rPr>
                <w:bCs/>
                <w:color w:val="000000" w:themeColor="text1"/>
              </w:rPr>
              <w:t>Concentration [mg</w:t>
            </w:r>
            <w:r w:rsidR="00914455">
              <w:rPr>
                <w:rFonts w:cs="Times New Roman"/>
                <w:bCs/>
                <w:color w:val="000000" w:themeColor="text1"/>
              </w:rPr>
              <w:t>·</w:t>
            </w:r>
            <w:r w:rsidR="00914455">
              <w:rPr>
                <w:bCs/>
                <w:color w:val="000000" w:themeColor="text1"/>
              </w:rPr>
              <w:t>l</w:t>
            </w:r>
            <w:r w:rsidR="00914455" w:rsidRPr="00914455">
              <w:rPr>
                <w:bCs/>
                <w:color w:val="000000" w:themeColor="text1"/>
                <w:vertAlign w:val="superscript"/>
              </w:rPr>
              <w:t>-1</w:t>
            </w:r>
            <w:r w:rsidRPr="001D74CC">
              <w:rPr>
                <w:bCs/>
                <w:color w:val="000000" w:themeColor="text1"/>
              </w:rPr>
              <w:t>]</w:t>
            </w:r>
          </w:p>
        </w:tc>
      </w:tr>
      <w:tr w:rsidR="00AE5EEA" w:rsidRPr="001D74CC" w14:paraId="2A14EDB0" w14:textId="77777777" w:rsidTr="00914455">
        <w:trPr>
          <w:trHeight w:val="572"/>
        </w:trPr>
        <w:tc>
          <w:tcPr>
            <w:tcW w:w="3659" w:type="dxa"/>
            <w:vMerge/>
            <w:tcBorders>
              <w:bottom w:val="single" w:sz="12" w:space="0" w:color="auto"/>
            </w:tcBorders>
          </w:tcPr>
          <w:p w14:paraId="7C283A38" w14:textId="77777777" w:rsidR="00AE5EEA" w:rsidRPr="001D74CC" w:rsidRDefault="00AE5EEA" w:rsidP="00C10491"/>
        </w:tc>
        <w:tc>
          <w:tcPr>
            <w:tcW w:w="2350" w:type="dxa"/>
            <w:tcBorders>
              <w:bottom w:val="single" w:sz="12" w:space="0" w:color="auto"/>
            </w:tcBorders>
          </w:tcPr>
          <w:p w14:paraId="2E4E71D4" w14:textId="77777777" w:rsidR="00AE5EEA" w:rsidRPr="001D74CC" w:rsidRDefault="00AE5EEA" w:rsidP="00AE5EEA">
            <w:pPr>
              <w:rPr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DDC Media</w:t>
            </w:r>
          </w:p>
        </w:tc>
        <w:tc>
          <w:tcPr>
            <w:tcW w:w="3063" w:type="dxa"/>
            <w:tcBorders>
              <w:bottom w:val="single" w:sz="12" w:space="0" w:color="auto"/>
            </w:tcBorders>
          </w:tcPr>
          <w:p w14:paraId="127192AF" w14:textId="77777777" w:rsidR="00AE5EEA" w:rsidRPr="001D74CC" w:rsidRDefault="00AE5EEA" w:rsidP="00AE5EEA">
            <w:pPr>
              <w:rPr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CMC Media</w:t>
            </w:r>
          </w:p>
        </w:tc>
      </w:tr>
      <w:tr w:rsidR="001D74CC" w:rsidRPr="001D74CC" w14:paraId="4E6F1230" w14:textId="77777777" w:rsidTr="00914455">
        <w:trPr>
          <w:trHeight w:val="737"/>
        </w:trPr>
        <w:tc>
          <w:tcPr>
            <w:tcW w:w="3659" w:type="dxa"/>
            <w:tcBorders>
              <w:top w:val="single" w:sz="12" w:space="0" w:color="auto"/>
            </w:tcBorders>
            <w:vAlign w:val="center"/>
          </w:tcPr>
          <w:p w14:paraId="7FEF2F8F" w14:textId="77777777" w:rsidR="001D74CC" w:rsidRPr="001D74CC" w:rsidRDefault="001D74CC" w:rsidP="00914455">
            <w:pPr>
              <w:rPr>
                <w:b/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Sucrose</w:t>
            </w:r>
          </w:p>
        </w:tc>
        <w:tc>
          <w:tcPr>
            <w:tcW w:w="2350" w:type="dxa"/>
            <w:tcBorders>
              <w:top w:val="single" w:sz="12" w:space="0" w:color="auto"/>
            </w:tcBorders>
            <w:vAlign w:val="center"/>
          </w:tcPr>
          <w:p w14:paraId="16006AC0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30,0</w:t>
            </w:r>
          </w:p>
        </w:tc>
        <w:tc>
          <w:tcPr>
            <w:tcW w:w="3063" w:type="dxa"/>
            <w:tcBorders>
              <w:top w:val="single" w:sz="12" w:space="0" w:color="auto"/>
            </w:tcBorders>
            <w:vAlign w:val="center"/>
          </w:tcPr>
          <w:p w14:paraId="290C0D83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30,0</w:t>
            </w:r>
          </w:p>
        </w:tc>
      </w:tr>
      <w:tr w:rsidR="001D74CC" w:rsidRPr="001D74CC" w14:paraId="26D5E6F3" w14:textId="77777777" w:rsidTr="00914455">
        <w:trPr>
          <w:trHeight w:val="737"/>
        </w:trPr>
        <w:tc>
          <w:tcPr>
            <w:tcW w:w="3659" w:type="dxa"/>
            <w:vAlign w:val="center"/>
          </w:tcPr>
          <w:p w14:paraId="16198CBD" w14:textId="77777777" w:rsidR="001D74CC" w:rsidRPr="001D74CC" w:rsidRDefault="001D74CC" w:rsidP="00914455">
            <w:pPr>
              <w:rPr>
                <w:b/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MES-Buffer</w:t>
            </w:r>
          </w:p>
        </w:tc>
        <w:tc>
          <w:tcPr>
            <w:tcW w:w="2350" w:type="dxa"/>
            <w:vAlign w:val="center"/>
          </w:tcPr>
          <w:p w14:paraId="6D38E535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1,0</w:t>
            </w:r>
          </w:p>
        </w:tc>
        <w:tc>
          <w:tcPr>
            <w:tcW w:w="3063" w:type="dxa"/>
            <w:vAlign w:val="center"/>
          </w:tcPr>
          <w:p w14:paraId="3ABE0516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1,0</w:t>
            </w:r>
          </w:p>
        </w:tc>
      </w:tr>
      <w:tr w:rsidR="001D74CC" w:rsidRPr="001D74CC" w14:paraId="2B430B3D" w14:textId="77777777" w:rsidTr="00914455">
        <w:trPr>
          <w:trHeight w:val="737"/>
        </w:trPr>
        <w:tc>
          <w:tcPr>
            <w:tcW w:w="3659" w:type="dxa"/>
            <w:vAlign w:val="center"/>
          </w:tcPr>
          <w:p w14:paraId="7709B677" w14:textId="77777777" w:rsidR="001D74CC" w:rsidRPr="001D74CC" w:rsidRDefault="001D74CC" w:rsidP="00914455">
            <w:pPr>
              <w:rPr>
                <w:b/>
                <w:bCs/>
                <w:color w:val="000000" w:themeColor="text1"/>
                <w:vertAlign w:val="superscript"/>
              </w:rPr>
            </w:pPr>
            <w:r w:rsidRPr="001D74CC">
              <w:rPr>
                <w:bCs/>
                <w:color w:val="000000" w:themeColor="text1"/>
              </w:rPr>
              <w:t>LS-salts with vitamins</w:t>
            </w:r>
            <w:r>
              <w:rPr>
                <w:bCs/>
                <w:color w:val="000000" w:themeColor="text1"/>
                <w:vertAlign w:val="superscript"/>
              </w:rPr>
              <w:t>1</w:t>
            </w:r>
          </w:p>
        </w:tc>
        <w:tc>
          <w:tcPr>
            <w:tcW w:w="2350" w:type="dxa"/>
            <w:vAlign w:val="center"/>
          </w:tcPr>
          <w:p w14:paraId="4AA9EA4B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4,4</w:t>
            </w:r>
          </w:p>
        </w:tc>
        <w:tc>
          <w:tcPr>
            <w:tcW w:w="3063" w:type="dxa"/>
            <w:vAlign w:val="center"/>
          </w:tcPr>
          <w:p w14:paraId="738E0AD9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4,4</w:t>
            </w:r>
          </w:p>
        </w:tc>
      </w:tr>
      <w:tr w:rsidR="001D74CC" w:rsidRPr="001D74CC" w14:paraId="1963AE27" w14:textId="77777777" w:rsidTr="00914455">
        <w:trPr>
          <w:trHeight w:val="737"/>
        </w:trPr>
        <w:tc>
          <w:tcPr>
            <w:tcW w:w="3659" w:type="dxa"/>
            <w:vAlign w:val="center"/>
          </w:tcPr>
          <w:p w14:paraId="4612E5EC" w14:textId="77777777" w:rsidR="001D74CC" w:rsidRPr="001D74CC" w:rsidRDefault="001D74CC" w:rsidP="00914455">
            <w:pPr>
              <w:rPr>
                <w:b/>
                <w:bCs/>
                <w:color w:val="000000" w:themeColor="text1"/>
              </w:rPr>
            </w:pPr>
            <w:r w:rsidRPr="001D74CC">
              <w:t>2,4 D</w:t>
            </w:r>
          </w:p>
        </w:tc>
        <w:tc>
          <w:tcPr>
            <w:tcW w:w="2350" w:type="dxa"/>
            <w:vAlign w:val="center"/>
          </w:tcPr>
          <w:p w14:paraId="5E0B6281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0,001</w:t>
            </w:r>
          </w:p>
        </w:tc>
        <w:tc>
          <w:tcPr>
            <w:tcW w:w="3063" w:type="dxa"/>
            <w:vAlign w:val="center"/>
          </w:tcPr>
          <w:p w14:paraId="75CECB8C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0,001</w:t>
            </w:r>
          </w:p>
        </w:tc>
      </w:tr>
      <w:tr w:rsidR="001D74CC" w:rsidRPr="001D74CC" w14:paraId="26B5E218" w14:textId="77777777" w:rsidTr="00914455">
        <w:trPr>
          <w:trHeight w:val="737"/>
        </w:trPr>
        <w:tc>
          <w:tcPr>
            <w:tcW w:w="3659" w:type="dxa"/>
            <w:vAlign w:val="center"/>
          </w:tcPr>
          <w:p w14:paraId="201CBE0D" w14:textId="77777777" w:rsidR="001D74CC" w:rsidRPr="001D74CC" w:rsidRDefault="001D74CC" w:rsidP="00914455">
            <w:pPr>
              <w:rPr>
                <w:b/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Kinetin</w:t>
            </w:r>
          </w:p>
        </w:tc>
        <w:tc>
          <w:tcPr>
            <w:tcW w:w="2350" w:type="dxa"/>
            <w:vAlign w:val="center"/>
          </w:tcPr>
          <w:p w14:paraId="09B3AED3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0,001</w:t>
            </w:r>
          </w:p>
        </w:tc>
        <w:tc>
          <w:tcPr>
            <w:tcW w:w="3063" w:type="dxa"/>
            <w:vAlign w:val="center"/>
          </w:tcPr>
          <w:p w14:paraId="4D468DAC" w14:textId="77777777" w:rsidR="001D74CC" w:rsidRPr="001D74CC" w:rsidRDefault="001D74CC" w:rsidP="0091445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1D74CC" w:rsidRPr="001D74CC" w14:paraId="089D8EA3" w14:textId="77777777" w:rsidTr="00914455">
        <w:trPr>
          <w:trHeight w:val="737"/>
        </w:trPr>
        <w:tc>
          <w:tcPr>
            <w:tcW w:w="3659" w:type="dxa"/>
            <w:vAlign w:val="center"/>
          </w:tcPr>
          <w:p w14:paraId="2AAF67B2" w14:textId="77777777" w:rsidR="001D74CC" w:rsidRPr="001D74CC" w:rsidRDefault="001D74CC" w:rsidP="00914455">
            <w:pPr>
              <w:rPr>
                <w:bCs/>
                <w:color w:val="000000" w:themeColor="text1"/>
              </w:rPr>
            </w:pPr>
            <w:r w:rsidRPr="001D74CC">
              <w:t>pH</w:t>
            </w:r>
          </w:p>
        </w:tc>
        <w:tc>
          <w:tcPr>
            <w:tcW w:w="2350" w:type="dxa"/>
            <w:vAlign w:val="center"/>
          </w:tcPr>
          <w:p w14:paraId="2629DB40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5,7</w:t>
            </w:r>
          </w:p>
        </w:tc>
        <w:tc>
          <w:tcPr>
            <w:tcW w:w="3063" w:type="dxa"/>
            <w:vAlign w:val="center"/>
          </w:tcPr>
          <w:p w14:paraId="2ECCF9F2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5,7</w:t>
            </w:r>
          </w:p>
        </w:tc>
      </w:tr>
      <w:tr w:rsidR="001D74CC" w:rsidRPr="001D74CC" w14:paraId="73167FF8" w14:textId="77777777" w:rsidTr="00914455">
        <w:trPr>
          <w:trHeight w:val="737"/>
        </w:trPr>
        <w:tc>
          <w:tcPr>
            <w:tcW w:w="3659" w:type="dxa"/>
            <w:tcBorders>
              <w:bottom w:val="single" w:sz="12" w:space="0" w:color="auto"/>
            </w:tcBorders>
            <w:vAlign w:val="center"/>
          </w:tcPr>
          <w:p w14:paraId="1F75AEE6" w14:textId="77777777" w:rsidR="001D74CC" w:rsidRPr="001D74CC" w:rsidRDefault="001D74CC" w:rsidP="00914455">
            <w:pPr>
              <w:rPr>
                <w:b/>
                <w:bCs/>
                <w:color w:val="000000" w:themeColor="text1"/>
              </w:rPr>
            </w:pPr>
            <w:r w:rsidRPr="001D74CC">
              <w:rPr>
                <w:bCs/>
                <w:color w:val="000000" w:themeColor="text1"/>
              </w:rPr>
              <w:t>Plant agar (for solid media)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14:paraId="00C3836D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5,55</w:t>
            </w:r>
          </w:p>
        </w:tc>
        <w:tc>
          <w:tcPr>
            <w:tcW w:w="3063" w:type="dxa"/>
            <w:tcBorders>
              <w:bottom w:val="single" w:sz="12" w:space="0" w:color="auto"/>
            </w:tcBorders>
            <w:vAlign w:val="center"/>
          </w:tcPr>
          <w:p w14:paraId="6795A637" w14:textId="77777777" w:rsidR="001D74CC" w:rsidRPr="001D74CC" w:rsidRDefault="001D74CC" w:rsidP="00914455">
            <w:pPr>
              <w:rPr>
                <w:color w:val="000000" w:themeColor="text1"/>
              </w:rPr>
            </w:pPr>
            <w:r w:rsidRPr="001D74CC">
              <w:rPr>
                <w:color w:val="000000" w:themeColor="text1"/>
              </w:rPr>
              <w:t>5,55</w:t>
            </w:r>
          </w:p>
        </w:tc>
      </w:tr>
    </w:tbl>
    <w:p w14:paraId="4138394A" w14:textId="77777777" w:rsidR="00AE5EEA" w:rsidRDefault="00AE5EEA" w:rsidP="00C10491">
      <w:pPr>
        <w:rPr>
          <w:rFonts w:cs="Times New Roman"/>
          <w:color w:val="222222"/>
          <w:sz w:val="18"/>
          <w:szCs w:val="20"/>
          <w:shd w:val="clear" w:color="auto" w:fill="FFFFFF"/>
          <w:vertAlign w:val="superscript"/>
          <w:lang w:val="de-DE"/>
        </w:rPr>
      </w:pPr>
    </w:p>
    <w:p w14:paraId="02439F94" w14:textId="03C34008" w:rsidR="00271E67" w:rsidRPr="00E25771" w:rsidRDefault="00AE5EEA" w:rsidP="00E25771">
      <w:pPr>
        <w:rPr>
          <w:rFonts w:cs="Times New Roman"/>
          <w:color w:val="222222"/>
          <w:sz w:val="18"/>
          <w:szCs w:val="20"/>
          <w:shd w:val="clear" w:color="auto" w:fill="FFFFFF"/>
          <w:lang w:val="de-DE"/>
        </w:rPr>
      </w:pPr>
      <w:r w:rsidRPr="00AE5EEA">
        <w:rPr>
          <w:rFonts w:cs="Times New Roman"/>
          <w:color w:val="222222"/>
          <w:sz w:val="18"/>
          <w:szCs w:val="20"/>
          <w:shd w:val="clear" w:color="auto" w:fill="FFFFFF"/>
          <w:vertAlign w:val="superscript"/>
          <w:lang w:val="de-DE"/>
        </w:rPr>
        <w:t>1</w:t>
      </w:r>
      <w:r w:rsidRPr="00AE5EEA">
        <w:rPr>
          <w:rFonts w:cs="Times New Roman"/>
          <w:color w:val="222222"/>
          <w:sz w:val="18"/>
          <w:szCs w:val="20"/>
          <w:shd w:val="clear" w:color="auto" w:fill="FFFFFF"/>
          <w:lang w:val="de-DE"/>
        </w:rPr>
        <w:t xml:space="preserve">Linsmaier, E. M., &amp; Skoog, F. (1965). </w:t>
      </w:r>
      <w:r w:rsidRPr="00AE5EEA">
        <w:rPr>
          <w:rFonts w:cs="Times New Roman"/>
          <w:color w:val="222222"/>
          <w:sz w:val="18"/>
          <w:szCs w:val="20"/>
          <w:shd w:val="clear" w:color="auto" w:fill="FFFFFF"/>
        </w:rPr>
        <w:t>Organic growth factor requirements of tobacco tissue cultures. </w:t>
      </w:r>
      <w:proofErr w:type="spellStart"/>
      <w:r w:rsidRPr="00797A63">
        <w:rPr>
          <w:rFonts w:cs="Times New Roman"/>
          <w:i/>
          <w:iCs/>
          <w:color w:val="222222"/>
          <w:sz w:val="18"/>
          <w:szCs w:val="20"/>
          <w:shd w:val="clear" w:color="auto" w:fill="FFFFFF"/>
          <w:lang w:val="de-DE"/>
        </w:rPr>
        <w:t>Physiologia</w:t>
      </w:r>
      <w:proofErr w:type="spellEnd"/>
      <w:r w:rsidRPr="00797A63">
        <w:rPr>
          <w:rFonts w:cs="Times New Roman"/>
          <w:i/>
          <w:iCs/>
          <w:color w:val="222222"/>
          <w:sz w:val="18"/>
          <w:szCs w:val="20"/>
          <w:shd w:val="clear" w:color="auto" w:fill="FFFFFF"/>
          <w:lang w:val="de-DE"/>
        </w:rPr>
        <w:t xml:space="preserve"> </w:t>
      </w:r>
      <w:proofErr w:type="spellStart"/>
      <w:r w:rsidRPr="00797A63">
        <w:rPr>
          <w:rFonts w:cs="Times New Roman"/>
          <w:i/>
          <w:iCs/>
          <w:color w:val="222222"/>
          <w:sz w:val="18"/>
          <w:szCs w:val="20"/>
          <w:shd w:val="clear" w:color="auto" w:fill="FFFFFF"/>
          <w:lang w:val="de-DE"/>
        </w:rPr>
        <w:t>plantarum</w:t>
      </w:r>
      <w:proofErr w:type="spellEnd"/>
      <w:r w:rsidRPr="00797A63">
        <w:rPr>
          <w:rFonts w:cs="Times New Roman"/>
          <w:color w:val="222222"/>
          <w:sz w:val="18"/>
          <w:szCs w:val="20"/>
          <w:shd w:val="clear" w:color="auto" w:fill="FFFFFF"/>
          <w:lang w:val="de-DE"/>
        </w:rPr>
        <w:t>, </w:t>
      </w:r>
      <w:r w:rsidRPr="00797A63">
        <w:rPr>
          <w:rFonts w:cs="Times New Roman"/>
          <w:i/>
          <w:iCs/>
          <w:color w:val="222222"/>
          <w:sz w:val="18"/>
          <w:szCs w:val="20"/>
          <w:shd w:val="clear" w:color="auto" w:fill="FFFFFF"/>
          <w:lang w:val="de-DE"/>
        </w:rPr>
        <w:t>18</w:t>
      </w:r>
      <w:r w:rsidRPr="00797A63">
        <w:rPr>
          <w:rFonts w:cs="Times New Roman"/>
          <w:color w:val="222222"/>
          <w:sz w:val="18"/>
          <w:szCs w:val="20"/>
          <w:shd w:val="clear" w:color="auto" w:fill="FFFFFF"/>
          <w:lang w:val="de-DE"/>
        </w:rPr>
        <w:t>(1).</w:t>
      </w:r>
    </w:p>
    <w:p w14:paraId="774DB060" w14:textId="77777777" w:rsidR="00271E67" w:rsidRPr="00AE5EEA" w:rsidRDefault="00271E67" w:rsidP="00271E67"/>
    <w:sectPr w:rsidR="00271E67" w:rsidRPr="00AE5E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DA"/>
    <w:rsid w:val="0006153D"/>
    <w:rsid w:val="000B55BD"/>
    <w:rsid w:val="00113846"/>
    <w:rsid w:val="00142880"/>
    <w:rsid w:val="001A58D1"/>
    <w:rsid w:val="001D74CC"/>
    <w:rsid w:val="00205090"/>
    <w:rsid w:val="00271E67"/>
    <w:rsid w:val="002E38B6"/>
    <w:rsid w:val="003F407D"/>
    <w:rsid w:val="00533D61"/>
    <w:rsid w:val="005544E4"/>
    <w:rsid w:val="00693C6D"/>
    <w:rsid w:val="006B03FA"/>
    <w:rsid w:val="006F0109"/>
    <w:rsid w:val="00715AEA"/>
    <w:rsid w:val="007310CD"/>
    <w:rsid w:val="00746148"/>
    <w:rsid w:val="00797A63"/>
    <w:rsid w:val="007A72FF"/>
    <w:rsid w:val="00815A48"/>
    <w:rsid w:val="00842D78"/>
    <w:rsid w:val="00882EE1"/>
    <w:rsid w:val="00914455"/>
    <w:rsid w:val="009F436F"/>
    <w:rsid w:val="00A01EDC"/>
    <w:rsid w:val="00A14114"/>
    <w:rsid w:val="00A5751F"/>
    <w:rsid w:val="00A86B52"/>
    <w:rsid w:val="00AE5EEA"/>
    <w:rsid w:val="00B1231B"/>
    <w:rsid w:val="00B4154F"/>
    <w:rsid w:val="00C10491"/>
    <w:rsid w:val="00C724B0"/>
    <w:rsid w:val="00C800DA"/>
    <w:rsid w:val="00C90F12"/>
    <w:rsid w:val="00CA6EC2"/>
    <w:rsid w:val="00CB64B7"/>
    <w:rsid w:val="00E25771"/>
    <w:rsid w:val="00E274BC"/>
    <w:rsid w:val="00E400F6"/>
    <w:rsid w:val="00F631CC"/>
    <w:rsid w:val="00FC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EC3F7"/>
  <w15:chartTrackingRefBased/>
  <w15:docId w15:val="{5337401A-9D9E-4A0F-80A3-B228E0B2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800DA"/>
    <w:pPr>
      <w:spacing w:line="480" w:lineRule="auto"/>
    </w:pPr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71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1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1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1E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1E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1E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1E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1E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1E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C800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C80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9F43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unhideWhenUsed/>
    <w:rsid w:val="001A58D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58D1"/>
    <w:pPr>
      <w:spacing w:line="240" w:lineRule="auto"/>
    </w:pPr>
    <w:rPr>
      <w:rFonts w:asciiTheme="minorHAnsi" w:hAnsiTheme="minorHAnsi"/>
      <w:sz w:val="20"/>
      <w:szCs w:val="20"/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58D1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5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58D1"/>
    <w:rPr>
      <w:rFonts w:ascii="Segoe UI" w:hAnsi="Segoe UI" w:cs="Segoe UI"/>
      <w:sz w:val="18"/>
      <w:szCs w:val="18"/>
      <w:lang w:val="en-GB"/>
    </w:rPr>
  </w:style>
  <w:style w:type="table" w:styleId="Gitternetztabelle1hell">
    <w:name w:val="Grid Table 1 Light"/>
    <w:basedOn w:val="NormaleTabelle"/>
    <w:uiPriority w:val="99"/>
    <w:rsid w:val="00C1049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EinfacheTabelle5">
    <w:name w:val="Plain Table 5"/>
    <w:basedOn w:val="NormaleTabelle"/>
    <w:uiPriority w:val="45"/>
    <w:rsid w:val="00C104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C104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nraster">
    <w:name w:val="Table Grid"/>
    <w:basedOn w:val="NormaleTabelle"/>
    <w:uiPriority w:val="39"/>
    <w:rsid w:val="00C1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71E67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271E67"/>
    <w:rPr>
      <w:rFonts w:ascii="Times New Roman" w:hAnsi="Times New Roman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71E67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271E6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71E6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71E67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271E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1E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271E67"/>
    <w:rPr>
      <w:rFonts w:asciiTheme="majorHAnsi" w:eastAsiaTheme="majorEastAsia" w:hAnsiTheme="majorHAnsi" w:cs="Times New Roman"/>
      <w:color w:val="2F5496" w:themeColor="accent1" w:themeShade="BF"/>
      <w:sz w:val="20"/>
      <w:szCs w:val="20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271E67"/>
    <w:rPr>
      <w:rFonts w:asciiTheme="majorHAnsi" w:eastAsiaTheme="majorEastAsia" w:hAnsiTheme="majorHAnsi" w:cs="Times New Roman"/>
      <w:color w:val="1F3763" w:themeColor="accent1" w:themeShade="7F"/>
      <w:sz w:val="20"/>
      <w:szCs w:val="20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1E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271E67"/>
    <w:rPr>
      <w:rFonts w:asciiTheme="majorHAnsi" w:eastAsiaTheme="majorEastAsia" w:hAnsiTheme="majorHAnsi" w:cs="Times New Roman"/>
      <w:i/>
      <w:iCs/>
      <w:color w:val="2F5496" w:themeColor="accent1" w:themeShade="BF"/>
      <w:sz w:val="20"/>
      <w:szCs w:val="20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1E67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271E67"/>
    <w:rPr>
      <w:rFonts w:asciiTheme="majorHAnsi" w:eastAsiaTheme="majorEastAsia" w:hAnsiTheme="majorHAnsi" w:cs="Times New Roman"/>
      <w:color w:val="2F5496" w:themeColor="accent1" w:themeShade="BF"/>
      <w:sz w:val="20"/>
      <w:szCs w:val="20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1E67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271E67"/>
    <w:rPr>
      <w:rFonts w:asciiTheme="majorHAnsi" w:eastAsiaTheme="majorEastAsia" w:hAnsiTheme="majorHAnsi" w:cs="Times New Roman"/>
      <w:color w:val="1F3763" w:themeColor="accent1" w:themeShade="7F"/>
      <w:sz w:val="20"/>
      <w:szCs w:val="20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1E67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271E67"/>
    <w:rPr>
      <w:rFonts w:asciiTheme="majorHAnsi" w:eastAsiaTheme="majorEastAsia" w:hAnsiTheme="majorHAnsi" w:cs="Times New Roman"/>
      <w:i/>
      <w:iCs/>
      <w:color w:val="1F3763" w:themeColor="accent1" w:themeShade="7F"/>
      <w:sz w:val="20"/>
      <w:szCs w:val="20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1E67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271E67"/>
    <w:rPr>
      <w:rFonts w:asciiTheme="majorHAnsi" w:eastAsiaTheme="majorEastAsia" w:hAnsiTheme="majorHAnsi" w:cs="Times New Roman"/>
      <w:color w:val="272727" w:themeColor="text1" w:themeTint="D8"/>
      <w:sz w:val="20"/>
      <w:szCs w:val="20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1E6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71E67"/>
    <w:pPr>
      <w:outlineLvl w:val="9"/>
    </w:pPr>
    <w:rPr>
      <w:rFonts w:cs="Times New Roman"/>
      <w:sz w:val="20"/>
      <w:szCs w:val="20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271E67"/>
    <w:rPr>
      <w:rFonts w:asciiTheme="majorHAnsi" w:eastAsiaTheme="majorEastAsia" w:hAnsiTheme="majorHAnsi" w:cs="Times New Roman"/>
      <w:i/>
      <w:iCs/>
      <w:color w:val="272727" w:themeColor="text1" w:themeTint="D8"/>
      <w:sz w:val="20"/>
      <w:szCs w:val="20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1E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271E67"/>
    <w:rPr>
      <w:color w:val="808080"/>
    </w:rPr>
  </w:style>
  <w:style w:type="character" w:styleId="Hervorhebung">
    <w:name w:val="Emphasis"/>
    <w:basedOn w:val="Absatz-Standardschriftart"/>
    <w:uiPriority w:val="20"/>
    <w:qFormat/>
    <w:rsid w:val="00797A63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31CC"/>
    <w:rPr>
      <w:rFonts w:ascii="Times New Roman" w:hAnsi="Times New Roman"/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31CC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KL RHRK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Janik Haffelder</cp:lastModifiedBy>
  <cp:revision>3</cp:revision>
  <dcterms:created xsi:type="dcterms:W3CDTF">2026-05-20T11:07:00Z</dcterms:created>
  <dcterms:modified xsi:type="dcterms:W3CDTF">2026-05-20T11:26:00Z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f6f6f556-f58f-4ec1-be9f-74a38a498c2c</vt:lpwstr>
  </property>
  <property fmtid="{D5CDD505-2E9C-101B-9397-08002B2CF9AE}" pid="3" name="CitaviDocumentProperty_7">
    <vt:lpwstr>Promotion</vt:lpwstr>
  </property>
  <property fmtid="{D5CDD505-2E9C-101B-9397-08002B2CF9AE}" pid="4" name="CitaviDocumentProperty_0">
    <vt:lpwstr>f1ed8f7d-1c65-4f06-ad48-3e96e725bea1</vt:lpwstr>
  </property>
  <property fmtid="{D5CDD505-2E9C-101B-9397-08002B2CF9AE}" pid="5" name="CitaviDocumentProperty_1">
    <vt:lpwstr>6.19.3.1</vt:lpwstr>
  </property>
  <property fmtid="{D5CDD505-2E9C-101B-9397-08002B2CF9AE}" pid="6" name="CitaviDocumentProperty_6">
    <vt:lpwstr>False</vt:lpwstr>
  </property>
  <property fmtid="{D5CDD505-2E9C-101B-9397-08002B2CF9AE}" pid="7" name="CitaviDocumentProperty_8">
    <vt:lpwstr>CloudProjectKey=m8uf1ao25r2tn6jkwmihr11a1db2nh7aow9e2; ProjectName=Promotion</vt:lpwstr>
  </property>
</Properties>
</file>