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55B0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  <w14:ligatures w14:val="none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  <w14:ligatures w14:val="none"/>
        </w:rPr>
        <w:t>S</w:t>
      </w:r>
      <w:r>
        <w:rPr>
          <w:rFonts w:hint="default" w:ascii="Times New Roman" w:hAnsi="Times New Roman" w:cs="Times New Roman"/>
          <w:b/>
          <w:bCs/>
          <w:sz w:val="24"/>
          <w:szCs w:val="24"/>
          <w14:ligatures w14:val="none"/>
        </w:rPr>
        <w:t>Table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  <w14:ligatures w14:val="none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  <w14:ligatures w14:val="none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  <w14:ligatures w14:val="none"/>
        </w:rPr>
        <w:t xml:space="preserve"> 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  <w14:ligatures w14:val="none"/>
        </w:rPr>
        <w:t>Univariate analysis Cox regression analyses</w:t>
      </w:r>
    </w:p>
    <w:p w14:paraId="273AA13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  <w14:ligatures w14:val="none"/>
        </w:rPr>
      </w:pPr>
    </w:p>
    <w:tbl>
      <w:tblPr>
        <w:tblStyle w:val="3"/>
        <w:tblW w:w="1250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3218"/>
        <w:gridCol w:w="1286"/>
        <w:gridCol w:w="972"/>
        <w:gridCol w:w="1730"/>
        <w:gridCol w:w="2223"/>
        <w:gridCol w:w="1111"/>
      </w:tblGrid>
      <w:tr w14:paraId="786B1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6" w:type="dxa"/>
            <w:gridSpan w:val="3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6A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MIMIC IV </w:t>
            </w:r>
          </w:p>
        </w:tc>
        <w:tc>
          <w:tcPr>
            <w:tcW w:w="97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43FC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64" w:type="dxa"/>
            <w:gridSpan w:val="3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ED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GDMU</w:t>
            </w:r>
          </w:p>
        </w:tc>
      </w:tr>
      <w:tr w14:paraId="31D1E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476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AE58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F013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64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6A5F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211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CBD0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Item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ED1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HR(95%CI)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4AA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3887E1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CD9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Item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31E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HR(95%CI)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70B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P-value</w:t>
            </w:r>
          </w:p>
        </w:tc>
      </w:tr>
      <w:tr w14:paraId="314DB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61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15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 (1.01,1.03)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B99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488F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81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77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(1.00 ~ 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21B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0.103</w:t>
            </w:r>
          </w:p>
        </w:tc>
      </w:tr>
      <w:tr w14:paraId="406C0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FF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EC2A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AEA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08ED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608C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367D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1C949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662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E96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C5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2F723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C28D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E01AF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D607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79974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AC5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05B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0A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1.08 (0.63,1.84)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7B279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3E9D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A3575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C83F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E5646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88BA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BFC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45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1.03 (0.72,1.48)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41418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400C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1D4BA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0CCF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53A10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41E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94C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93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1.41 (1.13,1.75)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02449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1478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5C621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8F95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0BE56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A77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63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81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 (1.01,1.03)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F9C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75AF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9E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Wbc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67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(1.01 ~ 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3DE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&lt;.001</w:t>
            </w:r>
          </w:p>
        </w:tc>
      </w:tr>
      <w:tr w14:paraId="47AA0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80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CA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0.998 (0.997,0.999)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E8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04EB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00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Plateletcount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B0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 (1.00 ~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67F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0.231</w:t>
            </w:r>
          </w:p>
        </w:tc>
      </w:tr>
      <w:tr w14:paraId="72B4E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68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Potassium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C3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1.49 (1.29,1.71)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ED6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F883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1E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Potassium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1A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 (0.86 ~ 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8C6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0.294</w:t>
            </w:r>
          </w:p>
        </w:tc>
      </w:tr>
      <w:tr w14:paraId="1AA79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61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0B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1.0018 (1.0003,1.0034)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35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6BB1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9A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Glucose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6F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 (1.01 ~ 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5EA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0.006</w:t>
            </w:r>
          </w:p>
        </w:tc>
      </w:tr>
      <w:tr w14:paraId="57068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1B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Aniongap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DD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1.08 (1.06,1.11)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6FD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3E0B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0C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Aniongap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68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 (0.99 ~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90F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0.944</w:t>
            </w:r>
          </w:p>
        </w:tc>
      </w:tr>
      <w:tr w14:paraId="6294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75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26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0.01 (0,0.03)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A7F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3AB2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B3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22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 (0.04 ~ 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84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0.586</w:t>
            </w:r>
          </w:p>
        </w:tc>
      </w:tr>
      <w:tr w14:paraId="65310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D1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43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1.0063 (0.9969,1.0159)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63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110F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D0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PCO2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E8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 (0.98 ~ 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C5B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0.785</w:t>
            </w:r>
          </w:p>
        </w:tc>
      </w:tr>
      <w:tr w14:paraId="19A5D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1B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C4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1.02 (1.01,1.02)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652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E6B1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EC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72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1.05 (1.03 ~ 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3E1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&lt;.001</w:t>
            </w:r>
          </w:p>
        </w:tc>
      </w:tr>
      <w:tr w14:paraId="629F5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1D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0B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 (1.01,1.02)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F81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4F1F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794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50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1.02 (1.01 ~ 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F52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&lt;.001</w:t>
            </w:r>
          </w:p>
        </w:tc>
      </w:tr>
      <w:tr w14:paraId="2E600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A8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Bilirubintotal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31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1.04 (1.03,1.05)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D7C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A693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D4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Bilirubintotal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CC0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(1.01 ~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2F1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 w14:paraId="58E61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85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17A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 (0.9999,1.0001)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9DB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9E025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CE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41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(1.01 ~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F8B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&lt;.001</w:t>
            </w:r>
          </w:p>
        </w:tc>
      </w:tr>
      <w:tr w14:paraId="75F59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85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DD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1.0001 (1,1.0002)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B52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3378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53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9D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(1.01 ~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8C2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&lt;.001</w:t>
            </w:r>
          </w:p>
        </w:tc>
      </w:tr>
      <w:tr w14:paraId="6BA0A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94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Ureanitrogen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04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1.01 (1.01,1.02)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C04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77B8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B2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Ureanitrogen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B6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1.03 (1.01 ~ 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7BE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</w:p>
        </w:tc>
      </w:tr>
      <w:tr w14:paraId="04922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4A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Creatinine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76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1.08 (1.03,1.12)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1E8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51FC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74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Creatinine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98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 (1.00 ~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4E4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0.050</w:t>
            </w:r>
          </w:p>
        </w:tc>
      </w:tr>
      <w:tr w14:paraId="12452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2F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AB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1.0002 (1.0001,1.0002)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3B8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5BCE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55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6A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(1.01 ~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18C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&lt;.001</w:t>
            </w:r>
          </w:p>
        </w:tc>
      </w:tr>
      <w:tr w14:paraId="4C1D2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02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B7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1.0046 (0.9991,1.0102)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F07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9604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F0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BE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(1.00 ~ 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928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0.086</w:t>
            </w:r>
          </w:p>
        </w:tc>
      </w:tr>
      <w:tr w14:paraId="6443A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23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7B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 (0.98,0.99)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F2B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4E8E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63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CD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 (1.00 ~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113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0.724</w:t>
            </w:r>
          </w:p>
        </w:tc>
      </w:tr>
      <w:tr w14:paraId="584BE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8C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3C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0.9946 (0.9874,1.0019)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5F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1C79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5F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1A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1.01 (0.99 ~ 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EB7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0.421</w:t>
            </w:r>
          </w:p>
        </w:tc>
      </w:tr>
      <w:tr w14:paraId="63060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85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2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0.99 (0.98,1)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E25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55A8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9D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41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1.00 (1.00 ~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CB0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0.562</w:t>
            </w:r>
          </w:p>
        </w:tc>
      </w:tr>
      <w:tr w14:paraId="7A2FC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7E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2A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1.04 (1.03,1.05)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BB0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A4F4F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5C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CC5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1.04 (0.98 ~ 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BA4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0.203</w:t>
            </w:r>
          </w:p>
        </w:tc>
      </w:tr>
      <w:tr w14:paraId="0C8A7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14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AKI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76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2.06 (1.68,2.52)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0CF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DCC7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38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AKI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B2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2.74 (1.83 ~ 4.09)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E79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&lt;.001</w:t>
            </w:r>
          </w:p>
        </w:tc>
      </w:tr>
      <w:tr w14:paraId="1FE1C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74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Cirrhosis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49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1.7 (1.32,2.18)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D3B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3FFD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0D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Cirrhosis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8C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1.23 (0.39 ~ 3.89)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460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0.721</w:t>
            </w:r>
          </w:p>
        </w:tc>
      </w:tr>
      <w:tr w14:paraId="57168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19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Hepatitis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94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1.41 (1.02,1.95)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0FF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04DF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6C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Hepatitis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FA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0.80 (0.30 ~ 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41D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0.667</w:t>
            </w:r>
          </w:p>
        </w:tc>
      </w:tr>
      <w:tr w14:paraId="04A37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A2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86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0.92 (0.9,0.94)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BD6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6AFD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14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F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0.87 (0.81 ~ 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25A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&lt;.001</w:t>
            </w:r>
          </w:p>
        </w:tc>
      </w:tr>
      <w:tr w14:paraId="06787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7E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C4B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1.17 (1.14,1.19)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BEE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2866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0B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Sofa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57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 (1.10 ~ 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C2B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&lt;.001</w:t>
            </w:r>
          </w:p>
        </w:tc>
      </w:tr>
      <w:tr w14:paraId="29934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34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918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2.78 (2.15,3.59)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D4A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4976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B9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Crrt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3475E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FE255">
            <w:pPr>
              <w:jc w:val="righ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3E7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DA2C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8C0D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1.5 (1.4,1.61)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39800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F4056C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3CDA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B496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1.27 (1.15 ~ 1.39)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B74A9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&lt;.001</w:t>
            </w:r>
          </w:p>
        </w:tc>
      </w:tr>
      <w:tr w14:paraId="112AC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F3A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3CA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D0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2F7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088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8FC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2D6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A08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DB1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8A31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B21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556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CD3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97B3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C2B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3F5E6DE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sz w:val="20"/>
          <w:szCs w:val="20"/>
        </w:rPr>
      </w:pPr>
      <w:r>
        <w:rPr>
          <w:rFonts w:hint="default" w:ascii="Times New Roman" w:hAnsi="Times New Roman" w:eastAsia="宋体" w:cs="Times New Roman"/>
          <w:sz w:val="20"/>
          <w:szCs w:val="20"/>
        </w:rPr>
        <w:t>Abbreviation: Wbc:White blood cell, PT: Prothrombin time, APTT: Activated partial thromboplastin time, Alt: Alanine aminotransferase, Ast: Aspartate aminotransferase, LDH: Lactate dehydrogenase, HR: Heart rate, SBP: Systolic blood pressure, DBP: Diastolic blood pressure, MBP: Mean blood pressure, AKI: Acute kidney injury, Crrt: Continuous renal replacement therapy, Gcs: Glasgow Coma Scale, Sofa: Sequential Organ Failure Assessment.</w:t>
      </w:r>
    </w:p>
    <w:p w14:paraId="38F34F6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00" w:firstLineChars="200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 w14:paraId="012DB67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00" w:firstLineChars="200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The results of univariate Cox regression analysis show that the lactate/albumin ratio (LAR) is a significant predictor of mortality risk in both the MIMIC-IV and GDMU independent cohorts (MIMIC-IV: HR = 1.50, 95% CI 1.40-1.61, P &lt; 0.001; GDMU: HR = 1.27, 95% CI 1.15-1.39, P &lt; 0.001).</w:t>
      </w:r>
    </w:p>
    <w:p w14:paraId="50F81AE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00" w:firstLineChars="200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In addition, several indicators reflecting the overall condition of the body exhibited high significance in both cohorts, including SOFA score (MIMIC-IV: HR = 1.17, P &lt; 0.001; GDMU: HR = 1.16, P &lt; 0.001), Glasgow Coma Scale (GCS) (MIMIC-IV: HR = 0.92, P &lt; 0.001; GDMU: HR = 0.87, P &lt; 0.001),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Acute Kidney Injury (AKI) (MIMIC-IV: HR = 2.06, P &lt; 0.001; GDMU: HR = 2.74, P &lt; 0.001), White Blood Cell Count (WBC) (MIMIC-IV: HR = 1.02, P &lt; 0.001; GDMU: HR = 1.02, P &lt; 0.001), Prothrombin Time (PT) (MIMIC-IV: HR = 1.02, P &lt; 0.001; GDMU: HR = 1.05, P &lt; 0.001), and Activated Partial Thromboplastin Time (APTT) (MIMIC-IV: HR = 1.01, P &lt; 0.001; GDMU: HR = 1.02, P &lt; 0.001).</w:t>
      </w:r>
    </w:p>
    <w:p w14:paraId="7F15044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00" w:firstLineChars="200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The analysis also revealed differences between the cohorts. In the MIMIC-IV cohort, age (HR = 1.02, P &lt; 0.001), race (overall P = 0.026), reduced platelet count (HR = 0.998, P &lt; 0.001), hyperkalemia (HR = 1.49, P &lt; 0.001), hyperglycemia (HR = 1.0018, P = 0.025), elevated anion gap (HR = 1.08, P &lt; 0.001), acidosis (pH: HR = 0.01, P &lt; 0.001), increased total bilirubin (HR = 1.04, P &lt; 0.001), elevated blood urea nitrogen (HR = 1.01, P &lt; 0.001), elevated creatinine (HR = 1.08, P = 0.001), decreased systolic blood pressure (HR = 0.99, P &lt; 0.001), decreased mean arterial pressure (HR = 0.99, P = 0.012), increased respiratory rate (HR = 1.04, P &lt; 0.001), cirrhosis (HR = 1.70, P &lt; 0.001), hepatitis (HR = 1.41, P = 0.049), and receiving continuous renal replacement therapy (CRRT) (HR = 2.78, P &lt; 0.001) were all significantly associated with increased mortality risk.</w:t>
      </w:r>
    </w:p>
    <w:p w14:paraId="0939909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00" w:firstLineChars="200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In the GDMU cohort, hyperglycemia (HR = 1.05, P = 0.006), elevated total bilirubin (HR = 1.01, P = 0.001), increased ALT (HR = 1.01, P &lt; 0.001), elevated AST (HR = 1.01, P &lt; 0.001), and increased blood urea nitrogen (HR = 1.03, P = 0.014) were more prominently associated with mortality risk.</w:t>
      </w:r>
    </w:p>
    <w:p w14:paraId="7F17C0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400" w:firstLineChars="200"/>
        <w:textAlignment w:val="auto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  <w14:ligatures w14:val="none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57">
      <wne:fci wne:fciName="Wpsaig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72481A"/>
    <w:rsid w:val="262D48F3"/>
    <w:rsid w:val="26E547AA"/>
    <w:rsid w:val="331A09A4"/>
    <w:rsid w:val="40670818"/>
    <w:rsid w:val="4A5D442E"/>
    <w:rsid w:val="5344529F"/>
    <w:rsid w:val="666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323</Words>
  <Characters>1613</Characters>
  <Lines>0</Lines>
  <Paragraphs>0</Paragraphs>
  <TotalTime>1</TotalTime>
  <ScaleCrop>false</ScaleCrop>
  <LinksUpToDate>false</LinksUpToDate>
  <CharactersWithSpaces>1784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2025-06-21T06:00:00Z</dcterms:created>
  <dc:creator>Lenovo</dc:creator>
  <cp:lastModifiedBy>维维</cp:lastModifiedBy>
  <dcterms:modified xsi:type="dcterms:W3CDTF">2025-12-28T17:04:11Z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F50E1F8DFC2F4388A0B88E476EB275B4_12</vt:lpwstr>
  </property>
  <property fmtid="{D5CDD505-2E9C-101B-9397-08002B2CF9AE}" pid="4" name="KSOTemplateDocerSaveRecord">
    <vt:lpwstr>eyJoZGlkIjoiMDc3ZTdiZjhhMTY3MWFmZTEwODliMWNiMzRlZWIzYzIiLCJ1c2VySWQiOiIzMTgzNDQ2OTgifQ==</vt:lpwstr>
  </property>
</Properties>
</file>