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C245D">
      <w:pPr>
        <w:rPr>
          <w:rFonts w:hint="default" w:ascii="Times New Roman" w:hAnsi="Times New Roman" w:cs="Times New Roman"/>
          <w:b/>
          <w:bCs/>
          <w:lang w:val="en-US" w:eastAsia="zh-CN"/>
        </w:rPr>
      </w:pPr>
      <w:r>
        <w:rPr>
          <w:rFonts w:hint="default" w:ascii="Times New Roman" w:hAnsi="Times New Roman" w:cs="Times New Roman"/>
          <w:b/>
          <w:bCs/>
          <w:lang w:val="en-US" w:eastAsia="zh-CN"/>
        </w:rPr>
        <w:t xml:space="preserve">Good Reporting of A Mixed Method Study(GRAMMS) </w:t>
      </w:r>
    </w:p>
    <w:p w14:paraId="30DADCA8">
      <w:pPr>
        <w:pStyle w:val="3"/>
        <w:bidi w:val="0"/>
        <w:rPr>
          <w:rFonts w:hint="default" w:ascii="Times New Roman" w:hAnsi="Times New Roman" w:cs="Times New Roman"/>
          <w:lang w:val="en-US" w:eastAsia="zh-CN"/>
        </w:rPr>
      </w:pPr>
      <w:r>
        <w:rPr>
          <w:rFonts w:hint="default" w:ascii="Times New Roman" w:hAnsi="Times New Roman" w:cs="Times New Roman"/>
          <w:lang w:val="en-US" w:eastAsia="zh-CN"/>
        </w:rPr>
        <w:t>Discrepancy Between Knowledge and Practice in Folic Acid Supplementation for NTD Prevention: A Mixed-Methods Study of Chinese Women</w:t>
      </w:r>
    </w:p>
    <w:p w14:paraId="181C3D86">
      <w:pPr>
        <w:rPr>
          <w:rFonts w:hint="default" w:ascii="Times New Roman" w:hAnsi="Times New Roman" w:cs="Times New Roman"/>
        </w:rPr>
      </w:pPr>
      <w:r>
        <w:rPr>
          <w:rFonts w:hint="default" w:ascii="Times New Roman" w:hAnsi="Times New Roman" w:cs="Times New Roman"/>
        </w:rPr>
        <w:t xml:space="preserve">(1) </w:t>
      </w:r>
      <w:r>
        <w:rPr>
          <w:rFonts w:hint="eastAsia" w:ascii="Times New Roman" w:hAnsi="Times New Roman" w:cs="Times New Roman"/>
          <w:lang w:val="en-US" w:eastAsia="zh-CN"/>
        </w:rPr>
        <w:t xml:space="preserve">Describe the </w:t>
      </w:r>
      <w:r>
        <w:rPr>
          <w:rFonts w:hint="default" w:ascii="Times New Roman" w:hAnsi="Times New Roman" w:cs="Times New Roman"/>
        </w:rPr>
        <w:t>Justification for using a mixed methods approach</w:t>
      </w:r>
    </w:p>
    <w:p w14:paraId="7101BDFF">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 xml:space="preserve">This study adopted a mixed methods design to comprehensively understand factors influencing folic acid supplementation among </w:t>
      </w:r>
      <w:r>
        <w:rPr>
          <w:rFonts w:hint="eastAsia" w:ascii="Times New Roman" w:hAnsi="Times New Roman" w:cs="Times New Roman"/>
          <w:lang w:val="en-US" w:eastAsia="zh-CN"/>
        </w:rPr>
        <w:t xml:space="preserve">Chinese </w:t>
      </w:r>
      <w:r>
        <w:rPr>
          <w:rFonts w:hint="default" w:ascii="Times New Roman" w:hAnsi="Times New Roman" w:cs="Times New Roman"/>
        </w:rPr>
        <w:t>women of childbearing age. The quantitative component employed a large‑scale survey (n=5741) to quantify the association between knowledge level and actual supplementation behavior, identifying the phenomenon of “high awareness but low adherence” (only 28.7% adhered to the correct timing and dosage). However, quantitative data alone could not explain the mechanism underlying the knowledge‑behavior gap. The qualitative component used semi‑structured in‑depth interviews with 18 pregnant women, grounded in the Health Belief Model, to explore perceived susceptibility, severity, benefits, barriers, and cues to action, revealing specific knowledge gaps (e.g. misunderstanding of neural tube closure time, erroneous belief that dietary folate can replace supplements). The two methods complemented each other: the quantitative study provided population‑level evidence of associations, while the qualitative study explained the cognitive and contextual barriers behind the behavior. Thus, the mixed methods approach enabled methodological triangulation, enhancing the explanatory power and credibility of the findings.</w:t>
      </w:r>
    </w:p>
    <w:p w14:paraId="37CDC1E0">
      <w:pPr>
        <w:rPr>
          <w:rFonts w:hint="default" w:ascii="Times New Roman" w:hAnsi="Times New Roman" w:cs="Times New Roman"/>
        </w:rPr>
      </w:pPr>
      <w:r>
        <w:rPr>
          <w:rFonts w:hint="default" w:ascii="Times New Roman" w:hAnsi="Times New Roman" w:cs="Times New Roman"/>
        </w:rPr>
        <w:t xml:space="preserve">(2) </w:t>
      </w:r>
      <w:r>
        <w:rPr>
          <w:rFonts w:hint="eastAsia" w:ascii="Times New Roman" w:hAnsi="Times New Roman" w:cs="Times New Roman"/>
          <w:lang w:val="en-US" w:eastAsia="zh-CN"/>
        </w:rPr>
        <w:t>Describe the d</w:t>
      </w:r>
      <w:r>
        <w:rPr>
          <w:rFonts w:hint="default" w:ascii="Times New Roman" w:hAnsi="Times New Roman" w:cs="Times New Roman"/>
        </w:rPr>
        <w:t>esign in terms of purpose, priority and sequence of methods</w:t>
      </w:r>
    </w:p>
    <w:p w14:paraId="50013E4F">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The purpose of the study was to: (1) describe the current status of folic acid supplementation among women of childbearing age; (2) identify key factors influencing adherence; and (3) deeply understand the reasons for the knowledge‑behavior gap. A sequential explanatory design was used: the quantitative survey was conducted first (June–July 2024), followed by the qualitative interviews (August–September 2024). The quantitative component had priority and informed the sampling and interview guide for the qualitative phase (e.g., quantitative findings on low awareness of correct timing/dosage guided qualitative exploration of specific knowledge gaps). Qualitative findings were used to explain and supplement the quantitative results.</w:t>
      </w:r>
    </w:p>
    <w:p w14:paraId="06B12399">
      <w:pPr>
        <w:rPr>
          <w:rFonts w:hint="default" w:ascii="Times New Roman" w:hAnsi="Times New Roman" w:cs="Times New Roman"/>
        </w:rPr>
      </w:pPr>
      <w:r>
        <w:rPr>
          <w:rFonts w:hint="default" w:ascii="Times New Roman" w:hAnsi="Times New Roman" w:cs="Times New Roman"/>
        </w:rPr>
        <w:t xml:space="preserve">(3) </w:t>
      </w:r>
      <w:r>
        <w:rPr>
          <w:rFonts w:hint="eastAsia" w:ascii="Times New Roman" w:hAnsi="Times New Roman" w:cs="Times New Roman"/>
          <w:lang w:val="en-US" w:eastAsia="zh-CN"/>
        </w:rPr>
        <w:t>Describe e</w:t>
      </w:r>
      <w:r>
        <w:rPr>
          <w:rFonts w:hint="default" w:ascii="Times New Roman" w:hAnsi="Times New Roman" w:cs="Times New Roman"/>
        </w:rPr>
        <w:t>ach method in terms of sampling, data collection and analysis</w:t>
      </w:r>
    </w:p>
    <w:p w14:paraId="2E0C4B50">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Quantitative method: A convenience sampling method was used. An online survey was conducted via the W</w:t>
      </w:r>
      <w:r>
        <w:rPr>
          <w:rFonts w:hint="eastAsia" w:ascii="Times New Roman" w:hAnsi="Times New Roman" w:cs="Times New Roman"/>
          <w:lang w:val="en-US" w:eastAsia="zh-CN"/>
        </w:rPr>
        <w:t>enjuanxing</w:t>
      </w:r>
      <w:r>
        <w:rPr>
          <w:rFonts w:hint="default" w:ascii="Times New Roman" w:hAnsi="Times New Roman" w:cs="Times New Roman"/>
        </w:rPr>
        <w:t xml:space="preserve"> platform from June to July 2024, targeting women of childbearing age (18‑49 years) across 31 provinces, autonomous regions, and municipalities of mainland China. A total of 5,741 valid questionnaires were collected (effective response rate 80.39%). The self‑developed questionnaire included sociodemographic characteristics, knowledge of birth defects prevention (29 items, five of which on folic acid), behaviors related to birth defects prevention (11 items, six of which on folic acid supplementation), and validation questions. Data were analyzed using SPSS 26.0, with descriptive statistics and binary logistic regression (knowledge score as independent variable, folic acid‑related behaviors as dependent variables).</w:t>
      </w:r>
    </w:p>
    <w:p w14:paraId="35F546D6">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Qualitative method: Purposive sampling was used to recruit pregnant women with experience in folic acid supplementation from the obstetrics outpatient clinic of a tertiary hospital from August to September 2024. Inclusion criteria: age 18‑49 years, ability to communicate normally, and uncomplicated pregnancy. Exclusion criteria: healthcare workers and individuals with cognitive disorders. Sample size was determined by information saturation; 18 women were interviewed (two additional interviews yielded no new themes). Data were collected through face‑to‑face, semi‑structured, in‑depth interviews lasting 10‑15 minutes each, with audio recording. The interview guide was developed based on the five core dimensions of the Health Belief Model. Interviews were transcribed verbatim within 24 hours. A directed thematic analysis approach was used, with two researchers independently coding the transcripts using NVivo 11.0, employing the Health Belief Model as the analytical framework to generate themes and subthemes.</w:t>
      </w:r>
    </w:p>
    <w:p w14:paraId="2B0147B8">
      <w:pPr>
        <w:rPr>
          <w:rFonts w:hint="default" w:ascii="Times New Roman" w:hAnsi="Times New Roman" w:cs="Times New Roman"/>
        </w:rPr>
      </w:pPr>
      <w:r>
        <w:rPr>
          <w:rFonts w:hint="default" w:ascii="Times New Roman" w:hAnsi="Times New Roman" w:cs="Times New Roman"/>
        </w:rPr>
        <w:t xml:space="preserve">(4) </w:t>
      </w:r>
      <w:r>
        <w:rPr>
          <w:rFonts w:hint="eastAsia" w:ascii="Times New Roman" w:hAnsi="Times New Roman" w:cs="Times New Roman"/>
          <w:lang w:val="en-US" w:eastAsia="zh-CN"/>
        </w:rPr>
        <w:t>Describe w</w:t>
      </w:r>
      <w:r>
        <w:rPr>
          <w:rFonts w:hint="default" w:ascii="Times New Roman" w:hAnsi="Times New Roman" w:cs="Times New Roman"/>
        </w:rPr>
        <w:t>here integration has occurred, how it has occurred and who has participated in it</w:t>
      </w:r>
    </w:p>
    <w:p w14:paraId="7E69016A">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Integration occurred at multiple stages: design, data analysis, and interpretation.</w:t>
      </w:r>
    </w:p>
    <w:p w14:paraId="76AB3B49">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Design stage: Quantitative findings guided the development of the qualitative interview guide (e.g., low awareness of correct timing/dosage prompted a focus on specific knowledge gaps).</w:t>
      </w:r>
    </w:p>
    <w:p w14:paraId="4B2200D1">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 xml:space="preserve">Analysis stage: After thematic analysis of qualitative data, the results were converted into a list of quantifiable core questions (Table </w:t>
      </w:r>
      <w:r>
        <w:rPr>
          <w:rFonts w:hint="eastAsia" w:ascii="Times New Roman" w:hAnsi="Times New Roman" w:cs="Times New Roman"/>
          <w:lang w:val="en-US" w:eastAsia="zh-CN"/>
        </w:rPr>
        <w:t>7</w:t>
      </w:r>
      <w:r>
        <w:rPr>
          <w:rFonts w:hint="default" w:ascii="Times New Roman" w:hAnsi="Times New Roman" w:cs="Times New Roman"/>
        </w:rPr>
        <w:t>) and compared with quantitative findings.</w:t>
      </w:r>
    </w:p>
    <w:p w14:paraId="20A2F114">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 xml:space="preserve">Interpretation stage: A joint display (Figure </w:t>
      </w:r>
      <w:r>
        <w:rPr>
          <w:rFonts w:hint="eastAsia" w:ascii="Times New Roman" w:hAnsi="Times New Roman" w:cs="Times New Roman"/>
          <w:lang w:val="en-US" w:eastAsia="zh-CN"/>
        </w:rPr>
        <w:t>1</w:t>
      </w:r>
      <w:r>
        <w:rPr>
          <w:rFonts w:hint="default" w:ascii="Times New Roman" w:hAnsi="Times New Roman" w:cs="Times New Roman"/>
        </w:rPr>
        <w:t>) was created to integrate the quantitative result (positive association between knowledge deficiency and supplementation adherence) with the qualitative findings (three reasons for knowledge deficiency: insufficient personalized online recommendations, need to screen online information, and inadequate health education by healthcare providers). All authors participated in discussions and the refinement of integrated findings.</w:t>
      </w:r>
    </w:p>
    <w:p w14:paraId="77CD6723">
      <w:pPr>
        <w:rPr>
          <w:rFonts w:hint="default" w:ascii="Times New Roman" w:hAnsi="Times New Roman" w:cs="Times New Roman"/>
        </w:rPr>
      </w:pPr>
      <w:r>
        <w:rPr>
          <w:rFonts w:hint="default" w:ascii="Times New Roman" w:hAnsi="Times New Roman" w:cs="Times New Roman"/>
        </w:rPr>
        <w:t xml:space="preserve">(5) </w:t>
      </w:r>
      <w:r>
        <w:rPr>
          <w:rFonts w:hint="eastAsia" w:ascii="Times New Roman" w:hAnsi="Times New Roman" w:cs="Times New Roman"/>
          <w:lang w:val="en-US" w:eastAsia="zh-CN"/>
        </w:rPr>
        <w:t>Describe a</w:t>
      </w:r>
      <w:r>
        <w:rPr>
          <w:rFonts w:hint="default" w:ascii="Times New Roman" w:hAnsi="Times New Roman" w:cs="Times New Roman"/>
        </w:rPr>
        <w:t>ny limitation of one method associated with the presence of the other method</w:t>
      </w:r>
    </w:p>
    <w:p w14:paraId="7E035282">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Transforming qualitative data into quantitative frequencies may lead to a loss of richness and contextual detail of the original interview data. To mitigate this limitation, we included verbatim quotes from participants (e.g., N1, N2, N16) in the results section to preserve the depth and authenticity of individual experiences. Additionally, the quantitative survey used convenience sampling, resulting in an overrepresentation of healthcare workers (62.4%), which may have overestimated knowledge levels. The qualitative interviews were conducted only in the obstetrics clinic of one tertiary hospital, limiting generalizability. However, in the mixed methods design, the qualitative interviews helped identify real‑world barriers in specific contexts, while the quantitative data provided nationwide trends; the two methods complemented each other, partially offsetting their respective limitations.</w:t>
      </w:r>
    </w:p>
    <w:p w14:paraId="55C2F760">
      <w:pPr>
        <w:rPr>
          <w:rFonts w:hint="default" w:ascii="Times New Roman" w:hAnsi="Times New Roman" w:cs="Times New Roman"/>
        </w:rPr>
      </w:pPr>
      <w:r>
        <w:rPr>
          <w:rFonts w:hint="default" w:ascii="Times New Roman" w:hAnsi="Times New Roman" w:cs="Times New Roman"/>
        </w:rPr>
        <w:t xml:space="preserve">(6) </w:t>
      </w:r>
      <w:r>
        <w:rPr>
          <w:rFonts w:hint="eastAsia" w:ascii="Times New Roman" w:hAnsi="Times New Roman" w:cs="Times New Roman"/>
          <w:lang w:val="en-US" w:eastAsia="zh-CN"/>
        </w:rPr>
        <w:t>Describe any i</w:t>
      </w:r>
      <w:r>
        <w:rPr>
          <w:rFonts w:hint="default" w:ascii="Times New Roman" w:hAnsi="Times New Roman" w:cs="Times New Roman"/>
        </w:rPr>
        <w:t>nsights gained from mixing or integrating methods</w:t>
      </w:r>
    </w:p>
    <w:p w14:paraId="43505174">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The mixed methods approach revealed a deep‑seated problem that could not be identified by a single method: a significant gap between the high acquisition rate (86.3%) and low adherence rate (28.7%) of folic acid supplementation among women of childbearing age. The quantitative study showed a strong positive association between knowledge score and adherence (OR=1.624). The qualitative study further explained the underlying mechanisms – the knowledge deficit was not simply a lack of information but manifested as specific cognitive blind spots:</w:t>
      </w:r>
    </w:p>
    <w:p w14:paraId="0F6A3068">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Timing blind spot: Most participants were unaware that neural tube closure occurs before the 6th week of gestation, leading to neglect of preconceptional supplementation.</w:t>
      </w:r>
    </w:p>
    <w:p w14:paraId="1E650199">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Dosage and duration blind spot: Uncertainty about the recommended daily dose (0.4 mg) and the need to continue until the end of the first trimester.</w:t>
      </w:r>
    </w:p>
    <w:p w14:paraId="44EEC9F8">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Substitution misconception: Mistaken belief that dietary folate can completely replace supplements, ignoring the high loss rate of natural folate during cooking.</w:t>
      </w:r>
    </w:p>
    <w:p w14:paraId="28CB50F9">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Information source barriers: Healthcare provider education remained at the level of “you should take it” without explanation, while online information was generic and required active screening, causing decision paralysis.</w:t>
      </w:r>
    </w:p>
    <w:p w14:paraId="6BB48F14">
      <w:pPr>
        <w:numPr>
          <w:ilvl w:val="0"/>
          <w:numId w:val="1"/>
        </w:numPr>
        <w:ind w:left="420" w:leftChars="0" w:hanging="420" w:firstLineChars="0"/>
        <w:rPr>
          <w:rFonts w:hint="default" w:ascii="Times New Roman" w:hAnsi="Times New Roman" w:cs="Times New Roman"/>
        </w:rPr>
      </w:pPr>
      <w:r>
        <w:rPr>
          <w:rFonts w:hint="default" w:ascii="Times New Roman" w:hAnsi="Times New Roman" w:cs="Times New Roman"/>
        </w:rPr>
        <w:t xml:space="preserve">Integrated analysis also revealed that behavioral barriers such as pregnancy uncertainty and forgetfulness interacted with knowledge gaps to substantially increase non‑adherence risk. These insights directly inform the development of a tailored knowledge base (e.g., a chatbot) by clarifying the specific issues that interventions should address (see the six core questions in Table </w:t>
      </w:r>
      <w:r>
        <w:rPr>
          <w:rFonts w:hint="eastAsia" w:ascii="Times New Roman" w:hAnsi="Times New Roman" w:cs="Times New Roman"/>
          <w:lang w:val="en-US" w:eastAsia="zh-CN"/>
        </w:rPr>
        <w:t>7</w:t>
      </w:r>
      <w:bookmarkStart w:id="0" w:name="_GoBack"/>
      <w:bookmarkEnd w:id="0"/>
      <w:r>
        <w:rPr>
          <w:rFonts w:hint="default" w:ascii="Times New Roman" w:hAnsi="Times New Roman" w:cs="Times New Roma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F36414"/>
    <w:multiLevelType w:val="singleLevel"/>
    <w:tmpl w:val="17F36414"/>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1C3BB4"/>
    <w:rsid w:val="31E82D9B"/>
    <w:rsid w:val="32F1327C"/>
    <w:rsid w:val="511A1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1083</Words>
  <Characters>6882</Characters>
  <Lines>0</Lines>
  <Paragraphs>0</Paragraphs>
  <TotalTime>45</TotalTime>
  <ScaleCrop>false</ScaleCrop>
  <LinksUpToDate>false</LinksUpToDate>
  <CharactersWithSpaces>7943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2026-04-27T03:26:00Z</dcterms:created>
  <dc:creator>ASUS-PC</dc:creator>
  <cp:lastModifiedBy>彭翔</cp:lastModifiedBy>
  <dcterms:modified xsi:type="dcterms:W3CDTF">2026-04-28T09:23:28Z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eyJoZGlkIjoiZDA3ZDQwMmNiOWFlYzZjYTcwOWJiZGQ0YTA5ODBmZGUiLCJ1c2VySWQiOiIxNzQzNzkxMTUxIn0=</vt:lpwstr>
  </property>
  <property fmtid="{D5CDD505-2E9C-101B-9397-08002B2CF9AE}" pid="4" name="ICV">
    <vt:lpwstr>E64506F027B14D23A31AFB28E30B5387_12</vt:lpwstr>
  </property>
</Properties>
</file>