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65B54" w14:textId="77777777" w:rsidR="00671673" w:rsidRPr="00F60A63" w:rsidRDefault="00671673" w:rsidP="00671673">
      <w:p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980EBB">
        <w:rPr>
          <w:rFonts w:asciiTheme="majorBidi" w:hAnsiTheme="majorBidi" w:cstheme="majorBidi"/>
          <w:b/>
          <w:bCs/>
          <w:sz w:val="22"/>
          <w:szCs w:val="22"/>
        </w:rPr>
        <w:t>ONLINE RESOURCE</w:t>
      </w:r>
      <w:r>
        <w:rPr>
          <w:rFonts w:asciiTheme="majorBidi" w:hAnsiTheme="majorBidi" w:cstheme="majorBidi"/>
          <w:b/>
          <w:bCs/>
          <w:sz w:val="22"/>
          <w:szCs w:val="22"/>
        </w:rPr>
        <w:t>S</w:t>
      </w:r>
    </w:p>
    <w:p w14:paraId="697A9AA0" w14:textId="77777777" w:rsidR="00671673" w:rsidRDefault="00671673" w:rsidP="00671673">
      <w:p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980EBB">
        <w:rPr>
          <w:rFonts w:asciiTheme="majorBidi" w:hAnsiTheme="majorBidi" w:cstheme="majorBidi"/>
          <w:b/>
          <w:bCs/>
          <w:sz w:val="22"/>
          <w:szCs w:val="22"/>
        </w:rPr>
        <w:t>Online Resource 1</w:t>
      </w:r>
    </w:p>
    <w:p w14:paraId="1F8AE8BC" w14:textId="77777777" w:rsidR="00671673" w:rsidRPr="00F60A63" w:rsidRDefault="00671673" w:rsidP="00671673">
      <w:pPr>
        <w:spacing w:line="360" w:lineRule="auto"/>
        <w:ind w:firstLine="720"/>
        <w:rPr>
          <w:rFonts w:asciiTheme="majorBidi" w:hAnsiTheme="majorBidi" w:cstheme="majorBidi"/>
          <w:sz w:val="22"/>
          <w:szCs w:val="22"/>
        </w:rPr>
      </w:pPr>
      <w:r w:rsidRPr="00F60A63">
        <w:rPr>
          <w:rFonts w:asciiTheme="majorBidi" w:hAnsiTheme="majorBidi" w:cstheme="majorBidi"/>
          <w:b/>
          <w:bCs/>
          <w:sz w:val="22"/>
          <w:szCs w:val="22"/>
        </w:rPr>
        <w:t xml:space="preserve">Table S1. </w:t>
      </w:r>
      <w:r w:rsidRPr="00F60A63">
        <w:rPr>
          <w:rFonts w:asciiTheme="majorBidi" w:hAnsiTheme="majorBidi" w:cstheme="majorBidi"/>
          <w:sz w:val="22"/>
          <w:szCs w:val="22"/>
        </w:rPr>
        <w:t>Predefined Physiological Thresholds for Artefact Removal</w:t>
      </w:r>
    </w:p>
    <w:p w14:paraId="2F0F2A65" w14:textId="77777777" w:rsidR="00671673" w:rsidRPr="00F60A63" w:rsidRDefault="00671673" w:rsidP="00671673">
      <w:pPr>
        <w:spacing w:line="360" w:lineRule="auto"/>
        <w:ind w:firstLine="720"/>
        <w:rPr>
          <w:rFonts w:asciiTheme="majorBidi" w:hAnsiTheme="majorBidi" w:cstheme="majorBidi"/>
          <w:sz w:val="22"/>
          <w:szCs w:val="22"/>
        </w:rPr>
      </w:pPr>
      <w:r w:rsidRPr="00F60A63">
        <w:rPr>
          <w:rFonts w:asciiTheme="majorBidi" w:hAnsiTheme="majorBidi" w:cstheme="majorBidi"/>
          <w:b/>
          <w:bCs/>
          <w:sz w:val="22"/>
          <w:szCs w:val="22"/>
        </w:rPr>
        <w:t>Table S2.</w:t>
      </w:r>
      <w:r w:rsidRPr="00F60A63">
        <w:rPr>
          <w:rFonts w:asciiTheme="majorBidi" w:hAnsiTheme="majorBidi" w:cstheme="majorBidi"/>
          <w:sz w:val="22"/>
          <w:szCs w:val="22"/>
        </w:rPr>
        <w:t xml:space="preserve"> Training and Test Set Characteristics</w:t>
      </w:r>
    </w:p>
    <w:p w14:paraId="73DA4413" w14:textId="77777777" w:rsidR="00671673" w:rsidRPr="00F60A63" w:rsidRDefault="00671673" w:rsidP="00671673">
      <w:pPr>
        <w:spacing w:line="360" w:lineRule="auto"/>
        <w:ind w:firstLine="720"/>
        <w:rPr>
          <w:rFonts w:asciiTheme="majorBidi" w:hAnsiTheme="majorBidi" w:cstheme="majorBidi"/>
          <w:sz w:val="22"/>
          <w:szCs w:val="22"/>
        </w:rPr>
      </w:pPr>
      <w:r w:rsidRPr="00F60A63">
        <w:rPr>
          <w:rFonts w:asciiTheme="majorBidi" w:hAnsiTheme="majorBidi" w:cstheme="majorBidi"/>
          <w:b/>
          <w:bCs/>
          <w:sz w:val="22"/>
          <w:szCs w:val="22"/>
        </w:rPr>
        <w:t xml:space="preserve">Table S3. </w:t>
      </w:r>
      <w:r w:rsidRPr="00F60A63">
        <w:rPr>
          <w:rFonts w:asciiTheme="majorBidi" w:hAnsiTheme="majorBidi" w:cstheme="majorBidi"/>
          <w:sz w:val="22"/>
          <w:szCs w:val="22"/>
        </w:rPr>
        <w:t>SHAP Feature Importance Rankings on Training and Test Sets</w:t>
      </w:r>
    </w:p>
    <w:p w14:paraId="17726F83" w14:textId="77777777" w:rsidR="00671673" w:rsidRPr="00F60A63" w:rsidRDefault="00671673" w:rsidP="00671673">
      <w:pPr>
        <w:spacing w:line="360" w:lineRule="auto"/>
        <w:ind w:firstLine="720"/>
        <w:rPr>
          <w:rFonts w:asciiTheme="majorBidi" w:hAnsiTheme="majorBidi" w:cstheme="majorBidi"/>
          <w:sz w:val="22"/>
          <w:szCs w:val="22"/>
        </w:rPr>
      </w:pPr>
      <w:r w:rsidRPr="00F60A63">
        <w:rPr>
          <w:rFonts w:asciiTheme="majorBidi" w:hAnsiTheme="majorBidi" w:cstheme="majorBidi"/>
          <w:b/>
          <w:bCs/>
          <w:sz w:val="22"/>
          <w:szCs w:val="22"/>
        </w:rPr>
        <w:t xml:space="preserve">Table S4. </w:t>
      </w:r>
      <w:r w:rsidRPr="00F60A63">
        <w:rPr>
          <w:rFonts w:asciiTheme="majorBidi" w:hAnsiTheme="majorBidi" w:cstheme="majorBidi"/>
          <w:sz w:val="22"/>
          <w:szCs w:val="22"/>
        </w:rPr>
        <w:t>VIF for Selected Features</w:t>
      </w:r>
    </w:p>
    <w:p w14:paraId="1C2CA991" w14:textId="77777777" w:rsidR="00671673" w:rsidRPr="00F60A63" w:rsidRDefault="00671673" w:rsidP="00671673">
      <w:pPr>
        <w:spacing w:line="360" w:lineRule="auto"/>
        <w:ind w:firstLine="720"/>
        <w:rPr>
          <w:rFonts w:asciiTheme="majorBidi" w:hAnsiTheme="majorBidi" w:cstheme="majorBidi"/>
          <w:sz w:val="22"/>
          <w:szCs w:val="22"/>
        </w:rPr>
      </w:pPr>
      <w:r w:rsidRPr="00F60A63">
        <w:rPr>
          <w:rFonts w:asciiTheme="majorBidi" w:hAnsiTheme="majorBidi" w:cstheme="majorBidi"/>
          <w:b/>
          <w:bCs/>
          <w:sz w:val="22"/>
          <w:szCs w:val="22"/>
        </w:rPr>
        <w:t>Table S5.</w:t>
      </w:r>
      <w:r w:rsidRPr="00F60A63">
        <w:rPr>
          <w:rFonts w:asciiTheme="majorBidi" w:hAnsiTheme="majorBidi" w:cstheme="majorBidi"/>
          <w:sz w:val="22"/>
          <w:szCs w:val="22"/>
        </w:rPr>
        <w:t xml:space="preserve"> GLMM Coefficients, Odds Ratios, and LCI Score Derivation</w:t>
      </w:r>
    </w:p>
    <w:p w14:paraId="7871E342" w14:textId="77777777" w:rsidR="00671673" w:rsidRPr="00F60A63" w:rsidRDefault="00671673" w:rsidP="00671673">
      <w:pPr>
        <w:spacing w:line="360" w:lineRule="auto"/>
        <w:ind w:left="720"/>
        <w:rPr>
          <w:rFonts w:asciiTheme="majorBidi" w:hAnsiTheme="majorBidi" w:cstheme="majorBidi"/>
          <w:sz w:val="22"/>
          <w:szCs w:val="22"/>
        </w:rPr>
      </w:pPr>
      <w:r w:rsidRPr="00F60A63">
        <w:rPr>
          <w:rFonts w:asciiTheme="majorBidi" w:hAnsiTheme="majorBidi" w:cstheme="majorBidi"/>
          <w:b/>
          <w:bCs/>
          <w:sz w:val="22"/>
          <w:szCs w:val="22"/>
        </w:rPr>
        <w:t>Table S6.</w:t>
      </w:r>
      <w:r w:rsidRPr="00F60A63">
        <w:rPr>
          <w:rFonts w:asciiTheme="majorBidi" w:hAnsiTheme="majorBidi" w:cstheme="majorBidi"/>
          <w:sz w:val="22"/>
          <w:szCs w:val="22"/>
        </w:rPr>
        <w:t xml:space="preserve"> Discriminative Performance of the LCI Score Compared with Individual Haemodynamic Parameters</w:t>
      </w:r>
    </w:p>
    <w:p w14:paraId="44285509" w14:textId="77777777" w:rsidR="00671673" w:rsidRPr="00F60A63" w:rsidRDefault="00671673" w:rsidP="00671673">
      <w:pPr>
        <w:spacing w:line="360" w:lineRule="auto"/>
        <w:ind w:firstLine="720"/>
        <w:rPr>
          <w:rFonts w:asciiTheme="majorBidi" w:hAnsiTheme="majorBidi" w:cstheme="majorBidi"/>
          <w:sz w:val="22"/>
          <w:szCs w:val="22"/>
        </w:rPr>
      </w:pPr>
      <w:r w:rsidRPr="00F60A63">
        <w:rPr>
          <w:rFonts w:asciiTheme="majorBidi" w:hAnsiTheme="majorBidi" w:cstheme="majorBidi"/>
          <w:b/>
          <w:bCs/>
          <w:sz w:val="22"/>
          <w:szCs w:val="22"/>
        </w:rPr>
        <w:t>Table S7.</w:t>
      </w:r>
      <w:r w:rsidRPr="00F60A63">
        <w:rPr>
          <w:rFonts w:asciiTheme="majorBidi" w:hAnsiTheme="majorBidi" w:cstheme="majorBidi"/>
          <w:sz w:val="22"/>
          <w:szCs w:val="22"/>
        </w:rPr>
        <w:t xml:space="preserve"> Sensitivity Analysis Excluding Liver Transplant Patients</w:t>
      </w:r>
    </w:p>
    <w:p w14:paraId="5A531010" w14:textId="77777777" w:rsidR="00671673" w:rsidRPr="00F60A63" w:rsidRDefault="00671673" w:rsidP="00671673">
      <w:p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980EBB">
        <w:rPr>
          <w:rFonts w:asciiTheme="majorBidi" w:hAnsiTheme="majorBidi" w:cstheme="majorBidi"/>
          <w:b/>
          <w:bCs/>
          <w:sz w:val="22"/>
          <w:szCs w:val="22"/>
        </w:rPr>
        <w:t xml:space="preserve">Online Resource </w:t>
      </w:r>
      <w:r>
        <w:rPr>
          <w:rFonts w:asciiTheme="majorBidi" w:hAnsiTheme="majorBidi" w:cstheme="majorBidi"/>
          <w:b/>
          <w:bCs/>
          <w:sz w:val="22"/>
          <w:szCs w:val="22"/>
        </w:rPr>
        <w:t>2</w:t>
      </w:r>
    </w:p>
    <w:p w14:paraId="3F9C0ED4" w14:textId="77777777" w:rsidR="00671673" w:rsidRPr="00F60A63" w:rsidRDefault="00671673" w:rsidP="00671673">
      <w:pPr>
        <w:spacing w:line="360" w:lineRule="auto"/>
        <w:ind w:firstLine="720"/>
        <w:rPr>
          <w:rFonts w:asciiTheme="majorBidi" w:hAnsiTheme="majorBidi" w:cstheme="majorBidi"/>
          <w:sz w:val="22"/>
          <w:szCs w:val="22"/>
        </w:rPr>
      </w:pPr>
      <w:r w:rsidRPr="00F60A63">
        <w:rPr>
          <w:rFonts w:asciiTheme="majorBidi" w:hAnsiTheme="majorBidi" w:cstheme="majorBidi"/>
          <w:b/>
          <w:bCs/>
          <w:sz w:val="22"/>
          <w:szCs w:val="22"/>
        </w:rPr>
        <w:t>Figure S1.</w:t>
      </w:r>
      <w:r w:rsidRPr="00F60A63">
        <w:rPr>
          <w:rFonts w:asciiTheme="majorBidi" w:hAnsiTheme="majorBidi" w:cstheme="majorBidi"/>
          <w:sz w:val="22"/>
          <w:szCs w:val="22"/>
        </w:rPr>
        <w:t xml:space="preserve"> Calibration plot of the LCI score. </w:t>
      </w:r>
    </w:p>
    <w:p w14:paraId="60F1ACC3" w14:textId="77777777" w:rsidR="00671673" w:rsidRPr="00F60A63" w:rsidRDefault="00671673" w:rsidP="00671673">
      <w:pPr>
        <w:spacing w:line="360" w:lineRule="auto"/>
        <w:ind w:firstLine="720"/>
        <w:rPr>
          <w:rFonts w:asciiTheme="majorBidi" w:hAnsiTheme="majorBidi" w:cstheme="majorBidi"/>
          <w:sz w:val="22"/>
          <w:szCs w:val="22"/>
        </w:rPr>
      </w:pPr>
      <w:r w:rsidRPr="00F60A63">
        <w:rPr>
          <w:rFonts w:asciiTheme="majorBidi" w:hAnsiTheme="majorBidi" w:cstheme="majorBidi"/>
          <w:b/>
          <w:bCs/>
          <w:sz w:val="22"/>
          <w:szCs w:val="22"/>
        </w:rPr>
        <w:t>Figure S2.</w:t>
      </w:r>
      <w:r w:rsidRPr="00F60A63">
        <w:rPr>
          <w:rFonts w:asciiTheme="majorBidi" w:hAnsiTheme="majorBidi" w:cstheme="majorBidi"/>
          <w:sz w:val="22"/>
          <w:szCs w:val="22"/>
        </w:rPr>
        <w:t xml:space="preserve"> Correlation between LCI score and measured PCCI</w:t>
      </w:r>
    </w:p>
    <w:p w14:paraId="327D9533" w14:textId="77777777" w:rsidR="00E023F9" w:rsidRDefault="00E023F9"/>
    <w:sectPr w:rsidR="00E023F9" w:rsidSect="00671673">
      <w:headerReference w:type="default" r:id="rId4"/>
      <w:pgSz w:w="12240" w:h="15840"/>
      <w:pgMar w:top="1440" w:right="1440" w:bottom="1440" w:left="1440" w:header="720" w:footer="720" w:gutter="0"/>
      <w:pgNumType w:start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sz w:val="22"/>
        <w:szCs w:val="22"/>
      </w:rPr>
      <w:id w:val="456062355"/>
      <w:docPartObj>
        <w:docPartGallery w:val="Page Numbers (Top of Page)"/>
        <w:docPartUnique/>
      </w:docPartObj>
    </w:sdtPr>
    <w:sdtContent>
      <w:p w14:paraId="7B0FEA02" w14:textId="77777777" w:rsidR="00671673" w:rsidRPr="0033573A" w:rsidRDefault="00671673">
        <w:pPr>
          <w:pStyle w:val="Header"/>
          <w:jc w:val="right"/>
          <w:rPr>
            <w:rFonts w:asciiTheme="majorBidi" w:hAnsiTheme="majorBidi" w:cstheme="majorBidi"/>
            <w:sz w:val="22"/>
            <w:szCs w:val="22"/>
          </w:rPr>
        </w:pPr>
        <w:r w:rsidRPr="0033573A">
          <w:rPr>
            <w:rFonts w:asciiTheme="majorBidi" w:hAnsiTheme="majorBidi" w:cstheme="majorBidi"/>
            <w:sz w:val="22"/>
            <w:szCs w:val="22"/>
          </w:rPr>
          <w:fldChar w:fldCharType="begin"/>
        </w:r>
        <w:r w:rsidRPr="0033573A">
          <w:rPr>
            <w:rFonts w:asciiTheme="majorBidi" w:hAnsiTheme="majorBidi" w:cstheme="majorBidi"/>
            <w:sz w:val="22"/>
            <w:szCs w:val="22"/>
          </w:rPr>
          <w:instrText xml:space="preserve"> PAGE   \* MERGEFORMAT </w:instrText>
        </w:r>
        <w:r w:rsidRPr="0033573A">
          <w:rPr>
            <w:rFonts w:asciiTheme="majorBidi" w:hAnsiTheme="majorBidi" w:cstheme="majorBidi"/>
            <w:sz w:val="22"/>
            <w:szCs w:val="22"/>
          </w:rPr>
          <w:fldChar w:fldCharType="separate"/>
        </w:r>
        <w:r w:rsidRPr="0033573A">
          <w:rPr>
            <w:rFonts w:asciiTheme="majorBidi" w:hAnsiTheme="majorBidi" w:cstheme="majorBidi"/>
            <w:sz w:val="22"/>
            <w:szCs w:val="22"/>
          </w:rPr>
          <w:t>2</w:t>
        </w:r>
        <w:r w:rsidRPr="0033573A">
          <w:rPr>
            <w:rFonts w:asciiTheme="majorBidi" w:hAnsiTheme="majorBidi" w:cstheme="majorBidi"/>
            <w:sz w:val="22"/>
            <w:szCs w:val="22"/>
          </w:rPr>
          <w:fldChar w:fldCharType="end"/>
        </w:r>
      </w:p>
    </w:sdtContent>
  </w:sdt>
  <w:p w14:paraId="2C91530D" w14:textId="77777777" w:rsidR="00671673" w:rsidRPr="0033573A" w:rsidRDefault="00671673">
    <w:pPr>
      <w:pStyle w:val="Header"/>
      <w:rPr>
        <w:rFonts w:asciiTheme="majorBidi" w:hAnsiTheme="majorBidi" w:cstheme="majorBidi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73"/>
    <w:rsid w:val="000C4033"/>
    <w:rsid w:val="00173ED8"/>
    <w:rsid w:val="004B42CB"/>
    <w:rsid w:val="005F2B46"/>
    <w:rsid w:val="00671673"/>
    <w:rsid w:val="006E1731"/>
    <w:rsid w:val="00866D74"/>
    <w:rsid w:val="00882A73"/>
    <w:rsid w:val="0095305D"/>
    <w:rsid w:val="00B10170"/>
    <w:rsid w:val="00B260B7"/>
    <w:rsid w:val="00B85331"/>
    <w:rsid w:val="00DA7BD8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D02CD"/>
  <w15:chartTrackingRefBased/>
  <w15:docId w15:val="{84F590FA-FF96-4C1A-A1F1-781017DD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673"/>
    <w:rPr>
      <w:lang w:val="en-GB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1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6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6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6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6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6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6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6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6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6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6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6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6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6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6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bidi="ar-SA"/>
    </w:rPr>
  </w:style>
  <w:style w:type="character" w:customStyle="1" w:styleId="TitleChar">
    <w:name w:val="Title Char"/>
    <w:basedOn w:val="DefaultParagraphFont"/>
    <w:link w:val="Title"/>
    <w:uiPriority w:val="10"/>
    <w:rsid w:val="00671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6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671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673"/>
    <w:pPr>
      <w:spacing w:before="160"/>
      <w:jc w:val="center"/>
    </w:pPr>
    <w:rPr>
      <w:i/>
      <w:iCs/>
      <w:color w:val="404040" w:themeColor="text1" w:themeTint="BF"/>
      <w:lang w:val="en-IN" w:bidi="ar-SA"/>
    </w:rPr>
  </w:style>
  <w:style w:type="character" w:customStyle="1" w:styleId="QuoteChar">
    <w:name w:val="Quote Char"/>
    <w:basedOn w:val="DefaultParagraphFont"/>
    <w:link w:val="Quote"/>
    <w:uiPriority w:val="29"/>
    <w:rsid w:val="006716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673"/>
    <w:pPr>
      <w:ind w:left="720"/>
      <w:contextualSpacing/>
    </w:pPr>
    <w:rPr>
      <w:lang w:val="en-IN" w:bidi="ar-SA"/>
    </w:rPr>
  </w:style>
  <w:style w:type="character" w:styleId="IntenseEmphasis">
    <w:name w:val="Intense Emphasis"/>
    <w:basedOn w:val="DefaultParagraphFont"/>
    <w:uiPriority w:val="21"/>
    <w:qFormat/>
    <w:rsid w:val="006716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6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6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716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673"/>
    <w:rPr>
      <w:lang w:val="en-GB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2026-06-10T17:39:00Z</dcterms:created>
  <dcterms:modified xsi:type="dcterms:W3CDTF">2026-06-10T17:40:00Z</dcterms:modified>
</cp:coreProperties>
</file>